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0A161F" w:rsidRPr="00BA5975" w14:paraId="39035EDD" w14:textId="77777777" w:rsidTr="00DD2CC9">
        <w:trPr>
          <w:trHeight w:hRule="exact" w:val="418"/>
          <w:jc w:val="center"/>
        </w:trPr>
        <w:tc>
          <w:tcPr>
            <w:tcW w:w="8721" w:type="dxa"/>
            <w:gridSpan w:val="2"/>
          </w:tcPr>
          <w:p w14:paraId="4528604E" w14:textId="77777777" w:rsidR="000A161F" w:rsidRPr="00BA5975" w:rsidRDefault="000A161F" w:rsidP="00BA5975">
            <w:pPr>
              <w:pStyle w:val="a3"/>
              <w:jc w:val="center"/>
              <w:rPr>
                <w:rFonts w:ascii="Tahoma" w:hAnsi="Tahoma" w:cs="Tahoma"/>
                <w:color w:val="000080"/>
                <w:rtl/>
              </w:rPr>
            </w:pPr>
            <w:bookmarkStart w:id="0" w:name="FirstLawyer"/>
            <w:bookmarkStart w:id="1" w:name="LastJudge"/>
            <w:r w:rsidRPr="00BA5975">
              <w:rPr>
                <w:rFonts w:ascii="Tahoma" w:hAnsi="Tahoma" w:cs="Tahoma"/>
                <w:b/>
                <w:bCs/>
                <w:color w:val="000080"/>
                <w:rtl/>
              </w:rPr>
              <w:t>בית משפט השלום בקריות</w:t>
            </w:r>
          </w:p>
        </w:tc>
      </w:tr>
      <w:tr w:rsidR="000A161F" w:rsidRPr="00BA5975" w14:paraId="6F909F51" w14:textId="77777777" w:rsidTr="00DD2CC9">
        <w:trPr>
          <w:trHeight w:val="337"/>
          <w:jc w:val="center"/>
        </w:trPr>
        <w:tc>
          <w:tcPr>
            <w:tcW w:w="5054" w:type="dxa"/>
          </w:tcPr>
          <w:p w14:paraId="515B058C" w14:textId="77777777" w:rsidR="000A161F" w:rsidRPr="00BA5975" w:rsidRDefault="000A161F" w:rsidP="00DD2CC9">
            <w:pPr>
              <w:rPr>
                <w:rFonts w:cs="FrankRuehl" w:hint="cs"/>
                <w:sz w:val="28"/>
                <w:szCs w:val="28"/>
                <w:rtl/>
              </w:rPr>
            </w:pPr>
            <w:r w:rsidRPr="00BA5975">
              <w:rPr>
                <w:rFonts w:cs="FrankRuehl"/>
                <w:sz w:val="28"/>
                <w:szCs w:val="28"/>
                <w:rtl/>
              </w:rPr>
              <w:t>ת"פ</w:t>
            </w:r>
            <w:r w:rsidRPr="00BA5975">
              <w:rPr>
                <w:rFonts w:cs="FrankRuehl" w:hint="cs"/>
                <w:sz w:val="28"/>
                <w:szCs w:val="28"/>
                <w:rtl/>
              </w:rPr>
              <w:t xml:space="preserve"> </w:t>
            </w:r>
            <w:r w:rsidRPr="00BA5975">
              <w:rPr>
                <w:rFonts w:cs="FrankRuehl"/>
                <w:sz w:val="28"/>
                <w:szCs w:val="28"/>
                <w:rtl/>
              </w:rPr>
              <w:t>57822-06-13</w:t>
            </w:r>
            <w:r w:rsidRPr="00BA5975">
              <w:rPr>
                <w:rFonts w:cs="FrankRuehl" w:hint="cs"/>
                <w:sz w:val="28"/>
                <w:szCs w:val="28"/>
                <w:rtl/>
              </w:rPr>
              <w:t xml:space="preserve"> </w:t>
            </w:r>
            <w:r w:rsidRPr="00BA5975">
              <w:rPr>
                <w:rFonts w:cs="FrankRuehl"/>
                <w:sz w:val="28"/>
                <w:szCs w:val="28"/>
                <w:rtl/>
              </w:rPr>
              <w:t xml:space="preserve">מדינת ישראל נ' </w:t>
            </w:r>
            <w:r w:rsidR="00DD2CC9">
              <w:rPr>
                <w:rFonts w:cs="FrankRuehl" w:hint="cs"/>
                <w:sz w:val="28"/>
                <w:szCs w:val="28"/>
                <w:rtl/>
              </w:rPr>
              <w:t>פלוני</w:t>
            </w:r>
          </w:p>
          <w:p w14:paraId="2BF0ADB8" w14:textId="77777777" w:rsidR="000A161F" w:rsidRPr="00BA5975" w:rsidRDefault="000A161F" w:rsidP="00BA5975">
            <w:pPr>
              <w:pStyle w:val="a3"/>
              <w:rPr>
                <w:rFonts w:cs="FrankRuehl"/>
                <w:sz w:val="28"/>
                <w:szCs w:val="28"/>
                <w:rtl/>
              </w:rPr>
            </w:pPr>
          </w:p>
          <w:p w14:paraId="4B4527DC" w14:textId="77777777" w:rsidR="000A161F" w:rsidRPr="00BA5975" w:rsidRDefault="000A161F" w:rsidP="00DD2CC9">
            <w:pPr>
              <w:rPr>
                <w:rFonts w:cs="FrankRuehl" w:hint="cs"/>
                <w:sz w:val="28"/>
                <w:szCs w:val="28"/>
                <w:rtl/>
              </w:rPr>
            </w:pPr>
            <w:r w:rsidRPr="00BA5975">
              <w:rPr>
                <w:rFonts w:cs="FrankRuehl"/>
                <w:sz w:val="28"/>
                <w:szCs w:val="28"/>
                <w:rtl/>
              </w:rPr>
              <w:t>ת"פ</w:t>
            </w:r>
            <w:r w:rsidRPr="00BA5975">
              <w:rPr>
                <w:rFonts w:cs="FrankRuehl" w:hint="cs"/>
                <w:sz w:val="28"/>
                <w:szCs w:val="28"/>
                <w:rtl/>
              </w:rPr>
              <w:t xml:space="preserve"> </w:t>
            </w:r>
            <w:r w:rsidRPr="00BA5975">
              <w:rPr>
                <w:rFonts w:cs="FrankRuehl"/>
                <w:sz w:val="28"/>
                <w:szCs w:val="28"/>
                <w:rtl/>
              </w:rPr>
              <w:t>49411-10-14</w:t>
            </w:r>
            <w:r w:rsidRPr="00BA5975">
              <w:rPr>
                <w:rFonts w:cs="FrankRuehl" w:hint="cs"/>
                <w:sz w:val="28"/>
                <w:szCs w:val="28"/>
                <w:rtl/>
              </w:rPr>
              <w:t xml:space="preserve"> </w:t>
            </w:r>
            <w:r w:rsidRPr="00BA5975">
              <w:rPr>
                <w:rFonts w:cs="FrankRuehl"/>
                <w:sz w:val="28"/>
                <w:szCs w:val="28"/>
                <w:rtl/>
              </w:rPr>
              <w:t xml:space="preserve">מדינת ישראל נ' </w:t>
            </w:r>
            <w:r w:rsidR="00DD2CC9">
              <w:rPr>
                <w:rFonts w:cs="FrankRuehl" w:hint="cs"/>
                <w:sz w:val="28"/>
                <w:szCs w:val="28"/>
                <w:rtl/>
              </w:rPr>
              <w:t>פלוני</w:t>
            </w:r>
          </w:p>
          <w:p w14:paraId="37170FB8" w14:textId="77777777" w:rsidR="000A161F" w:rsidRPr="00BA5975" w:rsidRDefault="000A161F" w:rsidP="00BA5975">
            <w:pPr>
              <w:pStyle w:val="a3"/>
              <w:rPr>
                <w:rFonts w:cs="FrankRuehl"/>
                <w:sz w:val="28"/>
                <w:szCs w:val="28"/>
                <w:rtl/>
              </w:rPr>
            </w:pPr>
          </w:p>
        </w:tc>
        <w:tc>
          <w:tcPr>
            <w:tcW w:w="3667" w:type="dxa"/>
          </w:tcPr>
          <w:p w14:paraId="0AC2D5CC" w14:textId="77777777" w:rsidR="000A161F" w:rsidRPr="00BA5975" w:rsidRDefault="000A161F" w:rsidP="00BA5975">
            <w:pPr>
              <w:pStyle w:val="a3"/>
              <w:jc w:val="right"/>
              <w:rPr>
                <w:rFonts w:cs="FrankRuehl"/>
                <w:sz w:val="28"/>
                <w:szCs w:val="28"/>
                <w:rtl/>
              </w:rPr>
            </w:pPr>
          </w:p>
        </w:tc>
      </w:tr>
    </w:tbl>
    <w:p w14:paraId="1A3CC6B6" w14:textId="77777777" w:rsidR="000A161F" w:rsidRPr="00BA5975" w:rsidRDefault="000A161F" w:rsidP="000A161F">
      <w:pPr>
        <w:pStyle w:val="a3"/>
        <w:rPr>
          <w:rtl/>
        </w:rPr>
      </w:pPr>
      <w:r w:rsidRPr="00BA5975">
        <w:rPr>
          <w:rFonts w:hint="cs"/>
          <w:rtl/>
        </w:rPr>
        <w:t xml:space="preserve"> </w:t>
      </w:r>
    </w:p>
    <w:p w14:paraId="289FF754" w14:textId="77777777" w:rsidR="000A161F" w:rsidRPr="00BA5975" w:rsidRDefault="000A161F" w:rsidP="000A161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A161F" w:rsidRPr="00BA5975" w14:paraId="4CABEA8A" w14:textId="77777777" w:rsidTr="00BA5975">
        <w:trPr>
          <w:trHeight w:val="295"/>
          <w:jc w:val="center"/>
        </w:trPr>
        <w:tc>
          <w:tcPr>
            <w:tcW w:w="923" w:type="dxa"/>
            <w:tcBorders>
              <w:top w:val="nil"/>
              <w:left w:val="nil"/>
              <w:bottom w:val="nil"/>
              <w:right w:val="nil"/>
            </w:tcBorders>
            <w:shd w:val="clear" w:color="auto" w:fill="auto"/>
          </w:tcPr>
          <w:p w14:paraId="1BE028BC" w14:textId="77777777" w:rsidR="000A161F" w:rsidRPr="00BA5975" w:rsidRDefault="000A161F" w:rsidP="00BA5975">
            <w:pPr>
              <w:jc w:val="both"/>
              <w:rPr>
                <w:rFonts w:ascii="Arial" w:hAnsi="Arial"/>
                <w:b/>
                <w:bCs/>
              </w:rPr>
            </w:pPr>
            <w:r w:rsidRPr="00BA5975">
              <w:rPr>
                <w:rFonts w:ascii="Arial" w:hAnsi="Arial" w:hint="cs"/>
                <w:b/>
                <w:bCs/>
                <w:rtl/>
              </w:rPr>
              <w:t>ב</w:t>
            </w:r>
            <w:r w:rsidRPr="00BA5975">
              <w:rPr>
                <w:rFonts w:ascii="Arial" w:hAnsi="Arial"/>
                <w:b/>
                <w:bCs/>
                <w:rtl/>
              </w:rPr>
              <w:t xml:space="preserve">פני </w:t>
            </w:r>
          </w:p>
        </w:tc>
        <w:tc>
          <w:tcPr>
            <w:tcW w:w="7897" w:type="dxa"/>
            <w:gridSpan w:val="2"/>
            <w:tcBorders>
              <w:top w:val="nil"/>
              <w:left w:val="nil"/>
              <w:bottom w:val="nil"/>
              <w:right w:val="nil"/>
            </w:tcBorders>
            <w:shd w:val="clear" w:color="auto" w:fill="auto"/>
          </w:tcPr>
          <w:p w14:paraId="01877843" w14:textId="77777777" w:rsidR="000A161F" w:rsidRPr="00BA5975" w:rsidRDefault="000A161F" w:rsidP="00BA5975">
            <w:pPr>
              <w:rPr>
                <w:rFonts w:ascii="Arial" w:hAnsi="Arial"/>
                <w:b/>
                <w:bCs/>
                <w:rtl/>
              </w:rPr>
            </w:pPr>
            <w:r w:rsidRPr="00BA5975">
              <w:rPr>
                <w:rFonts w:ascii="Arial" w:hAnsi="Arial" w:hint="cs"/>
                <w:b/>
                <w:bCs/>
                <w:rtl/>
              </w:rPr>
              <w:t>כבוד ה</w:t>
            </w:r>
            <w:r w:rsidRPr="00BA5975">
              <w:rPr>
                <w:rFonts w:hint="cs"/>
                <w:b/>
                <w:bCs/>
                <w:rtl/>
              </w:rPr>
              <w:t>שופט</w:t>
            </w:r>
            <w:r w:rsidRPr="00BA5975">
              <w:rPr>
                <w:rFonts w:ascii="Arial" w:hAnsi="Arial" w:hint="cs"/>
                <w:b/>
                <w:bCs/>
                <w:rtl/>
              </w:rPr>
              <w:t xml:space="preserve">  </w:t>
            </w:r>
            <w:r w:rsidRPr="00BA5975">
              <w:rPr>
                <w:rFonts w:hint="cs"/>
                <w:b/>
                <w:bCs/>
                <w:rtl/>
              </w:rPr>
              <w:t>יוסי טורס</w:t>
            </w:r>
          </w:p>
          <w:p w14:paraId="451D4C26" w14:textId="77777777" w:rsidR="000A161F" w:rsidRPr="00BA5975" w:rsidRDefault="000A161F" w:rsidP="00BA5975">
            <w:pPr>
              <w:rPr>
                <w:b/>
                <w:bCs/>
                <w:rtl/>
              </w:rPr>
            </w:pPr>
          </w:p>
          <w:p w14:paraId="0FFF3549" w14:textId="77777777" w:rsidR="000A161F" w:rsidRPr="00BA5975" w:rsidRDefault="000A161F" w:rsidP="00BA5975">
            <w:pPr>
              <w:jc w:val="both"/>
              <w:rPr>
                <w:rFonts w:ascii="Arial" w:hAnsi="Arial"/>
                <w:b/>
                <w:bCs/>
              </w:rPr>
            </w:pPr>
          </w:p>
        </w:tc>
      </w:tr>
      <w:tr w:rsidR="000A161F" w:rsidRPr="00BA5975" w14:paraId="53ADFD0F" w14:textId="77777777" w:rsidTr="00BA5975">
        <w:trPr>
          <w:trHeight w:val="355"/>
          <w:jc w:val="center"/>
        </w:trPr>
        <w:tc>
          <w:tcPr>
            <w:tcW w:w="923" w:type="dxa"/>
            <w:tcBorders>
              <w:top w:val="nil"/>
              <w:left w:val="nil"/>
              <w:bottom w:val="nil"/>
              <w:right w:val="nil"/>
            </w:tcBorders>
            <w:shd w:val="clear" w:color="auto" w:fill="auto"/>
          </w:tcPr>
          <w:p w14:paraId="7A5192BC" w14:textId="77777777" w:rsidR="000A161F" w:rsidRPr="00BA5975" w:rsidRDefault="000A161F" w:rsidP="00BA5975">
            <w:pPr>
              <w:jc w:val="both"/>
              <w:rPr>
                <w:rFonts w:ascii="Arial" w:hAnsi="Arial"/>
                <w:b/>
                <w:bCs/>
              </w:rPr>
            </w:pPr>
            <w:bookmarkStart w:id="2" w:name="FirstAppellant"/>
            <w:r w:rsidRPr="00BA5975">
              <w:rPr>
                <w:rFonts w:ascii="Arial" w:hAnsi="Arial" w:hint="cs"/>
                <w:b/>
                <w:bCs/>
                <w:rtl/>
              </w:rPr>
              <w:t>בעניין:</w:t>
            </w:r>
          </w:p>
        </w:tc>
        <w:tc>
          <w:tcPr>
            <w:tcW w:w="4126" w:type="dxa"/>
            <w:tcBorders>
              <w:top w:val="nil"/>
              <w:left w:val="nil"/>
              <w:bottom w:val="nil"/>
              <w:right w:val="nil"/>
            </w:tcBorders>
            <w:shd w:val="clear" w:color="auto" w:fill="auto"/>
          </w:tcPr>
          <w:p w14:paraId="26773800" w14:textId="77777777" w:rsidR="000A161F" w:rsidRPr="00BA5975" w:rsidRDefault="000A161F" w:rsidP="00BA5975">
            <w:pPr>
              <w:rPr>
                <w:b/>
                <w:bCs/>
              </w:rPr>
            </w:pPr>
            <w:r w:rsidRPr="00BA5975">
              <w:rPr>
                <w:rFonts w:hint="cs"/>
                <w:b/>
                <w:bCs/>
                <w:rtl/>
              </w:rPr>
              <w:t>מדינת ישראל</w:t>
            </w:r>
          </w:p>
        </w:tc>
        <w:tc>
          <w:tcPr>
            <w:tcW w:w="3771" w:type="dxa"/>
            <w:tcBorders>
              <w:top w:val="nil"/>
              <w:left w:val="nil"/>
              <w:bottom w:val="nil"/>
              <w:right w:val="nil"/>
            </w:tcBorders>
            <w:shd w:val="clear" w:color="auto" w:fill="auto"/>
          </w:tcPr>
          <w:p w14:paraId="46AC1BA9" w14:textId="77777777" w:rsidR="000A161F" w:rsidRPr="00BA5975" w:rsidRDefault="000A161F" w:rsidP="00BA5975">
            <w:pPr>
              <w:jc w:val="both"/>
              <w:rPr>
                <w:rFonts w:ascii="Arial" w:hAnsi="Arial"/>
                <w:b/>
                <w:bCs/>
              </w:rPr>
            </w:pPr>
          </w:p>
        </w:tc>
      </w:tr>
      <w:bookmarkEnd w:id="2"/>
      <w:tr w:rsidR="000A161F" w:rsidRPr="00BA5975" w14:paraId="0044A0BF" w14:textId="77777777" w:rsidTr="00BA5975">
        <w:trPr>
          <w:trHeight w:val="355"/>
          <w:jc w:val="center"/>
        </w:trPr>
        <w:tc>
          <w:tcPr>
            <w:tcW w:w="923" w:type="dxa"/>
            <w:tcBorders>
              <w:top w:val="nil"/>
              <w:left w:val="nil"/>
              <w:bottom w:val="nil"/>
              <w:right w:val="nil"/>
            </w:tcBorders>
            <w:shd w:val="clear" w:color="auto" w:fill="auto"/>
          </w:tcPr>
          <w:p w14:paraId="54D1FA0C" w14:textId="77777777" w:rsidR="000A161F" w:rsidRPr="00BA5975" w:rsidRDefault="000A161F" w:rsidP="00BA5975">
            <w:pPr>
              <w:jc w:val="both"/>
              <w:rPr>
                <w:rFonts w:ascii="Arial" w:hAnsi="Arial"/>
                <w:b/>
                <w:bCs/>
                <w:rtl/>
              </w:rPr>
            </w:pPr>
          </w:p>
        </w:tc>
        <w:tc>
          <w:tcPr>
            <w:tcW w:w="4126" w:type="dxa"/>
            <w:tcBorders>
              <w:top w:val="nil"/>
              <w:left w:val="nil"/>
              <w:bottom w:val="nil"/>
              <w:right w:val="nil"/>
            </w:tcBorders>
            <w:shd w:val="clear" w:color="auto" w:fill="auto"/>
          </w:tcPr>
          <w:p w14:paraId="167270C9" w14:textId="77777777" w:rsidR="000A161F" w:rsidRPr="00BA5975" w:rsidRDefault="000A161F" w:rsidP="00BA5975">
            <w:pPr>
              <w:jc w:val="both"/>
              <w:rPr>
                <w:b/>
                <w:bCs/>
                <w:rtl/>
              </w:rPr>
            </w:pPr>
          </w:p>
        </w:tc>
        <w:tc>
          <w:tcPr>
            <w:tcW w:w="3771" w:type="dxa"/>
            <w:tcBorders>
              <w:top w:val="nil"/>
              <w:left w:val="nil"/>
              <w:bottom w:val="nil"/>
              <w:right w:val="nil"/>
            </w:tcBorders>
            <w:shd w:val="clear" w:color="auto" w:fill="auto"/>
          </w:tcPr>
          <w:p w14:paraId="3F5D7B01" w14:textId="77777777" w:rsidR="000A161F" w:rsidRPr="00BA5975" w:rsidRDefault="000A161F" w:rsidP="00BA5975">
            <w:pPr>
              <w:jc w:val="right"/>
              <w:rPr>
                <w:rFonts w:ascii="Arial" w:hAnsi="Arial"/>
                <w:b/>
                <w:bCs/>
                <w:rtl/>
              </w:rPr>
            </w:pPr>
            <w:r w:rsidRPr="00BA5975">
              <w:rPr>
                <w:rFonts w:ascii="Arial" w:hAnsi="Arial" w:hint="cs"/>
                <w:b/>
                <w:bCs/>
                <w:rtl/>
              </w:rPr>
              <w:t>ה</w:t>
            </w:r>
            <w:r w:rsidRPr="00BA5975">
              <w:rPr>
                <w:rFonts w:hint="cs"/>
                <w:b/>
                <w:bCs/>
                <w:rtl/>
              </w:rPr>
              <w:t>מאשימה</w:t>
            </w:r>
          </w:p>
        </w:tc>
      </w:tr>
      <w:tr w:rsidR="000A161F" w:rsidRPr="00BA5975" w14:paraId="76AB5235" w14:textId="77777777" w:rsidTr="00BA5975">
        <w:trPr>
          <w:trHeight w:val="355"/>
          <w:jc w:val="center"/>
        </w:trPr>
        <w:tc>
          <w:tcPr>
            <w:tcW w:w="923" w:type="dxa"/>
            <w:tcBorders>
              <w:top w:val="nil"/>
              <w:left w:val="nil"/>
              <w:bottom w:val="nil"/>
              <w:right w:val="nil"/>
            </w:tcBorders>
            <w:shd w:val="clear" w:color="auto" w:fill="auto"/>
          </w:tcPr>
          <w:p w14:paraId="63D76885" w14:textId="77777777" w:rsidR="000A161F" w:rsidRPr="00BA5975" w:rsidRDefault="000A161F" w:rsidP="00BA5975">
            <w:pPr>
              <w:jc w:val="both"/>
              <w:rPr>
                <w:rFonts w:ascii="Arial" w:hAnsi="Arial"/>
                <w:b/>
                <w:bCs/>
                <w:rtl/>
              </w:rPr>
            </w:pPr>
          </w:p>
        </w:tc>
        <w:tc>
          <w:tcPr>
            <w:tcW w:w="7897" w:type="dxa"/>
            <w:gridSpan w:val="2"/>
            <w:tcBorders>
              <w:top w:val="nil"/>
              <w:left w:val="nil"/>
              <w:bottom w:val="nil"/>
              <w:right w:val="nil"/>
            </w:tcBorders>
            <w:shd w:val="clear" w:color="auto" w:fill="auto"/>
          </w:tcPr>
          <w:p w14:paraId="59D1ABCE" w14:textId="77777777" w:rsidR="000A161F" w:rsidRPr="00BA5975" w:rsidRDefault="000A161F" w:rsidP="00BA5975">
            <w:pPr>
              <w:jc w:val="center"/>
              <w:rPr>
                <w:rFonts w:ascii="Arial" w:hAnsi="Arial"/>
                <w:b/>
                <w:bCs/>
                <w:rtl/>
              </w:rPr>
            </w:pPr>
          </w:p>
          <w:p w14:paraId="5BB8DEDE" w14:textId="77777777" w:rsidR="000A161F" w:rsidRPr="00BA5975" w:rsidRDefault="000A161F" w:rsidP="00BA5975">
            <w:pPr>
              <w:jc w:val="center"/>
              <w:rPr>
                <w:rFonts w:ascii="Arial" w:hAnsi="Arial"/>
                <w:b/>
                <w:bCs/>
                <w:rtl/>
              </w:rPr>
            </w:pPr>
            <w:r w:rsidRPr="00BA5975">
              <w:rPr>
                <w:rFonts w:ascii="Arial" w:hAnsi="Arial"/>
                <w:b/>
                <w:bCs/>
                <w:rtl/>
              </w:rPr>
              <w:t>נגד</w:t>
            </w:r>
          </w:p>
          <w:p w14:paraId="5E4ACD1A" w14:textId="77777777" w:rsidR="000A161F" w:rsidRPr="00BA5975" w:rsidRDefault="000A161F" w:rsidP="00BA5975">
            <w:pPr>
              <w:jc w:val="both"/>
              <w:rPr>
                <w:rFonts w:ascii="Arial" w:hAnsi="Arial"/>
                <w:b/>
                <w:bCs/>
              </w:rPr>
            </w:pPr>
          </w:p>
        </w:tc>
      </w:tr>
      <w:tr w:rsidR="000A161F" w:rsidRPr="00BA5975" w14:paraId="60C5B6F7" w14:textId="77777777" w:rsidTr="00BA5975">
        <w:trPr>
          <w:trHeight w:val="355"/>
          <w:jc w:val="center"/>
        </w:trPr>
        <w:tc>
          <w:tcPr>
            <w:tcW w:w="923" w:type="dxa"/>
            <w:tcBorders>
              <w:top w:val="nil"/>
              <w:left w:val="nil"/>
              <w:bottom w:val="nil"/>
              <w:right w:val="nil"/>
            </w:tcBorders>
            <w:shd w:val="clear" w:color="auto" w:fill="auto"/>
          </w:tcPr>
          <w:p w14:paraId="257DAD72" w14:textId="77777777" w:rsidR="000A161F" w:rsidRPr="00BA5975" w:rsidRDefault="000A161F" w:rsidP="00BA5975">
            <w:pPr>
              <w:rPr>
                <w:rFonts w:ascii="Arial" w:hAnsi="Arial"/>
                <w:b/>
                <w:bCs/>
                <w:rtl/>
              </w:rPr>
            </w:pPr>
          </w:p>
        </w:tc>
        <w:tc>
          <w:tcPr>
            <w:tcW w:w="4126" w:type="dxa"/>
            <w:tcBorders>
              <w:top w:val="nil"/>
              <w:left w:val="nil"/>
              <w:bottom w:val="nil"/>
              <w:right w:val="nil"/>
            </w:tcBorders>
            <w:shd w:val="clear" w:color="auto" w:fill="auto"/>
          </w:tcPr>
          <w:p w14:paraId="6173C15C" w14:textId="77777777" w:rsidR="000A161F" w:rsidRPr="00BA5975" w:rsidRDefault="00DD2CC9" w:rsidP="00BA5975">
            <w:pPr>
              <w:rPr>
                <w:b/>
                <w:bCs/>
                <w:rtl/>
              </w:rPr>
            </w:pPr>
            <w:r>
              <w:rPr>
                <w:rFonts w:hint="cs"/>
                <w:b/>
                <w:bCs/>
                <w:rtl/>
              </w:rPr>
              <w:t>פלוני</w:t>
            </w:r>
            <w:r w:rsidR="000A161F" w:rsidRPr="00BA5975">
              <w:rPr>
                <w:rFonts w:hint="cs"/>
                <w:b/>
                <w:bCs/>
                <w:rtl/>
              </w:rPr>
              <w:br/>
              <w:t>ע"י ב"כ עו"ד ביתם (ס.צ)</w:t>
            </w:r>
          </w:p>
        </w:tc>
        <w:tc>
          <w:tcPr>
            <w:tcW w:w="3771" w:type="dxa"/>
            <w:tcBorders>
              <w:top w:val="nil"/>
              <w:left w:val="nil"/>
              <w:bottom w:val="nil"/>
              <w:right w:val="nil"/>
            </w:tcBorders>
            <w:shd w:val="clear" w:color="auto" w:fill="auto"/>
          </w:tcPr>
          <w:p w14:paraId="30CDC32F" w14:textId="77777777" w:rsidR="000A161F" w:rsidRPr="00BA5975" w:rsidRDefault="000A161F" w:rsidP="00BA5975">
            <w:pPr>
              <w:jc w:val="right"/>
              <w:rPr>
                <w:rFonts w:ascii="Arial" w:hAnsi="Arial"/>
                <w:b/>
                <w:bCs/>
              </w:rPr>
            </w:pPr>
          </w:p>
        </w:tc>
      </w:tr>
      <w:tr w:rsidR="000A161F" w:rsidRPr="00BA5975" w14:paraId="5D265862" w14:textId="77777777" w:rsidTr="00BA5975">
        <w:trPr>
          <w:trHeight w:val="355"/>
          <w:jc w:val="center"/>
        </w:trPr>
        <w:tc>
          <w:tcPr>
            <w:tcW w:w="923" w:type="dxa"/>
            <w:tcBorders>
              <w:top w:val="nil"/>
              <w:left w:val="nil"/>
              <w:bottom w:val="nil"/>
              <w:right w:val="nil"/>
            </w:tcBorders>
            <w:shd w:val="clear" w:color="auto" w:fill="auto"/>
          </w:tcPr>
          <w:p w14:paraId="1C091A38" w14:textId="77777777" w:rsidR="000A161F" w:rsidRPr="00BA5975" w:rsidRDefault="000A161F" w:rsidP="00BA5975">
            <w:pPr>
              <w:jc w:val="both"/>
              <w:rPr>
                <w:rFonts w:ascii="Arial" w:hAnsi="Arial"/>
                <w:b/>
                <w:bCs/>
                <w:rtl/>
              </w:rPr>
            </w:pPr>
          </w:p>
        </w:tc>
        <w:tc>
          <w:tcPr>
            <w:tcW w:w="4126" w:type="dxa"/>
            <w:tcBorders>
              <w:top w:val="nil"/>
              <w:left w:val="nil"/>
              <w:bottom w:val="nil"/>
              <w:right w:val="nil"/>
            </w:tcBorders>
            <w:shd w:val="clear" w:color="auto" w:fill="auto"/>
          </w:tcPr>
          <w:p w14:paraId="243F8CD2" w14:textId="77777777" w:rsidR="000A161F" w:rsidRPr="00BA5975" w:rsidRDefault="000A161F" w:rsidP="00BA5975">
            <w:pPr>
              <w:jc w:val="both"/>
              <w:rPr>
                <w:b/>
                <w:bCs/>
                <w:rtl/>
              </w:rPr>
            </w:pPr>
          </w:p>
        </w:tc>
        <w:tc>
          <w:tcPr>
            <w:tcW w:w="3771" w:type="dxa"/>
            <w:tcBorders>
              <w:top w:val="nil"/>
              <w:left w:val="nil"/>
              <w:bottom w:val="nil"/>
              <w:right w:val="nil"/>
            </w:tcBorders>
            <w:shd w:val="clear" w:color="auto" w:fill="auto"/>
          </w:tcPr>
          <w:p w14:paraId="350A09CA" w14:textId="77777777" w:rsidR="000A161F" w:rsidRPr="00BA5975" w:rsidRDefault="000A161F" w:rsidP="00BA5975">
            <w:pPr>
              <w:jc w:val="right"/>
              <w:rPr>
                <w:rFonts w:ascii="Arial" w:hAnsi="Arial"/>
                <w:b/>
                <w:bCs/>
              </w:rPr>
            </w:pPr>
            <w:r w:rsidRPr="00BA5975">
              <w:rPr>
                <w:rFonts w:ascii="Arial" w:hAnsi="Arial" w:hint="cs"/>
                <w:b/>
                <w:bCs/>
                <w:rtl/>
              </w:rPr>
              <w:t>ה</w:t>
            </w:r>
            <w:r w:rsidRPr="00BA5975">
              <w:rPr>
                <w:rFonts w:hint="cs"/>
                <w:b/>
                <w:bCs/>
                <w:rtl/>
              </w:rPr>
              <w:t>נאשם</w:t>
            </w:r>
          </w:p>
        </w:tc>
      </w:tr>
    </w:tbl>
    <w:p w14:paraId="231984D0" w14:textId="77777777" w:rsidR="00CA0D54" w:rsidRDefault="00CA0D54" w:rsidP="000A161F">
      <w:pPr>
        <w:rPr>
          <w:rtl/>
        </w:rPr>
      </w:pPr>
      <w:bookmarkStart w:id="3" w:name="LawTable"/>
      <w:bookmarkEnd w:id="3"/>
    </w:p>
    <w:p w14:paraId="2508F7E8" w14:textId="77777777" w:rsidR="00CA0D54" w:rsidRPr="00CA0D54" w:rsidRDefault="00CA0D54" w:rsidP="00CA0D54">
      <w:pPr>
        <w:spacing w:after="120" w:line="240" w:lineRule="exact"/>
        <w:ind w:left="283" w:hanging="283"/>
        <w:jc w:val="both"/>
        <w:rPr>
          <w:rFonts w:ascii="FrankRuehl" w:hAnsi="FrankRuehl" w:cs="FrankRuehl"/>
          <w:rtl/>
        </w:rPr>
      </w:pPr>
    </w:p>
    <w:p w14:paraId="641B38AD" w14:textId="77777777" w:rsidR="00CA0D54" w:rsidRPr="00CA0D54" w:rsidRDefault="00CA0D54" w:rsidP="00CA0D54">
      <w:pPr>
        <w:spacing w:after="120" w:line="240" w:lineRule="exact"/>
        <w:ind w:left="283" w:hanging="283"/>
        <w:jc w:val="both"/>
        <w:rPr>
          <w:rFonts w:ascii="FrankRuehl" w:hAnsi="FrankRuehl" w:cs="FrankRuehl"/>
          <w:rtl/>
        </w:rPr>
      </w:pPr>
      <w:r w:rsidRPr="00CA0D54">
        <w:rPr>
          <w:rFonts w:ascii="FrankRuehl" w:hAnsi="FrankRuehl" w:cs="FrankRuehl"/>
          <w:rtl/>
        </w:rPr>
        <w:t xml:space="preserve">חקיקה שאוזכרה: </w:t>
      </w:r>
    </w:p>
    <w:p w14:paraId="035A23F0" w14:textId="77777777" w:rsidR="00CA0D54" w:rsidRPr="00CA0D54" w:rsidRDefault="00CA0D54" w:rsidP="00CA0D54">
      <w:pPr>
        <w:spacing w:after="120" w:line="240" w:lineRule="exact"/>
        <w:ind w:left="283" w:hanging="283"/>
        <w:jc w:val="both"/>
        <w:rPr>
          <w:rFonts w:ascii="FrankRuehl" w:hAnsi="FrankRuehl" w:cs="FrankRuehl"/>
          <w:color w:val="0000FF"/>
          <w:u w:val="single"/>
          <w:rtl/>
        </w:rPr>
      </w:pPr>
      <w:hyperlink r:id="rId7" w:history="1">
        <w:r w:rsidRPr="00CA0D54">
          <w:rPr>
            <w:rStyle w:val="Hyperlink"/>
            <w:rFonts w:ascii="FrankRuehl" w:hAnsi="FrankRuehl" w:cs="FrankRuehl"/>
            <w:rtl/>
          </w:rPr>
          <w:t>פקודת הסמים המסוכנים [נוסח חדש], תשל"ג-1973</w:t>
        </w:r>
      </w:hyperlink>
      <w:r w:rsidRPr="00CA0D54">
        <w:rPr>
          <w:rFonts w:ascii="FrankRuehl" w:hAnsi="FrankRuehl" w:cs="FrankRuehl"/>
          <w:color w:val="0000FF"/>
          <w:u w:val="single"/>
          <w:rtl/>
        </w:rPr>
        <w:t xml:space="preserve">: סע'  </w:t>
      </w:r>
      <w:hyperlink r:id="rId8" w:history="1">
        <w:r w:rsidRPr="00CA0D54">
          <w:rPr>
            <w:rStyle w:val="Hyperlink"/>
            <w:rFonts w:ascii="FrankRuehl" w:hAnsi="FrankRuehl" w:cs="FrankRuehl"/>
          </w:rPr>
          <w:t>7(</w:t>
        </w:r>
        <w:r w:rsidRPr="00CA0D54">
          <w:rPr>
            <w:rStyle w:val="Hyperlink"/>
            <w:rFonts w:ascii="FrankRuehl" w:hAnsi="FrankRuehl" w:cs="FrankRuehl"/>
            <w:rtl/>
          </w:rPr>
          <w:t>א)(ג</w:t>
        </w:r>
        <w:r w:rsidRPr="00CA0D54">
          <w:rPr>
            <w:rStyle w:val="Hyperlink"/>
            <w:rFonts w:ascii="FrankRuehl" w:hAnsi="FrankRuehl" w:cs="FrankRuehl"/>
          </w:rPr>
          <w:t>)</w:t>
        </w:r>
      </w:hyperlink>
    </w:p>
    <w:p w14:paraId="34214E8F" w14:textId="77777777" w:rsidR="00CA0D54" w:rsidRPr="00CA0D54" w:rsidRDefault="00CA0D54" w:rsidP="00CA0D54">
      <w:pPr>
        <w:spacing w:after="120" w:line="240" w:lineRule="exact"/>
        <w:ind w:left="283" w:hanging="283"/>
        <w:jc w:val="both"/>
        <w:rPr>
          <w:rFonts w:ascii="FrankRuehl" w:hAnsi="FrankRuehl" w:cs="FrankRuehl"/>
          <w:color w:val="0000FF"/>
          <w:u w:val="single"/>
          <w:rtl/>
        </w:rPr>
      </w:pPr>
      <w:hyperlink r:id="rId9" w:history="1">
        <w:r w:rsidRPr="00CA0D54">
          <w:rPr>
            <w:rStyle w:val="Hyperlink"/>
            <w:rFonts w:ascii="FrankRuehl" w:hAnsi="FrankRuehl" w:cs="FrankRuehl"/>
            <w:rtl/>
          </w:rPr>
          <w:t>חוק העונשין, תשל"ז-1977</w:t>
        </w:r>
      </w:hyperlink>
      <w:r w:rsidRPr="00CA0D54">
        <w:rPr>
          <w:rFonts w:ascii="FrankRuehl" w:hAnsi="FrankRuehl" w:cs="FrankRuehl"/>
          <w:color w:val="0000FF"/>
          <w:u w:val="single"/>
          <w:rtl/>
        </w:rPr>
        <w:t xml:space="preserve">: סע'  </w:t>
      </w:r>
      <w:hyperlink r:id="rId10" w:history="1">
        <w:r w:rsidRPr="00CA0D54">
          <w:rPr>
            <w:rStyle w:val="Hyperlink"/>
            <w:rFonts w:ascii="FrankRuehl" w:hAnsi="FrankRuehl" w:cs="FrankRuehl"/>
          </w:rPr>
          <w:t>40</w:t>
        </w:r>
        <w:r w:rsidRPr="00CA0D54">
          <w:rPr>
            <w:rStyle w:val="Hyperlink"/>
            <w:rFonts w:ascii="FrankRuehl" w:hAnsi="FrankRuehl" w:cs="FrankRuehl"/>
            <w:rtl/>
          </w:rPr>
          <w:t>ד</w:t>
        </w:r>
        <w:r w:rsidRPr="00CA0D54">
          <w:rPr>
            <w:rStyle w:val="Hyperlink"/>
            <w:rFonts w:ascii="FrankRuehl" w:hAnsi="FrankRuehl" w:cs="FrankRuehl"/>
          </w:rPr>
          <w:t>'</w:t>
        </w:r>
      </w:hyperlink>
      <w:r w:rsidRPr="00CA0D54">
        <w:rPr>
          <w:rFonts w:ascii="FrankRuehl" w:hAnsi="FrankRuehl" w:cs="FrankRuehl"/>
          <w:color w:val="0000FF"/>
          <w:u w:val="single"/>
          <w:rtl/>
        </w:rPr>
        <w:t xml:space="preserve">, </w:t>
      </w:r>
      <w:hyperlink r:id="rId11" w:history="1">
        <w:r w:rsidRPr="00CA0D54">
          <w:rPr>
            <w:rStyle w:val="Hyperlink"/>
            <w:rFonts w:ascii="FrankRuehl" w:hAnsi="FrankRuehl" w:cs="FrankRuehl"/>
          </w:rPr>
          <w:t>56</w:t>
        </w:r>
      </w:hyperlink>
      <w:r w:rsidRPr="00CA0D54">
        <w:rPr>
          <w:rFonts w:ascii="FrankRuehl" w:hAnsi="FrankRuehl" w:cs="FrankRuehl"/>
          <w:color w:val="0000FF"/>
          <w:u w:val="single"/>
          <w:rtl/>
        </w:rPr>
        <w:t xml:space="preserve">, </w:t>
      </w:r>
      <w:hyperlink r:id="rId12" w:history="1">
        <w:r w:rsidRPr="00CA0D54">
          <w:rPr>
            <w:rStyle w:val="Hyperlink"/>
            <w:rFonts w:ascii="FrankRuehl" w:hAnsi="FrankRuehl" w:cs="FrankRuehl"/>
          </w:rPr>
          <w:t>192</w:t>
        </w:r>
      </w:hyperlink>
      <w:r w:rsidRPr="00CA0D54">
        <w:rPr>
          <w:rFonts w:ascii="FrankRuehl" w:hAnsi="FrankRuehl" w:cs="FrankRuehl"/>
          <w:color w:val="0000FF"/>
          <w:u w:val="single"/>
          <w:rtl/>
        </w:rPr>
        <w:t xml:space="preserve">, </w:t>
      </w:r>
      <w:hyperlink r:id="rId13" w:history="1">
        <w:r w:rsidRPr="00CA0D54">
          <w:rPr>
            <w:rStyle w:val="Hyperlink"/>
            <w:rFonts w:ascii="FrankRuehl" w:hAnsi="FrankRuehl" w:cs="FrankRuehl"/>
          </w:rPr>
          <w:t>40</w:t>
        </w:r>
        <w:r w:rsidRPr="00CA0D54">
          <w:rPr>
            <w:rStyle w:val="Hyperlink"/>
            <w:rFonts w:ascii="FrankRuehl" w:hAnsi="FrankRuehl" w:cs="FrankRuehl"/>
            <w:rtl/>
          </w:rPr>
          <w:t>יג(ב</w:t>
        </w:r>
        <w:r w:rsidRPr="00CA0D54">
          <w:rPr>
            <w:rStyle w:val="Hyperlink"/>
            <w:rFonts w:ascii="FrankRuehl" w:hAnsi="FrankRuehl" w:cs="FrankRuehl"/>
          </w:rPr>
          <w:t>)</w:t>
        </w:r>
      </w:hyperlink>
    </w:p>
    <w:p w14:paraId="7CCF8968" w14:textId="77777777" w:rsidR="00CA0D54" w:rsidRPr="00CA0D54" w:rsidRDefault="00CA0D54" w:rsidP="00CA0D54">
      <w:pPr>
        <w:spacing w:after="120" w:line="240" w:lineRule="exact"/>
        <w:ind w:left="283" w:hanging="283"/>
        <w:jc w:val="both"/>
        <w:rPr>
          <w:rFonts w:ascii="FrankRuehl" w:hAnsi="FrankRuehl" w:cs="FrankRuehl"/>
          <w:color w:val="0000FF"/>
          <w:u w:val="single"/>
          <w:rtl/>
        </w:rPr>
      </w:pPr>
      <w:hyperlink r:id="rId14" w:history="1">
        <w:r w:rsidRPr="00CA0D54">
          <w:rPr>
            <w:rStyle w:val="Hyperlink"/>
            <w:rFonts w:ascii="FrankRuehl" w:hAnsi="FrankRuehl" w:cs="FrankRuehl"/>
            <w:rtl/>
          </w:rPr>
          <w:t>חוק טיפול בחולי נפש, תשנ"א-1991</w:t>
        </w:r>
      </w:hyperlink>
    </w:p>
    <w:p w14:paraId="40D7433B" w14:textId="77777777" w:rsidR="00CA0D54" w:rsidRPr="00CA0D54" w:rsidRDefault="00CA0D54" w:rsidP="00CA0D54">
      <w:pPr>
        <w:spacing w:after="120" w:line="240" w:lineRule="exact"/>
        <w:ind w:left="283" w:hanging="283"/>
        <w:jc w:val="both"/>
        <w:rPr>
          <w:rFonts w:ascii="FrankRuehl" w:hAnsi="FrankRuehl" w:cs="FrankRuehl"/>
          <w:color w:val="0000FF"/>
          <w:u w:val="single"/>
          <w:rtl/>
        </w:rPr>
      </w:pPr>
      <w:hyperlink r:id="rId15" w:history="1">
        <w:r w:rsidRPr="00CA0D54">
          <w:rPr>
            <w:rStyle w:val="Hyperlink"/>
            <w:rFonts w:ascii="FrankRuehl" w:hAnsi="FrankRuehl" w:cs="FrankRuehl"/>
            <w:rtl/>
          </w:rPr>
          <w:t>פקודת המבחן [נוסח חדש], תשכ"ט-1969</w:t>
        </w:r>
      </w:hyperlink>
      <w:r w:rsidRPr="00CA0D54">
        <w:rPr>
          <w:rFonts w:ascii="FrankRuehl" w:hAnsi="FrankRuehl" w:cs="FrankRuehl"/>
          <w:color w:val="0000FF"/>
          <w:u w:val="single"/>
          <w:rtl/>
        </w:rPr>
        <w:t xml:space="preserve">: סע'  </w:t>
      </w:r>
      <w:hyperlink r:id="rId16" w:history="1">
        <w:r w:rsidRPr="00CA0D54">
          <w:rPr>
            <w:rStyle w:val="Hyperlink"/>
            <w:rFonts w:ascii="FrankRuehl" w:hAnsi="FrankRuehl" w:cs="FrankRuehl"/>
          </w:rPr>
          <w:t>5(2)</w:t>
        </w:r>
      </w:hyperlink>
    </w:p>
    <w:p w14:paraId="1D3B105E" w14:textId="77777777" w:rsidR="00CA0D54" w:rsidRPr="00CA0D54" w:rsidRDefault="00CA0D54" w:rsidP="00CA0D54">
      <w:pPr>
        <w:spacing w:after="120" w:line="240" w:lineRule="exact"/>
        <w:ind w:left="283" w:hanging="283"/>
        <w:jc w:val="both"/>
        <w:rPr>
          <w:rFonts w:ascii="FrankRuehl" w:hAnsi="FrankRuehl" w:cs="FrankRuehl"/>
          <w:rtl/>
        </w:rPr>
      </w:pPr>
    </w:p>
    <w:p w14:paraId="7DEFA922" w14:textId="77777777" w:rsidR="00CA0D54" w:rsidRPr="00CA0D54" w:rsidRDefault="00CA0D54" w:rsidP="000A161F">
      <w:pPr>
        <w:rPr>
          <w:rtl/>
        </w:rPr>
      </w:pPr>
      <w:bookmarkStart w:id="4" w:name="LawTable_End"/>
      <w:bookmarkEnd w:id="4"/>
    </w:p>
    <w:p w14:paraId="6E386606" w14:textId="77777777" w:rsidR="00DD2CC9" w:rsidRDefault="00DD2CC9" w:rsidP="000A161F">
      <w:pPr>
        <w:rPr>
          <w:rtl/>
        </w:rPr>
      </w:pPr>
    </w:p>
    <w:p w14:paraId="04AEEAF2" w14:textId="77777777" w:rsidR="00DD2CC9" w:rsidRPr="00DD2CC9" w:rsidRDefault="00DD2CC9" w:rsidP="00DD2CC9">
      <w:pPr>
        <w:spacing w:after="120" w:line="240" w:lineRule="exact"/>
        <w:ind w:left="283" w:hanging="283"/>
        <w:jc w:val="both"/>
        <w:rPr>
          <w:rFonts w:ascii="FrankRuehl" w:hAnsi="FrankRuehl" w:cs="FrankRuehl"/>
          <w:rtl/>
        </w:rPr>
      </w:pPr>
    </w:p>
    <w:p w14:paraId="4577F5A5" w14:textId="77777777" w:rsidR="00DD2CC9" w:rsidRPr="00DD2CC9" w:rsidRDefault="00DD2CC9" w:rsidP="00DD2CC9">
      <w:pPr>
        <w:spacing w:after="120" w:line="240" w:lineRule="exact"/>
        <w:ind w:left="283" w:hanging="283"/>
        <w:jc w:val="both"/>
        <w:rPr>
          <w:rFonts w:ascii="FrankRuehl" w:hAnsi="FrankRuehl" w:cs="FrankRuehl"/>
          <w:rtl/>
        </w:rPr>
      </w:pPr>
      <w:r w:rsidRPr="00DD2CC9">
        <w:rPr>
          <w:rFonts w:ascii="FrankRuehl" w:hAnsi="FrankRuehl" w:cs="FrankRuehl"/>
          <w:rtl/>
        </w:rPr>
        <w:t xml:space="preserve">חקיקה שאוזכרה: </w:t>
      </w:r>
    </w:p>
    <w:p w14:paraId="26178978" w14:textId="77777777" w:rsidR="00DD2CC9" w:rsidRPr="00DD2CC9" w:rsidRDefault="00DD2CC9" w:rsidP="00DD2CC9">
      <w:pPr>
        <w:spacing w:after="120" w:line="240" w:lineRule="exact"/>
        <w:ind w:left="283" w:hanging="283"/>
        <w:jc w:val="both"/>
        <w:rPr>
          <w:rFonts w:ascii="FrankRuehl" w:hAnsi="FrankRuehl" w:cs="FrankRuehl"/>
          <w:rtl/>
        </w:rPr>
      </w:pPr>
      <w:hyperlink r:id="rId17" w:history="1">
        <w:r w:rsidRPr="00DD2CC9">
          <w:rPr>
            <w:rFonts w:ascii="FrankRuehl" w:hAnsi="FrankRuehl" w:cs="FrankRuehl"/>
            <w:color w:val="0000FF"/>
            <w:u w:val="single"/>
            <w:rtl/>
          </w:rPr>
          <w:t>פקודת הסמים המסוכנים [נוסח חדש], תשל"ג-1973</w:t>
        </w:r>
      </w:hyperlink>
      <w:r w:rsidRPr="00DD2CC9">
        <w:rPr>
          <w:rFonts w:ascii="FrankRuehl" w:hAnsi="FrankRuehl" w:cs="FrankRuehl"/>
          <w:rtl/>
        </w:rPr>
        <w:t xml:space="preserve">: סע'  </w:t>
      </w:r>
      <w:hyperlink r:id="rId18" w:history="1">
        <w:r w:rsidRPr="00DD2CC9">
          <w:rPr>
            <w:rFonts w:ascii="FrankRuehl" w:hAnsi="FrankRuehl" w:cs="FrankRuehl"/>
            <w:color w:val="0000FF"/>
            <w:u w:val="single"/>
            <w:rtl/>
          </w:rPr>
          <w:t>7(א)(ג)</w:t>
        </w:r>
      </w:hyperlink>
    </w:p>
    <w:p w14:paraId="700181DB" w14:textId="77777777" w:rsidR="00DD2CC9" w:rsidRPr="00DD2CC9" w:rsidRDefault="00DD2CC9" w:rsidP="00DD2CC9">
      <w:pPr>
        <w:spacing w:after="120" w:line="240" w:lineRule="exact"/>
        <w:ind w:left="283" w:hanging="283"/>
        <w:jc w:val="both"/>
        <w:rPr>
          <w:rFonts w:ascii="FrankRuehl" w:hAnsi="FrankRuehl" w:cs="FrankRuehl"/>
          <w:rtl/>
        </w:rPr>
      </w:pPr>
      <w:hyperlink r:id="rId19" w:history="1">
        <w:r w:rsidRPr="00DD2CC9">
          <w:rPr>
            <w:rFonts w:ascii="FrankRuehl" w:hAnsi="FrankRuehl" w:cs="FrankRuehl"/>
            <w:color w:val="0000FF"/>
            <w:u w:val="single"/>
            <w:rtl/>
          </w:rPr>
          <w:t>חוק העונשין, תשל"ז-1977</w:t>
        </w:r>
      </w:hyperlink>
      <w:r w:rsidRPr="00DD2CC9">
        <w:rPr>
          <w:rFonts w:ascii="FrankRuehl" w:hAnsi="FrankRuehl" w:cs="FrankRuehl"/>
          <w:rtl/>
        </w:rPr>
        <w:t xml:space="preserve">: סע'  </w:t>
      </w:r>
      <w:hyperlink r:id="rId20" w:history="1">
        <w:r w:rsidRPr="00DD2CC9">
          <w:rPr>
            <w:rFonts w:ascii="FrankRuehl" w:hAnsi="FrankRuehl" w:cs="FrankRuehl"/>
            <w:color w:val="0000FF"/>
            <w:u w:val="single"/>
            <w:rtl/>
          </w:rPr>
          <w:t>40ד'</w:t>
        </w:r>
      </w:hyperlink>
      <w:r w:rsidRPr="00DD2CC9">
        <w:rPr>
          <w:rFonts w:ascii="FrankRuehl" w:hAnsi="FrankRuehl" w:cs="FrankRuehl"/>
          <w:rtl/>
        </w:rPr>
        <w:t xml:space="preserve">, </w:t>
      </w:r>
      <w:hyperlink r:id="rId21" w:history="1">
        <w:r w:rsidRPr="00DD2CC9">
          <w:rPr>
            <w:rFonts w:ascii="FrankRuehl" w:hAnsi="FrankRuehl" w:cs="FrankRuehl"/>
            <w:color w:val="0000FF"/>
            <w:u w:val="single"/>
            <w:rtl/>
          </w:rPr>
          <w:t>56</w:t>
        </w:r>
      </w:hyperlink>
      <w:r w:rsidRPr="00DD2CC9">
        <w:rPr>
          <w:rFonts w:ascii="FrankRuehl" w:hAnsi="FrankRuehl" w:cs="FrankRuehl"/>
          <w:rtl/>
        </w:rPr>
        <w:t xml:space="preserve">, </w:t>
      </w:r>
      <w:hyperlink r:id="rId22" w:history="1">
        <w:r w:rsidRPr="00DD2CC9">
          <w:rPr>
            <w:rFonts w:ascii="FrankRuehl" w:hAnsi="FrankRuehl" w:cs="FrankRuehl"/>
            <w:color w:val="0000FF"/>
            <w:u w:val="single"/>
            <w:rtl/>
          </w:rPr>
          <w:t>192</w:t>
        </w:r>
      </w:hyperlink>
      <w:r w:rsidRPr="00DD2CC9">
        <w:rPr>
          <w:rFonts w:ascii="FrankRuehl" w:hAnsi="FrankRuehl" w:cs="FrankRuehl"/>
          <w:rtl/>
        </w:rPr>
        <w:t xml:space="preserve">, </w:t>
      </w:r>
      <w:hyperlink r:id="rId23" w:history="1">
        <w:r w:rsidRPr="00DD2CC9">
          <w:rPr>
            <w:rFonts w:ascii="FrankRuehl" w:hAnsi="FrankRuehl" w:cs="FrankRuehl"/>
            <w:color w:val="0000FF"/>
            <w:u w:val="single"/>
            <w:rtl/>
          </w:rPr>
          <w:t>40יג(ב)</w:t>
        </w:r>
      </w:hyperlink>
    </w:p>
    <w:p w14:paraId="04DF906B" w14:textId="77777777" w:rsidR="00DD2CC9" w:rsidRPr="00DD2CC9" w:rsidRDefault="00DD2CC9" w:rsidP="00DD2CC9">
      <w:pPr>
        <w:spacing w:after="120" w:line="240" w:lineRule="exact"/>
        <w:ind w:left="283" w:hanging="283"/>
        <w:jc w:val="both"/>
        <w:rPr>
          <w:rFonts w:ascii="FrankRuehl" w:hAnsi="FrankRuehl" w:cs="FrankRuehl"/>
          <w:rtl/>
        </w:rPr>
      </w:pPr>
      <w:hyperlink r:id="rId24" w:history="1">
        <w:r w:rsidRPr="00DD2CC9">
          <w:rPr>
            <w:rFonts w:ascii="FrankRuehl" w:hAnsi="FrankRuehl" w:cs="FrankRuehl"/>
            <w:color w:val="0000FF"/>
            <w:u w:val="single"/>
            <w:rtl/>
          </w:rPr>
          <w:t>חוק טיפול בחולי נפש, תשנ"א-1991</w:t>
        </w:r>
      </w:hyperlink>
    </w:p>
    <w:p w14:paraId="0FB4150B" w14:textId="77777777" w:rsidR="00DD2CC9" w:rsidRPr="00DD2CC9" w:rsidRDefault="00DD2CC9" w:rsidP="00DD2CC9">
      <w:pPr>
        <w:spacing w:after="120" w:line="240" w:lineRule="exact"/>
        <w:ind w:left="283" w:hanging="283"/>
        <w:jc w:val="both"/>
        <w:rPr>
          <w:rFonts w:ascii="FrankRuehl" w:hAnsi="FrankRuehl" w:cs="FrankRuehl"/>
          <w:rtl/>
        </w:rPr>
      </w:pPr>
      <w:hyperlink r:id="rId25" w:history="1">
        <w:r w:rsidRPr="00DD2CC9">
          <w:rPr>
            <w:rFonts w:ascii="FrankRuehl" w:hAnsi="FrankRuehl" w:cs="FrankRuehl"/>
            <w:color w:val="0000FF"/>
            <w:u w:val="single"/>
            <w:rtl/>
          </w:rPr>
          <w:t>פקודת המבחן [נוסח חדש], תשכ"ט-1969</w:t>
        </w:r>
      </w:hyperlink>
      <w:r w:rsidRPr="00DD2CC9">
        <w:rPr>
          <w:rFonts w:ascii="FrankRuehl" w:hAnsi="FrankRuehl" w:cs="FrankRuehl"/>
          <w:rtl/>
        </w:rPr>
        <w:t xml:space="preserve">: סע'  </w:t>
      </w:r>
      <w:hyperlink r:id="rId26" w:history="1">
        <w:r w:rsidRPr="00DD2CC9">
          <w:rPr>
            <w:rFonts w:ascii="FrankRuehl" w:hAnsi="FrankRuehl" w:cs="FrankRuehl"/>
            <w:color w:val="0000FF"/>
            <w:u w:val="single"/>
            <w:rtl/>
          </w:rPr>
          <w:t>5(2)</w:t>
        </w:r>
      </w:hyperlink>
    </w:p>
    <w:p w14:paraId="0A97F501" w14:textId="77777777" w:rsidR="000A161F" w:rsidRPr="00BA5975" w:rsidRDefault="000A161F" w:rsidP="000A161F">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A161F" w14:paraId="73CBC929" w14:textId="77777777" w:rsidTr="00BA5975">
        <w:trPr>
          <w:trHeight w:val="355"/>
          <w:jc w:val="center"/>
        </w:trPr>
        <w:tc>
          <w:tcPr>
            <w:tcW w:w="8820" w:type="dxa"/>
            <w:tcBorders>
              <w:top w:val="nil"/>
              <w:left w:val="nil"/>
              <w:bottom w:val="nil"/>
              <w:right w:val="nil"/>
            </w:tcBorders>
            <w:shd w:val="clear" w:color="auto" w:fill="auto"/>
          </w:tcPr>
          <w:p w14:paraId="029EEF13" w14:textId="77777777" w:rsidR="00BA5975" w:rsidRPr="00BA5975" w:rsidRDefault="00BA5975" w:rsidP="00BA5975">
            <w:pPr>
              <w:jc w:val="center"/>
              <w:rPr>
                <w:rFonts w:ascii="Arial" w:hAnsi="Arial" w:cs="FrankRuehl"/>
                <w:b/>
                <w:bCs/>
                <w:sz w:val="32"/>
                <w:szCs w:val="32"/>
                <w:u w:val="single"/>
                <w:rtl/>
              </w:rPr>
            </w:pPr>
            <w:bookmarkStart w:id="5" w:name="PsakDin" w:colFirst="0" w:colLast="0"/>
            <w:bookmarkEnd w:id="0"/>
            <w:bookmarkEnd w:id="1"/>
            <w:r w:rsidRPr="00BA5975">
              <w:rPr>
                <w:rFonts w:ascii="Arial" w:hAnsi="Arial" w:cs="FrankRuehl"/>
                <w:b/>
                <w:bCs/>
                <w:sz w:val="32"/>
                <w:szCs w:val="32"/>
                <w:u w:val="single"/>
                <w:rtl/>
              </w:rPr>
              <w:t>גזר דין</w:t>
            </w:r>
          </w:p>
          <w:p w14:paraId="264658DC" w14:textId="77777777" w:rsidR="000A161F" w:rsidRPr="00BA5975" w:rsidRDefault="000A161F" w:rsidP="00BA5975">
            <w:pPr>
              <w:jc w:val="center"/>
              <w:rPr>
                <w:rFonts w:ascii="Arial" w:hAnsi="Arial" w:cs="FrankRuehl"/>
                <w:bCs/>
                <w:sz w:val="32"/>
                <w:szCs w:val="32"/>
                <w:u w:val="single"/>
                <w:rtl/>
              </w:rPr>
            </w:pPr>
          </w:p>
        </w:tc>
      </w:tr>
      <w:bookmarkEnd w:id="5"/>
    </w:tbl>
    <w:p w14:paraId="6BF1278C" w14:textId="77777777" w:rsidR="000A161F" w:rsidRPr="00B05847" w:rsidRDefault="000A161F" w:rsidP="000A161F">
      <w:pPr>
        <w:rPr>
          <w:rFonts w:ascii="Arial" w:hAnsi="Arial"/>
          <w:rtl/>
        </w:rPr>
      </w:pPr>
    </w:p>
    <w:p w14:paraId="1D87173A" w14:textId="77777777" w:rsidR="000A161F" w:rsidRDefault="000A161F" w:rsidP="000A161F">
      <w:pPr>
        <w:spacing w:after="160" w:line="360" w:lineRule="auto"/>
        <w:ind w:firstLine="360"/>
        <w:contextualSpacing/>
        <w:jc w:val="both"/>
        <w:rPr>
          <w:rFonts w:ascii="Calibri" w:eastAsia="Calibri" w:hAnsi="Calibri"/>
          <w:b/>
          <w:bCs/>
          <w:u w:val="single"/>
          <w:rtl/>
        </w:rPr>
      </w:pPr>
    </w:p>
    <w:p w14:paraId="6292DF2A" w14:textId="77777777" w:rsidR="000A161F" w:rsidRPr="00527C8E" w:rsidRDefault="000A161F" w:rsidP="000A161F">
      <w:pPr>
        <w:spacing w:after="160" w:line="360" w:lineRule="auto"/>
        <w:ind w:firstLine="360"/>
        <w:contextualSpacing/>
        <w:jc w:val="both"/>
        <w:rPr>
          <w:rFonts w:ascii="Calibri" w:eastAsia="Calibri" w:hAnsi="Calibri" w:cs="Times New Roman"/>
          <w:b/>
          <w:bCs/>
          <w:u w:val="single"/>
        </w:rPr>
      </w:pPr>
      <w:r w:rsidRPr="00527C8E">
        <w:rPr>
          <w:rFonts w:ascii="Calibri" w:eastAsia="Calibri" w:hAnsi="Calibri" w:hint="cs"/>
          <w:b/>
          <w:bCs/>
          <w:u w:val="single"/>
          <w:rtl/>
        </w:rPr>
        <w:t>כתב</w:t>
      </w:r>
      <w:r>
        <w:rPr>
          <w:rFonts w:ascii="Calibri" w:eastAsia="Calibri" w:hAnsi="Calibri" w:hint="cs"/>
          <w:b/>
          <w:bCs/>
          <w:u w:val="single"/>
          <w:rtl/>
        </w:rPr>
        <w:t>י</w:t>
      </w:r>
      <w:r w:rsidRPr="00527C8E">
        <w:rPr>
          <w:rFonts w:ascii="Calibri" w:eastAsia="Calibri" w:hAnsi="Calibri" w:hint="cs"/>
          <w:b/>
          <w:bCs/>
          <w:u w:val="single"/>
          <w:rtl/>
        </w:rPr>
        <w:t xml:space="preserve"> האישום וההליכים </w:t>
      </w:r>
    </w:p>
    <w:p w14:paraId="378838F5" w14:textId="77777777" w:rsidR="000A161F" w:rsidRPr="00527C8E" w:rsidRDefault="000A161F" w:rsidP="000A161F">
      <w:pPr>
        <w:spacing w:after="160" w:line="360" w:lineRule="auto"/>
        <w:ind w:left="720"/>
        <w:contextualSpacing/>
        <w:jc w:val="both"/>
        <w:rPr>
          <w:rFonts w:ascii="Calibri" w:eastAsia="Calibri" w:hAnsi="Calibri" w:cs="Times New Roman"/>
        </w:rPr>
      </w:pPr>
    </w:p>
    <w:p w14:paraId="7FFDDBA7" w14:textId="77777777" w:rsidR="000A161F" w:rsidRPr="00CF5629" w:rsidRDefault="000A161F" w:rsidP="000A161F">
      <w:pPr>
        <w:numPr>
          <w:ilvl w:val="0"/>
          <w:numId w:val="1"/>
        </w:numPr>
        <w:spacing w:after="160" w:line="360" w:lineRule="auto"/>
        <w:contextualSpacing/>
        <w:jc w:val="both"/>
        <w:rPr>
          <w:rFonts w:ascii="Calibri" w:eastAsia="Calibri" w:hAnsi="Calibri" w:cs="Times New Roman"/>
        </w:rPr>
      </w:pPr>
      <w:bookmarkStart w:id="6" w:name="ABSTRACT_START"/>
      <w:bookmarkEnd w:id="6"/>
      <w:r w:rsidRPr="00527C8E">
        <w:rPr>
          <w:rFonts w:ascii="Calibri" w:eastAsia="Calibri" w:hAnsi="Calibri" w:hint="cs"/>
          <w:rtl/>
        </w:rPr>
        <w:t xml:space="preserve">הנאשם הורשע על פי הודאתו בעבירה שעניינה החזקת סם לשימוש עצמי, עבירה לפי </w:t>
      </w:r>
      <w:hyperlink r:id="rId27" w:history="1">
        <w:r w:rsidR="00DD2CC9" w:rsidRPr="00DD2CC9">
          <w:rPr>
            <w:rFonts w:ascii="Calibri" w:eastAsia="Calibri" w:hAnsi="Calibri" w:hint="cs"/>
            <w:color w:val="0000FF"/>
            <w:u w:val="single"/>
            <w:rtl/>
          </w:rPr>
          <w:t>סעיף</w:t>
        </w:r>
        <w:r w:rsidR="00DD2CC9" w:rsidRPr="00DD2CC9">
          <w:rPr>
            <w:rFonts w:ascii="Calibri" w:eastAsia="Calibri" w:hAnsi="Calibri"/>
            <w:color w:val="0000FF"/>
            <w:u w:val="single"/>
            <w:rtl/>
          </w:rPr>
          <w:t xml:space="preserve">     7(</w:t>
        </w:r>
        <w:r w:rsidR="00DD2CC9" w:rsidRPr="00DD2CC9">
          <w:rPr>
            <w:rFonts w:ascii="Calibri" w:eastAsia="Calibri" w:hAnsi="Calibri" w:hint="cs"/>
            <w:color w:val="0000FF"/>
            <w:u w:val="single"/>
            <w:rtl/>
          </w:rPr>
          <w:t>א</w:t>
        </w:r>
        <w:r w:rsidR="00DD2CC9" w:rsidRPr="00DD2CC9">
          <w:rPr>
            <w:rFonts w:ascii="Calibri" w:eastAsia="Calibri" w:hAnsi="Calibri"/>
            <w:color w:val="0000FF"/>
            <w:u w:val="single"/>
            <w:rtl/>
          </w:rPr>
          <w:t>)(</w:t>
        </w:r>
        <w:r w:rsidR="00DD2CC9" w:rsidRPr="00DD2CC9">
          <w:rPr>
            <w:rFonts w:ascii="Calibri" w:eastAsia="Calibri" w:hAnsi="Calibri" w:hint="cs"/>
            <w:color w:val="0000FF"/>
            <w:u w:val="single"/>
            <w:rtl/>
          </w:rPr>
          <w:t>ג</w:t>
        </w:r>
        <w:r w:rsidR="00DD2CC9" w:rsidRPr="00DD2CC9">
          <w:rPr>
            <w:rFonts w:ascii="Calibri" w:eastAsia="Calibri" w:hAnsi="Calibri"/>
            <w:color w:val="0000FF"/>
            <w:u w:val="single"/>
            <w:rtl/>
          </w:rPr>
          <w:t>)</w:t>
        </w:r>
      </w:hyperlink>
      <w:r w:rsidRPr="00527C8E">
        <w:rPr>
          <w:rFonts w:ascii="Calibri" w:eastAsia="Calibri" w:hAnsi="Calibri" w:hint="cs"/>
          <w:rtl/>
        </w:rPr>
        <w:t xml:space="preserve"> סיפא </w:t>
      </w:r>
      <w:hyperlink r:id="rId28" w:history="1">
        <w:r w:rsidR="00DD2CC9" w:rsidRPr="00DD2CC9">
          <w:rPr>
            <w:rFonts w:ascii="Calibri" w:eastAsia="Calibri" w:hAnsi="Calibri" w:hint="cs"/>
            <w:color w:val="0000FF"/>
            <w:u w:val="single"/>
            <w:rtl/>
          </w:rPr>
          <w:t>לפקודת</w:t>
        </w:r>
        <w:r w:rsidR="00DD2CC9" w:rsidRPr="00DD2CC9">
          <w:rPr>
            <w:rFonts w:ascii="Calibri" w:eastAsia="Calibri" w:hAnsi="Calibri"/>
            <w:color w:val="0000FF"/>
            <w:u w:val="single"/>
            <w:rtl/>
          </w:rPr>
          <w:t xml:space="preserve"> </w:t>
        </w:r>
        <w:r w:rsidR="00DD2CC9" w:rsidRPr="00DD2CC9">
          <w:rPr>
            <w:rFonts w:ascii="Calibri" w:eastAsia="Calibri" w:hAnsi="Calibri" w:hint="cs"/>
            <w:color w:val="0000FF"/>
            <w:u w:val="single"/>
            <w:rtl/>
          </w:rPr>
          <w:t>הסמים</w:t>
        </w:r>
        <w:r w:rsidR="00DD2CC9" w:rsidRPr="00DD2CC9">
          <w:rPr>
            <w:rFonts w:ascii="Calibri" w:eastAsia="Calibri" w:hAnsi="Calibri"/>
            <w:color w:val="0000FF"/>
            <w:u w:val="single"/>
            <w:rtl/>
          </w:rPr>
          <w:t xml:space="preserve">, </w:t>
        </w:r>
        <w:r w:rsidR="00DD2CC9" w:rsidRPr="00DD2CC9">
          <w:rPr>
            <w:rFonts w:ascii="Calibri" w:eastAsia="Calibri" w:hAnsi="Calibri" w:hint="cs"/>
            <w:color w:val="0000FF"/>
            <w:u w:val="single"/>
            <w:rtl/>
          </w:rPr>
          <w:t>תשל</w:t>
        </w:r>
        <w:r w:rsidR="00DD2CC9" w:rsidRPr="00DD2CC9">
          <w:rPr>
            <w:rFonts w:ascii="Calibri" w:eastAsia="Calibri" w:hAnsi="Calibri"/>
            <w:color w:val="0000FF"/>
            <w:u w:val="single"/>
            <w:rtl/>
          </w:rPr>
          <w:t>"</w:t>
        </w:r>
        <w:r w:rsidR="00DD2CC9" w:rsidRPr="00DD2CC9">
          <w:rPr>
            <w:rFonts w:ascii="Calibri" w:eastAsia="Calibri" w:hAnsi="Calibri" w:hint="cs"/>
            <w:color w:val="0000FF"/>
            <w:u w:val="single"/>
            <w:rtl/>
          </w:rPr>
          <w:t>ג</w:t>
        </w:r>
        <w:r w:rsidR="00DD2CC9" w:rsidRPr="00DD2CC9">
          <w:rPr>
            <w:rFonts w:ascii="Calibri" w:eastAsia="Calibri" w:hAnsi="Calibri"/>
            <w:color w:val="0000FF"/>
            <w:u w:val="single"/>
            <w:rtl/>
          </w:rPr>
          <w:t>-1973</w:t>
        </w:r>
      </w:hyperlink>
      <w:r w:rsidRPr="00527C8E">
        <w:rPr>
          <w:rFonts w:ascii="Calibri" w:eastAsia="Calibri" w:hAnsi="Calibri" w:hint="cs"/>
          <w:rtl/>
        </w:rPr>
        <w:t xml:space="preserve">. מכתב האישום בעניין זה עולה כי ביום 2.1.13 החזיק הנאשם בסם מסוג קוקאין במשקל 0.97 ג' וזאת לשימוש אישי. </w:t>
      </w:r>
    </w:p>
    <w:p w14:paraId="48E08EE7" w14:textId="77777777" w:rsidR="000A161F" w:rsidRDefault="000A161F" w:rsidP="000A161F">
      <w:pPr>
        <w:spacing w:after="160" w:line="360" w:lineRule="auto"/>
        <w:ind w:left="720"/>
        <w:contextualSpacing/>
        <w:jc w:val="both"/>
        <w:rPr>
          <w:rFonts w:ascii="Calibri" w:eastAsia="Calibri" w:hAnsi="Calibri"/>
          <w:rtl/>
        </w:rPr>
      </w:pPr>
    </w:p>
    <w:p w14:paraId="69D709DC" w14:textId="77777777" w:rsidR="000A161F" w:rsidRPr="004806FE" w:rsidRDefault="000A161F" w:rsidP="000A161F">
      <w:pPr>
        <w:spacing w:after="160" w:line="360" w:lineRule="auto"/>
        <w:ind w:left="720"/>
        <w:contextualSpacing/>
        <w:jc w:val="both"/>
        <w:rPr>
          <w:rFonts w:ascii="Calibri" w:eastAsia="Calibri" w:hAnsi="Calibri" w:cs="Times New Roman"/>
        </w:rPr>
      </w:pPr>
      <w:r w:rsidRPr="00527C8E">
        <w:rPr>
          <w:rFonts w:ascii="Calibri" w:eastAsia="Calibri" w:hAnsi="Calibri" w:hint="cs"/>
          <w:rtl/>
        </w:rPr>
        <w:t xml:space="preserve">הנאשם צירף תיק נוסף, בו יוחסה לו עבירת איומים לפי </w:t>
      </w:r>
      <w:hyperlink r:id="rId29" w:history="1">
        <w:r w:rsidR="00DD2CC9" w:rsidRPr="00DD2CC9">
          <w:rPr>
            <w:rFonts w:ascii="Calibri" w:eastAsia="Calibri" w:hAnsi="Calibri" w:hint="cs"/>
            <w:color w:val="0000FF"/>
            <w:u w:val="single"/>
            <w:rtl/>
          </w:rPr>
          <w:t>סעיף</w:t>
        </w:r>
        <w:r w:rsidR="00DD2CC9" w:rsidRPr="00DD2CC9">
          <w:rPr>
            <w:rFonts w:ascii="Calibri" w:eastAsia="Calibri" w:hAnsi="Calibri"/>
            <w:color w:val="0000FF"/>
            <w:u w:val="single"/>
            <w:rtl/>
          </w:rPr>
          <w:t xml:space="preserve"> 192</w:t>
        </w:r>
      </w:hyperlink>
      <w:r w:rsidRPr="00527C8E">
        <w:rPr>
          <w:rFonts w:ascii="Calibri" w:eastAsia="Calibri" w:hAnsi="Calibri" w:hint="cs"/>
          <w:rtl/>
        </w:rPr>
        <w:t xml:space="preserve"> ל</w:t>
      </w:r>
      <w:hyperlink r:id="rId30" w:history="1">
        <w:r w:rsidR="00BA5975" w:rsidRPr="00BA5975">
          <w:rPr>
            <w:rStyle w:val="Hyperlink"/>
            <w:rFonts w:ascii="Calibri" w:eastAsia="Calibri" w:hAnsi="Calibri" w:hint="cs"/>
            <w:rtl/>
          </w:rPr>
          <w:t>חוק</w:t>
        </w:r>
        <w:r w:rsidR="00BA5975" w:rsidRPr="00BA5975">
          <w:rPr>
            <w:rStyle w:val="Hyperlink"/>
            <w:rFonts w:ascii="Calibri" w:eastAsia="Calibri" w:hAnsi="Calibri"/>
            <w:rtl/>
          </w:rPr>
          <w:t xml:space="preserve"> </w:t>
        </w:r>
        <w:r w:rsidR="00BA5975" w:rsidRPr="00BA5975">
          <w:rPr>
            <w:rStyle w:val="Hyperlink"/>
            <w:rFonts w:ascii="Calibri" w:eastAsia="Calibri" w:hAnsi="Calibri" w:hint="cs"/>
            <w:rtl/>
          </w:rPr>
          <w:t>העונשין</w:t>
        </w:r>
      </w:hyperlink>
      <w:r w:rsidRPr="00527C8E">
        <w:rPr>
          <w:rFonts w:ascii="Calibri" w:eastAsia="Calibri" w:hAnsi="Calibri" w:hint="cs"/>
          <w:rtl/>
        </w:rPr>
        <w:t xml:space="preserve">, תשל"ז-1977 (להלן – "חוק העונשין"). בהתאם לעובדות כתב האישום המצורף, </w:t>
      </w:r>
      <w:r>
        <w:rPr>
          <w:rFonts w:ascii="Calibri" w:eastAsia="Calibri" w:hAnsi="Calibri" w:hint="cs"/>
          <w:rtl/>
        </w:rPr>
        <w:t xml:space="preserve">ביום 23.4.13 </w:t>
      </w:r>
      <w:r w:rsidRPr="00527C8E">
        <w:rPr>
          <w:rFonts w:ascii="Calibri" w:eastAsia="Calibri" w:hAnsi="Calibri" w:hint="cs"/>
          <w:rtl/>
        </w:rPr>
        <w:t xml:space="preserve">איים הנאשם על עובדת הביטוח הלאומי, בכך שאמר לה </w:t>
      </w:r>
      <w:r w:rsidRPr="00527C8E">
        <w:rPr>
          <w:rFonts w:ascii="Calibri" w:eastAsia="Calibri" w:hAnsi="Calibri" w:cs="Miriam" w:hint="cs"/>
          <w:rtl/>
        </w:rPr>
        <w:t>"את לא רוצה לתת לי את הפירוט בסדר, אז תסתכלי טוב טוב מאחורי הגב כשאת יוצאת מהבניין"</w:t>
      </w:r>
      <w:r>
        <w:rPr>
          <w:rFonts w:ascii="Calibri" w:eastAsia="Calibri" w:hAnsi="Calibri" w:cs="Miriam" w:hint="cs"/>
          <w:rtl/>
        </w:rPr>
        <w:t xml:space="preserve"> </w:t>
      </w:r>
      <w:r w:rsidRPr="004806FE">
        <w:rPr>
          <w:rFonts w:ascii="Calibri" w:eastAsia="Calibri" w:hAnsi="Calibri" w:hint="cs"/>
          <w:rtl/>
        </w:rPr>
        <w:t xml:space="preserve">(להלן </w:t>
      </w:r>
      <w:r w:rsidRPr="004806FE">
        <w:rPr>
          <w:rFonts w:ascii="Calibri" w:eastAsia="Calibri" w:hAnsi="Calibri"/>
          <w:rtl/>
        </w:rPr>
        <w:t>–</w:t>
      </w:r>
      <w:r w:rsidRPr="004806FE">
        <w:rPr>
          <w:rFonts w:ascii="Calibri" w:eastAsia="Calibri" w:hAnsi="Calibri" w:hint="cs"/>
          <w:rtl/>
        </w:rPr>
        <w:t xml:space="preserve"> </w:t>
      </w:r>
      <w:r w:rsidRPr="00406754">
        <w:rPr>
          <w:rFonts w:ascii="Calibri" w:eastAsia="Calibri" w:hAnsi="Calibri" w:cs="Miriam" w:hint="cs"/>
          <w:rtl/>
        </w:rPr>
        <w:t>"</w:t>
      </w:r>
      <w:r w:rsidRPr="004806FE">
        <w:rPr>
          <w:rFonts w:ascii="Calibri" w:eastAsia="Calibri" w:hAnsi="Calibri" w:cs="Miriam" w:hint="cs"/>
          <w:rtl/>
        </w:rPr>
        <w:t>התיק המצורף</w:t>
      </w:r>
      <w:r w:rsidRPr="00406754">
        <w:rPr>
          <w:rFonts w:ascii="Calibri" w:eastAsia="Calibri" w:hAnsi="Calibri" w:cs="Miriam" w:hint="cs"/>
          <w:rtl/>
        </w:rPr>
        <w:t>"</w:t>
      </w:r>
      <w:r w:rsidRPr="004806FE">
        <w:rPr>
          <w:rFonts w:ascii="Calibri" w:eastAsia="Calibri" w:hAnsi="Calibri" w:hint="cs"/>
          <w:rtl/>
        </w:rPr>
        <w:t>)</w:t>
      </w:r>
      <w:r>
        <w:rPr>
          <w:rFonts w:ascii="Calibri" w:eastAsia="Calibri" w:hAnsi="Calibri" w:cs="Times New Roman" w:hint="cs"/>
          <w:rtl/>
        </w:rPr>
        <w:t>.</w:t>
      </w:r>
    </w:p>
    <w:p w14:paraId="79A223DF" w14:textId="77777777" w:rsidR="000A161F" w:rsidRPr="004806FE" w:rsidRDefault="000A161F" w:rsidP="000A161F">
      <w:pPr>
        <w:spacing w:after="160" w:line="360" w:lineRule="auto"/>
        <w:ind w:left="720"/>
        <w:contextualSpacing/>
        <w:jc w:val="both"/>
        <w:rPr>
          <w:rFonts w:ascii="Calibri" w:eastAsia="Calibri" w:hAnsi="Calibri" w:cs="Times New Roman"/>
        </w:rPr>
      </w:pPr>
      <w:bookmarkStart w:id="7" w:name="ABSTRACT_END"/>
      <w:bookmarkEnd w:id="7"/>
    </w:p>
    <w:p w14:paraId="5C4711E1" w14:textId="77777777" w:rsidR="000A161F" w:rsidRPr="00F618CA" w:rsidRDefault="000A161F" w:rsidP="000A161F">
      <w:pPr>
        <w:numPr>
          <w:ilvl w:val="0"/>
          <w:numId w:val="1"/>
        </w:numPr>
        <w:spacing w:after="160" w:line="360" w:lineRule="auto"/>
        <w:contextualSpacing/>
        <w:jc w:val="both"/>
        <w:rPr>
          <w:rFonts w:ascii="Calibri" w:eastAsia="Calibri" w:hAnsi="Calibri" w:cs="Miriam"/>
        </w:rPr>
      </w:pPr>
      <w:r>
        <w:rPr>
          <w:rFonts w:ascii="Calibri" w:eastAsia="Calibri" w:hAnsi="Calibri" w:hint="cs"/>
          <w:rtl/>
        </w:rPr>
        <w:t xml:space="preserve">הודאת הנאשם בשני התיקים התקיימה בישיבת יום 25.2.15 ובישיבה שלאחר מכן (ביום 15.3.15) ביקשו הצדדים להפנות את הנאשם לשירות המבחן והמאשימה הודיעה כי </w:t>
      </w:r>
      <w:r w:rsidRPr="00E85EF6">
        <w:rPr>
          <w:rFonts w:ascii="Calibri" w:eastAsia="Calibri" w:hAnsi="Calibri" w:cs="Miriam" w:hint="cs"/>
          <w:rtl/>
        </w:rPr>
        <w:t>"</w:t>
      </w:r>
      <w:r w:rsidRPr="00E85EF6">
        <w:rPr>
          <w:rFonts w:cs="Miriam" w:hint="cs"/>
          <w:rtl/>
        </w:rPr>
        <w:t xml:space="preserve">במידה והתסקיר ימליץ להאריך את המאסר המותנה, אנו נסכים להמלצות. מובן כי אנו מצפים ללקיחת אחריות ושיתוף פעולה לרבות המשך טיפול פסיכיאטרי". </w:t>
      </w:r>
    </w:p>
    <w:p w14:paraId="2D85C5EC" w14:textId="77777777" w:rsidR="000A161F" w:rsidRDefault="000A161F" w:rsidP="000A161F">
      <w:pPr>
        <w:spacing w:after="160" w:line="360" w:lineRule="auto"/>
        <w:ind w:firstLine="360"/>
        <w:contextualSpacing/>
        <w:jc w:val="both"/>
        <w:rPr>
          <w:b/>
          <w:bCs/>
          <w:u w:val="single"/>
          <w:rtl/>
        </w:rPr>
      </w:pPr>
    </w:p>
    <w:p w14:paraId="0006B8C5" w14:textId="77777777" w:rsidR="000A161F" w:rsidRDefault="000A161F" w:rsidP="000A161F">
      <w:pPr>
        <w:spacing w:after="160" w:line="360" w:lineRule="auto"/>
        <w:ind w:firstLine="360"/>
        <w:contextualSpacing/>
        <w:jc w:val="both"/>
        <w:rPr>
          <w:b/>
          <w:bCs/>
          <w:u w:val="single"/>
          <w:rtl/>
        </w:rPr>
      </w:pPr>
    </w:p>
    <w:p w14:paraId="1CEAFC5D" w14:textId="77777777" w:rsidR="000A161F" w:rsidRPr="00F618CA" w:rsidRDefault="000A161F" w:rsidP="000A161F">
      <w:pPr>
        <w:spacing w:after="160" w:line="360" w:lineRule="auto"/>
        <w:ind w:firstLine="360"/>
        <w:contextualSpacing/>
        <w:jc w:val="both"/>
        <w:rPr>
          <w:rFonts w:ascii="Calibri" w:eastAsia="Calibri" w:hAnsi="Calibri"/>
          <w:b/>
          <w:bCs/>
          <w:u w:val="single"/>
        </w:rPr>
      </w:pPr>
      <w:r>
        <w:rPr>
          <w:rFonts w:hint="cs"/>
          <w:b/>
          <w:bCs/>
          <w:u w:val="single"/>
          <w:rtl/>
        </w:rPr>
        <w:t xml:space="preserve">תסקירי </w:t>
      </w:r>
      <w:r w:rsidRPr="00F618CA">
        <w:rPr>
          <w:rFonts w:hint="cs"/>
          <w:b/>
          <w:bCs/>
          <w:u w:val="single"/>
          <w:rtl/>
        </w:rPr>
        <w:t>שירות המבחן וחוות דעת פסיכיאטריות</w:t>
      </w:r>
    </w:p>
    <w:p w14:paraId="7DE0485C" w14:textId="77777777" w:rsidR="000A161F" w:rsidRPr="00EA21C8" w:rsidRDefault="000A161F" w:rsidP="000A161F">
      <w:pPr>
        <w:spacing w:after="160" w:line="360" w:lineRule="auto"/>
        <w:ind w:left="720"/>
        <w:contextualSpacing/>
        <w:jc w:val="both"/>
        <w:rPr>
          <w:rFonts w:ascii="Calibri" w:eastAsia="Calibri" w:hAnsi="Calibri"/>
          <w:rtl/>
        </w:rPr>
      </w:pPr>
    </w:p>
    <w:p w14:paraId="2044F154" w14:textId="77777777" w:rsidR="000A161F" w:rsidRDefault="000A161F" w:rsidP="000A161F">
      <w:pPr>
        <w:numPr>
          <w:ilvl w:val="0"/>
          <w:numId w:val="1"/>
        </w:numPr>
        <w:spacing w:after="160" w:line="360" w:lineRule="auto"/>
        <w:contextualSpacing/>
        <w:jc w:val="both"/>
        <w:rPr>
          <w:rFonts w:ascii="Calibri" w:eastAsia="Calibri" w:hAnsi="Calibri"/>
        </w:rPr>
      </w:pPr>
      <w:r w:rsidRPr="00032C4F">
        <w:rPr>
          <w:rFonts w:ascii="Calibri" w:eastAsia="Calibri" w:hAnsi="Calibri" w:hint="cs"/>
          <w:rtl/>
        </w:rPr>
        <w:t xml:space="preserve">שירות המבחן ליווה את הנאשם תקופה ארוכה והגיש בעניינו ארבעה תסקירים. מהתסקירים עלתה תמונת חיים קשה: הנאשם הוא גרוש ואינו בקשר כמעט עם ילדיו. הוא סובל ממחלת נפש מסוג סכיזופרניה פרנואידית, מצבו הכלכלי קשה וכיום הוא אף מחוסר דיור. שירות המבחן ביקש לרתום את הנאשם להליך טיפולי, אך התרשם כי הנאשם חסר כוחות ורצון לכך. בדיקות השתן שנערכו לו התאפיינו בחוסר יציבות </w:t>
      </w:r>
      <w:r w:rsidRPr="00032C4F">
        <w:rPr>
          <w:rFonts w:ascii="Calibri" w:eastAsia="Calibri" w:hAnsi="Calibri"/>
          <w:rtl/>
        </w:rPr>
        <w:t>–</w:t>
      </w:r>
      <w:r w:rsidRPr="00032C4F">
        <w:rPr>
          <w:rFonts w:ascii="Calibri" w:eastAsia="Calibri" w:hAnsi="Calibri" w:hint="cs"/>
          <w:rtl/>
        </w:rPr>
        <w:t xml:space="preserve"> לעיתים נמנע מלהגיע, לעיתים הבדיקות העידו על שימוש בסם ולעיתים היו נקיות מסם. באחת הפעמים אף נחשד הנאשם בניסיון לזייף את תוצאת הבדיקות. ביחס למצבו הנפשי, העריך שירות המבחן כי הנאשם אינו מקפיד על קבלת הטיפול הנדרש למצבו. בעניין זה טען הנאשם כי די לו בזריקות שהוא מקבל, אך שירות המבחן ראה חשיבות למעקב רפואי, אשר הנאשם נמנע ממנו. בסיכומו של דבר, ולאחר חודשים רבים של ניסיונות לרתום את הנאשם להליך טיפולי הכולל הקפדה על מעקב נפשי, הודיע שירות המבחן כי אינו יכול לתרום לנאשם דבר. לאור כך נמנע שירות המבחן מהמלצה טיפולית. כן, נמנע שירות המבחן מהמלצה בדבר הארכת המאסר המותנה</w:t>
      </w:r>
      <w:r>
        <w:rPr>
          <w:rFonts w:ascii="Calibri" w:eastAsia="Calibri" w:hAnsi="Calibri" w:hint="cs"/>
          <w:rtl/>
        </w:rPr>
        <w:t>.</w:t>
      </w:r>
    </w:p>
    <w:p w14:paraId="0FEAD964" w14:textId="77777777" w:rsidR="000A161F" w:rsidRPr="00032C4F" w:rsidRDefault="000A161F" w:rsidP="000A161F">
      <w:pPr>
        <w:spacing w:after="160" w:line="360" w:lineRule="auto"/>
        <w:ind w:left="720"/>
        <w:contextualSpacing/>
        <w:jc w:val="both"/>
        <w:rPr>
          <w:rFonts w:ascii="Calibri" w:eastAsia="Calibri" w:hAnsi="Calibri"/>
        </w:rPr>
      </w:pPr>
      <w:r w:rsidRPr="00032C4F">
        <w:rPr>
          <w:rFonts w:ascii="Calibri" w:eastAsia="Calibri" w:hAnsi="Calibri" w:hint="cs"/>
          <w:rtl/>
        </w:rPr>
        <w:t xml:space="preserve"> </w:t>
      </w:r>
    </w:p>
    <w:p w14:paraId="3FA29BCF"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lastRenderedPageBreak/>
        <w:t xml:space="preserve">יצוין כי עמדתו הסופית של שירות המבחן באה לאחר שהצדדים הודיעו </w:t>
      </w:r>
      <w:r>
        <w:rPr>
          <w:rFonts w:ascii="Calibri" w:eastAsia="Calibri" w:hAnsi="Calibri"/>
          <w:rtl/>
        </w:rPr>
        <w:t>–</w:t>
      </w:r>
      <w:r>
        <w:rPr>
          <w:rFonts w:ascii="Calibri" w:eastAsia="Calibri" w:hAnsi="Calibri" w:hint="cs"/>
          <w:rtl/>
        </w:rPr>
        <w:t xml:space="preserve"> בשלב מאוחר יחסית בהליך </w:t>
      </w:r>
      <w:r>
        <w:rPr>
          <w:rFonts w:ascii="Calibri" w:eastAsia="Calibri" w:hAnsi="Calibri"/>
          <w:rtl/>
        </w:rPr>
        <w:t>–</w:t>
      </w:r>
      <w:r>
        <w:rPr>
          <w:rFonts w:ascii="Calibri" w:eastAsia="Calibri" w:hAnsi="Calibri" w:hint="cs"/>
          <w:rtl/>
        </w:rPr>
        <w:t xml:space="preserve"> כי מקובל עליהם ששירות המבחן ישמש גורם מפקח עבור הנאשם לצורך הקפדה על נטילת הטיפול הנפשי וניקיון מסמים. שירות המבחן התבקש לערוך תכנית ברוח זו, אך כאמור, שוב הגיש תסקיר מסכם ללא המלצה טיפולית.  </w:t>
      </w:r>
    </w:p>
    <w:p w14:paraId="5C401CCE" w14:textId="77777777" w:rsidR="000A161F" w:rsidRPr="00032C4F" w:rsidRDefault="000A161F" w:rsidP="000A161F">
      <w:pPr>
        <w:spacing w:after="160" w:line="360" w:lineRule="auto"/>
        <w:ind w:left="720"/>
        <w:contextualSpacing/>
        <w:jc w:val="both"/>
        <w:rPr>
          <w:rFonts w:ascii="Calibri" w:eastAsia="Calibri" w:hAnsi="Calibri"/>
        </w:rPr>
      </w:pPr>
    </w:p>
    <w:p w14:paraId="229DE50D" w14:textId="77777777" w:rsidR="000A161F" w:rsidRPr="00F618CA" w:rsidRDefault="000A161F" w:rsidP="000A161F">
      <w:pPr>
        <w:numPr>
          <w:ilvl w:val="0"/>
          <w:numId w:val="1"/>
        </w:numPr>
        <w:spacing w:after="160" w:line="360" w:lineRule="auto"/>
        <w:contextualSpacing/>
        <w:jc w:val="both"/>
        <w:rPr>
          <w:rFonts w:ascii="Calibri" w:eastAsia="Calibri" w:hAnsi="Calibri" w:cs="Miriam"/>
        </w:rPr>
      </w:pPr>
      <w:r>
        <w:rPr>
          <w:rFonts w:ascii="Calibri" w:eastAsia="Calibri" w:hAnsi="Calibri" w:hint="cs"/>
          <w:rtl/>
        </w:rPr>
        <w:t xml:space="preserve">להשלמת התמונה יצוין כי בעניינו של הנאשם התקבלו גם מספר חוות דעת פסיכיאטריות בהן הוא נמצא כשיר לעמוד לדין ואחראי למעשיו. בחוות הדעת מיום 9.6.16 שערך ד"ר ברגמן מטעם הפסיכיאטר המחוזי (להלן </w:t>
      </w:r>
      <w:r>
        <w:rPr>
          <w:rFonts w:ascii="Calibri" w:eastAsia="Calibri" w:hAnsi="Calibri"/>
          <w:rtl/>
        </w:rPr>
        <w:t>–</w:t>
      </w:r>
      <w:r>
        <w:rPr>
          <w:rFonts w:ascii="Calibri" w:eastAsia="Calibri" w:hAnsi="Calibri" w:hint="cs"/>
          <w:rtl/>
        </w:rPr>
        <w:t xml:space="preserve"> </w:t>
      </w:r>
      <w:r w:rsidRPr="00794279">
        <w:rPr>
          <w:rFonts w:ascii="Calibri" w:eastAsia="Calibri" w:hAnsi="Calibri" w:cs="Miriam" w:hint="cs"/>
          <w:rtl/>
        </w:rPr>
        <w:t>"</w:t>
      </w:r>
      <w:r w:rsidRPr="00902502">
        <w:rPr>
          <w:rFonts w:ascii="Calibri" w:eastAsia="Calibri" w:hAnsi="Calibri" w:cs="Miriam" w:hint="cs"/>
          <w:rtl/>
        </w:rPr>
        <w:t>הפסיכיאטר המחוזי</w:t>
      </w:r>
      <w:r w:rsidRPr="00794279">
        <w:rPr>
          <w:rFonts w:ascii="Calibri" w:eastAsia="Calibri" w:hAnsi="Calibri" w:cs="Miriam" w:hint="cs"/>
          <w:rtl/>
        </w:rPr>
        <w:t>"</w:t>
      </w:r>
      <w:r>
        <w:rPr>
          <w:rFonts w:ascii="Calibri" w:eastAsia="Calibri" w:hAnsi="Calibri" w:hint="cs"/>
          <w:rtl/>
        </w:rPr>
        <w:t xml:space="preserve">) צוין כי הנאשם סובל מסכיזופרניה פרנואידית המצויה כיום בהפוגה טובה. הפסיכיאטר המחוזי ציין כי הנאשם </w:t>
      </w:r>
      <w:r w:rsidRPr="00CF619F">
        <w:rPr>
          <w:rFonts w:ascii="Calibri" w:eastAsia="Calibri" w:hAnsi="Calibri" w:cs="Miriam" w:hint="cs"/>
          <w:rtl/>
        </w:rPr>
        <w:t xml:space="preserve">"משתף פעולה עם גורמים טיפוליים, נוטל טיפול באופן סדיר ומקפיד על מעקב פסיכיאטרי. מביע מוטיבציה לשיקום". </w:t>
      </w:r>
      <w:r w:rsidRPr="00CC73EF">
        <w:rPr>
          <w:rFonts w:ascii="Calibri" w:eastAsia="Calibri" w:hAnsi="Calibri" w:hint="cs"/>
          <w:rtl/>
        </w:rPr>
        <w:t xml:space="preserve">עם </w:t>
      </w:r>
      <w:r>
        <w:rPr>
          <w:rFonts w:ascii="Calibri" w:eastAsia="Calibri" w:hAnsi="Calibri" w:hint="cs"/>
          <w:rtl/>
        </w:rPr>
        <w:t>זאת, כפי שצוין לעיל, שירות המבחן, ציין כי משיחה שערך עם הרופא המטפל (ד"ר קראקרה) עלה שהנאשם מקפיד רק על קבלת זריקה חודשית אך אינו נמצא במעקב טיפולי כנדרש</w:t>
      </w:r>
      <w:r>
        <w:rPr>
          <w:rFonts w:ascii="Calibri" w:eastAsia="Calibri" w:hAnsi="Calibri" w:cs="Miriam" w:hint="cs"/>
          <w:rtl/>
        </w:rPr>
        <w:t xml:space="preserve">. </w:t>
      </w:r>
      <w:r w:rsidRPr="00CC73EF">
        <w:rPr>
          <w:rFonts w:ascii="Calibri" w:eastAsia="Calibri" w:hAnsi="Calibri" w:hint="cs"/>
          <w:rtl/>
        </w:rPr>
        <w:t>מחלוקת זו היוותה כר פורה לו</w:t>
      </w:r>
      <w:r>
        <w:rPr>
          <w:rFonts w:ascii="Calibri" w:eastAsia="Calibri" w:hAnsi="Calibri" w:hint="cs"/>
          <w:rtl/>
        </w:rPr>
        <w:t>ו</w:t>
      </w:r>
      <w:r w:rsidRPr="00CC73EF">
        <w:rPr>
          <w:rFonts w:ascii="Calibri" w:eastAsia="Calibri" w:hAnsi="Calibri" w:hint="cs"/>
          <w:rtl/>
        </w:rPr>
        <w:t>יכוחים בין הסנגור למאשימה אם ניתן לראות בכך משום עמידה בתנאי</w:t>
      </w:r>
      <w:r>
        <w:rPr>
          <w:rFonts w:ascii="Calibri" w:eastAsia="Calibri" w:hAnsi="Calibri" w:hint="cs"/>
          <w:rtl/>
        </w:rPr>
        <w:t>ם</w:t>
      </w:r>
      <w:r w:rsidRPr="00CC73EF">
        <w:rPr>
          <w:rFonts w:ascii="Calibri" w:eastAsia="Calibri" w:hAnsi="Calibri" w:hint="cs"/>
          <w:rtl/>
        </w:rPr>
        <w:t xml:space="preserve"> </w:t>
      </w:r>
      <w:r>
        <w:rPr>
          <w:rFonts w:ascii="Calibri" w:eastAsia="Calibri" w:hAnsi="Calibri" w:hint="cs"/>
          <w:rtl/>
        </w:rPr>
        <w:t xml:space="preserve">שדרשה המאשימה לצורך הסכמתה </w:t>
      </w:r>
      <w:r w:rsidRPr="00CC73EF">
        <w:rPr>
          <w:rFonts w:ascii="Calibri" w:eastAsia="Calibri" w:hAnsi="Calibri" w:hint="cs"/>
          <w:rtl/>
        </w:rPr>
        <w:t>להארכת המאסר המותנה</w:t>
      </w:r>
      <w:r>
        <w:rPr>
          <w:rFonts w:ascii="Calibri" w:eastAsia="Calibri" w:hAnsi="Calibri" w:cs="Miriam" w:hint="cs"/>
          <w:rtl/>
        </w:rPr>
        <w:t xml:space="preserve"> </w:t>
      </w:r>
      <w:r>
        <w:rPr>
          <w:rFonts w:ascii="Calibri" w:eastAsia="Calibri" w:hAnsi="Calibri" w:cs="Miriam"/>
          <w:rtl/>
        </w:rPr>
        <w:t>–</w:t>
      </w:r>
      <w:r>
        <w:rPr>
          <w:rFonts w:ascii="Calibri" w:eastAsia="Calibri" w:hAnsi="Calibri" w:cs="Miriam" w:hint="cs"/>
          <w:rtl/>
        </w:rPr>
        <w:t xml:space="preserve">  </w:t>
      </w:r>
      <w:r>
        <w:rPr>
          <w:rFonts w:cs="Miriam" w:hint="cs"/>
          <w:rtl/>
        </w:rPr>
        <w:t>"</w:t>
      </w:r>
      <w:r w:rsidRPr="00E85EF6">
        <w:rPr>
          <w:rFonts w:cs="Miriam" w:hint="cs"/>
          <w:rtl/>
        </w:rPr>
        <w:t>שיתוף פעולה לרבות המשך טיפול פסיכיאטרי</w:t>
      </w:r>
      <w:r>
        <w:rPr>
          <w:rFonts w:cs="Miriam" w:hint="cs"/>
          <w:rtl/>
        </w:rPr>
        <w:t xml:space="preserve">". </w:t>
      </w:r>
      <w:r w:rsidRPr="00CC73EF">
        <w:rPr>
          <w:rFonts w:hint="cs"/>
          <w:rtl/>
        </w:rPr>
        <w:t xml:space="preserve">על כך יורחב בהמשך. </w:t>
      </w:r>
    </w:p>
    <w:p w14:paraId="1E68F1E0" w14:textId="77777777" w:rsidR="000A161F" w:rsidRPr="006006A8" w:rsidRDefault="000A161F" w:rsidP="000A161F">
      <w:pPr>
        <w:spacing w:after="160" w:line="360" w:lineRule="auto"/>
        <w:ind w:left="360"/>
        <w:contextualSpacing/>
        <w:jc w:val="both"/>
        <w:rPr>
          <w:rtl/>
        </w:rPr>
      </w:pPr>
    </w:p>
    <w:p w14:paraId="3B13E329" w14:textId="77777777" w:rsidR="000A161F" w:rsidRPr="00F618CA" w:rsidRDefault="000A161F" w:rsidP="000A161F">
      <w:pPr>
        <w:spacing w:after="160" w:line="360" w:lineRule="auto"/>
        <w:ind w:left="360"/>
        <w:contextualSpacing/>
        <w:jc w:val="both"/>
        <w:rPr>
          <w:rFonts w:ascii="Calibri" w:eastAsia="Calibri" w:hAnsi="Calibri" w:cs="Miriam"/>
          <w:b/>
          <w:bCs/>
          <w:u w:val="single"/>
        </w:rPr>
      </w:pPr>
      <w:r w:rsidRPr="00F618CA">
        <w:rPr>
          <w:rFonts w:hint="cs"/>
          <w:b/>
          <w:bCs/>
          <w:u w:val="single"/>
          <w:rtl/>
        </w:rPr>
        <w:t>טיעוני הצדדים לעונש והראיות</w:t>
      </w:r>
    </w:p>
    <w:p w14:paraId="04FE6BFF" w14:textId="77777777" w:rsidR="000A161F" w:rsidRPr="00CC73EF" w:rsidRDefault="000A161F" w:rsidP="000A161F">
      <w:pPr>
        <w:spacing w:after="160" w:line="360" w:lineRule="auto"/>
        <w:ind w:left="720"/>
        <w:contextualSpacing/>
        <w:jc w:val="both"/>
        <w:rPr>
          <w:rFonts w:ascii="Calibri" w:eastAsia="Calibri" w:hAnsi="Calibri"/>
        </w:rPr>
      </w:pPr>
    </w:p>
    <w:p w14:paraId="2F81CFC8"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טיעוני המאשימה יצאו מנקודת הנחה כי  </w:t>
      </w:r>
      <w:r w:rsidRPr="0069173B">
        <w:rPr>
          <w:rFonts w:ascii="Calibri" w:eastAsia="Calibri" w:hAnsi="Calibri" w:cs="Miriam" w:hint="cs"/>
          <w:rtl/>
        </w:rPr>
        <w:t>"</w:t>
      </w:r>
      <w:r w:rsidRPr="00D60AE1">
        <w:rPr>
          <w:rFonts w:ascii="Calibri" w:eastAsia="Calibri" w:hAnsi="Calibri" w:cs="Miriam" w:hint="cs"/>
          <w:rtl/>
        </w:rPr>
        <w:t>התסקיר ...סותם את הגולל ...ביחס לכל הליך שיקום"</w:t>
      </w:r>
      <w:r>
        <w:rPr>
          <w:rFonts w:ascii="Calibri" w:eastAsia="Calibri" w:hAnsi="Calibri" w:hint="cs"/>
          <w:rtl/>
        </w:rPr>
        <w:t xml:space="preserve">. לאור כך </w:t>
      </w:r>
      <w:r w:rsidRPr="00ED7ACC">
        <w:rPr>
          <w:rFonts w:ascii="Calibri" w:eastAsia="Calibri" w:hAnsi="Calibri" w:hint="cs"/>
          <w:rtl/>
        </w:rPr>
        <w:t xml:space="preserve">ציין </w:t>
      </w:r>
      <w:r>
        <w:rPr>
          <w:rFonts w:ascii="Calibri" w:eastAsia="Calibri" w:hAnsi="Calibri" w:hint="cs"/>
          <w:rtl/>
        </w:rPr>
        <w:t xml:space="preserve">ב"כ המאשימה </w:t>
      </w:r>
      <w:r w:rsidRPr="00ED7ACC">
        <w:rPr>
          <w:rFonts w:ascii="Calibri" w:eastAsia="Calibri" w:hAnsi="Calibri" w:hint="cs"/>
          <w:rtl/>
        </w:rPr>
        <w:t>כי יש להעמיד את מת</w:t>
      </w:r>
      <w:r>
        <w:rPr>
          <w:rFonts w:ascii="Calibri" w:eastAsia="Calibri" w:hAnsi="Calibri" w:hint="cs"/>
          <w:rtl/>
        </w:rPr>
        <w:t>ח</w:t>
      </w:r>
      <w:r w:rsidRPr="00ED7ACC">
        <w:rPr>
          <w:rFonts w:ascii="Calibri" w:eastAsia="Calibri" w:hAnsi="Calibri" w:hint="cs"/>
          <w:rtl/>
        </w:rPr>
        <w:t xml:space="preserve">ם הענישה בתיק הסמים על מאסר מותנה ועד 6 חודשי מאסר בפועל ואילו בתיק </w:t>
      </w:r>
      <w:r>
        <w:rPr>
          <w:rFonts w:ascii="Calibri" w:eastAsia="Calibri" w:hAnsi="Calibri" w:hint="cs"/>
          <w:rtl/>
        </w:rPr>
        <w:t xml:space="preserve">המצורף </w:t>
      </w:r>
      <w:r w:rsidRPr="00ED7ACC">
        <w:rPr>
          <w:rFonts w:ascii="Calibri" w:eastAsia="Calibri" w:hAnsi="Calibri" w:hint="cs"/>
          <w:rtl/>
        </w:rPr>
        <w:t xml:space="preserve">בין 4 חודשי מאסר בפועל ועד 12 חודשי מאסר. ב"כ המאשימה ציין כי לנאשם מאסר מותנה אשר המאשימה הסכימה להארכתו בתנאים שפורטו לעיל, אך הנאשם לא שיתף פעולה בטיפול הפסיכיאטרי ובדיקות הסמים שנערכו לא העידו על </w:t>
      </w:r>
      <w:r>
        <w:rPr>
          <w:rFonts w:ascii="Calibri" w:eastAsia="Calibri" w:hAnsi="Calibri" w:hint="cs"/>
          <w:rtl/>
        </w:rPr>
        <w:t>ניקיון</w:t>
      </w:r>
      <w:r w:rsidRPr="00ED7ACC">
        <w:rPr>
          <w:rFonts w:ascii="Calibri" w:eastAsia="Calibri" w:hAnsi="Calibri" w:hint="cs"/>
          <w:rtl/>
        </w:rPr>
        <w:t xml:space="preserve"> </w:t>
      </w:r>
      <w:r>
        <w:rPr>
          <w:rFonts w:ascii="Calibri" w:eastAsia="Calibri" w:hAnsi="Calibri" w:hint="cs"/>
          <w:rtl/>
        </w:rPr>
        <w:t>מ</w:t>
      </w:r>
      <w:r w:rsidRPr="00ED7ACC">
        <w:rPr>
          <w:rFonts w:ascii="Calibri" w:eastAsia="Calibri" w:hAnsi="Calibri" w:hint="cs"/>
          <w:rtl/>
        </w:rPr>
        <w:t xml:space="preserve">סמים. לאור כך ביקשה המאשימה להטיל ענישה בגדרי המתחמים שהוצגו, להפעיל את המאסר המותנה במצטבר וכן להשית על הנאשם קנס ופסילת רישיון נהיגה. </w:t>
      </w:r>
    </w:p>
    <w:p w14:paraId="220D03B3" w14:textId="77777777" w:rsidR="000A161F" w:rsidRPr="00ED7ACC" w:rsidRDefault="000A161F" w:rsidP="000A161F">
      <w:pPr>
        <w:spacing w:after="160" w:line="360" w:lineRule="auto"/>
        <w:ind w:left="720"/>
        <w:contextualSpacing/>
        <w:jc w:val="both"/>
        <w:rPr>
          <w:rFonts w:ascii="Calibri" w:eastAsia="Calibri" w:hAnsi="Calibri"/>
        </w:rPr>
      </w:pPr>
    </w:p>
    <w:p w14:paraId="6853ADE9"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הסנגור הדגיש את נסיבותיו האישיות של הנאשם </w:t>
      </w:r>
      <w:r>
        <w:rPr>
          <w:rFonts w:ascii="Calibri" w:eastAsia="Calibri" w:hAnsi="Calibri"/>
          <w:rtl/>
        </w:rPr>
        <w:t>–</w:t>
      </w:r>
      <w:r>
        <w:rPr>
          <w:rFonts w:ascii="Calibri" w:eastAsia="Calibri" w:hAnsi="Calibri" w:hint="cs"/>
          <w:rtl/>
        </w:rPr>
        <w:t xml:space="preserve"> כבן 45, גרוש, סובל ממחלת נפש ומתקיים מקצבת נכות של הביטוח הלאומי. הסנגור טען כי הנאשם עומד בתנאים שהציבה המאשימה כתנאי להסכמתה להארכת המאסר המותנה ולכן ביקש שכך יורה בית המשפט. צוין כי הנאשם מקפיד על הטיפול הפסיכיאטרי והוגשו מסמכים בנושא (ע/1). כן הפנה הסנגור בעניין זה לחוות דעתו של הפסיכיאטר המחוזי המציין הקפדה על נטילת הטיפול התרופתי ורצון בשיקום. בעניין זה טען הסנגור כי יש לראות במאמצי הנאשם משום סיכויי שיקום כאמור </w:t>
      </w:r>
      <w:hyperlink r:id="rId31" w:history="1">
        <w:r w:rsidR="00DD2CC9" w:rsidRPr="00DD2CC9">
          <w:rPr>
            <w:rFonts w:ascii="Calibri" w:eastAsia="Calibri" w:hAnsi="Calibri" w:hint="cs"/>
            <w:color w:val="0000FF"/>
            <w:u w:val="single"/>
            <w:rtl/>
          </w:rPr>
          <w:t>בסעיף</w:t>
        </w:r>
        <w:r w:rsidR="00DD2CC9" w:rsidRPr="00DD2CC9">
          <w:rPr>
            <w:rFonts w:ascii="Calibri" w:eastAsia="Calibri" w:hAnsi="Calibri"/>
            <w:color w:val="0000FF"/>
            <w:u w:val="single"/>
            <w:rtl/>
          </w:rPr>
          <w:t xml:space="preserve"> 40</w:t>
        </w:r>
        <w:r w:rsidR="00DD2CC9" w:rsidRPr="00DD2CC9">
          <w:rPr>
            <w:rFonts w:ascii="Calibri" w:eastAsia="Calibri" w:hAnsi="Calibri" w:hint="cs"/>
            <w:color w:val="0000FF"/>
            <w:u w:val="single"/>
            <w:rtl/>
          </w:rPr>
          <w:t>ד</w:t>
        </w:r>
        <w:r w:rsidR="00DD2CC9" w:rsidRPr="00DD2CC9">
          <w:rPr>
            <w:rFonts w:ascii="Calibri" w:eastAsia="Calibri" w:hAnsi="Calibri"/>
            <w:color w:val="0000FF"/>
            <w:u w:val="single"/>
            <w:rtl/>
          </w:rPr>
          <w:t>'</w:t>
        </w:r>
      </w:hyperlink>
      <w:r>
        <w:rPr>
          <w:rFonts w:ascii="Calibri" w:eastAsia="Calibri" w:hAnsi="Calibri" w:hint="cs"/>
          <w:rtl/>
        </w:rPr>
        <w:t xml:space="preserve"> ל</w:t>
      </w:r>
      <w:hyperlink r:id="rId32" w:history="1">
        <w:r w:rsidR="00BA5975" w:rsidRPr="00BA5975">
          <w:rPr>
            <w:rStyle w:val="Hyperlink"/>
            <w:rFonts w:ascii="Calibri" w:eastAsia="Calibri" w:hAnsi="Calibri" w:hint="cs"/>
            <w:rtl/>
          </w:rPr>
          <w:t>חוק</w:t>
        </w:r>
        <w:r w:rsidR="00BA5975" w:rsidRPr="00BA5975">
          <w:rPr>
            <w:rStyle w:val="Hyperlink"/>
            <w:rFonts w:ascii="Calibri" w:eastAsia="Calibri" w:hAnsi="Calibri"/>
            <w:rtl/>
          </w:rPr>
          <w:t xml:space="preserve"> </w:t>
        </w:r>
        <w:r w:rsidR="00BA5975" w:rsidRPr="00BA5975">
          <w:rPr>
            <w:rStyle w:val="Hyperlink"/>
            <w:rFonts w:ascii="Calibri" w:eastAsia="Calibri" w:hAnsi="Calibri" w:hint="cs"/>
            <w:rtl/>
          </w:rPr>
          <w:t>העונשין</w:t>
        </w:r>
      </w:hyperlink>
      <w:r>
        <w:rPr>
          <w:rFonts w:ascii="Calibri" w:eastAsia="Calibri" w:hAnsi="Calibri" w:hint="cs"/>
          <w:rtl/>
        </w:rPr>
        <w:t xml:space="preserve">, המצדיקים חריגה ממתחם הענישה והארכת המאסר המותנה. </w:t>
      </w:r>
    </w:p>
    <w:p w14:paraId="6D43B336" w14:textId="77777777" w:rsidR="000A161F" w:rsidRDefault="000A161F" w:rsidP="000A161F">
      <w:pPr>
        <w:spacing w:after="160" w:line="360" w:lineRule="auto"/>
        <w:ind w:left="720"/>
        <w:contextualSpacing/>
        <w:jc w:val="both"/>
        <w:rPr>
          <w:rFonts w:ascii="Calibri" w:eastAsia="Calibri" w:hAnsi="Calibri"/>
        </w:rPr>
      </w:pPr>
    </w:p>
    <w:p w14:paraId="593F0A37"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הנאשם בדבר האחרון התמקד בקשייו הכלכליים, במצבו הנפשי ובטיפול התרופתי שהוא מקבל. הנאשם הסביר את הסיבות שהביאו אותו לעבור את העבירה כלפי עובדת הביטוח הלאומי והביע חרטה וצער. </w:t>
      </w:r>
    </w:p>
    <w:p w14:paraId="6277B386" w14:textId="77777777" w:rsidR="000A161F" w:rsidRDefault="000A161F" w:rsidP="000A161F">
      <w:pPr>
        <w:spacing w:after="160" w:line="360" w:lineRule="auto"/>
        <w:ind w:left="360"/>
        <w:contextualSpacing/>
        <w:jc w:val="both"/>
        <w:rPr>
          <w:rFonts w:ascii="Calibri" w:eastAsia="Calibri" w:hAnsi="Calibri"/>
          <w:rtl/>
        </w:rPr>
      </w:pPr>
    </w:p>
    <w:p w14:paraId="252F09D4" w14:textId="77777777" w:rsidR="000A161F" w:rsidRDefault="000A161F" w:rsidP="000A161F">
      <w:pPr>
        <w:spacing w:after="160" w:line="360" w:lineRule="auto"/>
        <w:ind w:left="360"/>
        <w:contextualSpacing/>
        <w:jc w:val="both"/>
        <w:rPr>
          <w:rFonts w:ascii="Calibri" w:eastAsia="Calibri" w:hAnsi="Calibri"/>
          <w:b/>
          <w:bCs/>
          <w:u w:val="single"/>
          <w:rtl/>
        </w:rPr>
      </w:pPr>
      <w:r>
        <w:rPr>
          <w:rFonts w:ascii="Calibri" w:eastAsia="Calibri" w:hAnsi="Calibri" w:hint="cs"/>
          <w:b/>
          <w:bCs/>
          <w:u w:val="single"/>
          <w:rtl/>
        </w:rPr>
        <w:t xml:space="preserve">דיון והכרעה </w:t>
      </w:r>
    </w:p>
    <w:p w14:paraId="1898BDF2" w14:textId="77777777" w:rsidR="000A161F" w:rsidRPr="0078721A" w:rsidRDefault="000A161F" w:rsidP="000A161F">
      <w:pPr>
        <w:spacing w:after="160" w:line="360" w:lineRule="auto"/>
        <w:ind w:left="360"/>
        <w:contextualSpacing/>
        <w:jc w:val="both"/>
        <w:rPr>
          <w:rFonts w:ascii="Calibri" w:eastAsia="Calibri" w:hAnsi="Calibri"/>
          <w:b/>
          <w:bCs/>
          <w:u w:val="single"/>
          <w:rtl/>
        </w:rPr>
      </w:pPr>
      <w:r w:rsidRPr="0078721A">
        <w:rPr>
          <w:rFonts w:ascii="Calibri" w:eastAsia="Calibri" w:hAnsi="Calibri" w:hint="cs"/>
          <w:b/>
          <w:bCs/>
          <w:u w:val="single"/>
          <w:rtl/>
        </w:rPr>
        <w:t xml:space="preserve">קביעת </w:t>
      </w:r>
      <w:r>
        <w:rPr>
          <w:rFonts w:ascii="Calibri" w:eastAsia="Calibri" w:hAnsi="Calibri" w:hint="cs"/>
          <w:b/>
          <w:bCs/>
          <w:u w:val="single"/>
          <w:rtl/>
        </w:rPr>
        <w:t>מתחם הענישה</w:t>
      </w:r>
    </w:p>
    <w:p w14:paraId="36BB9BAC" w14:textId="77777777" w:rsidR="000A161F" w:rsidRDefault="000A161F" w:rsidP="000A161F">
      <w:pPr>
        <w:spacing w:after="160" w:line="360" w:lineRule="auto"/>
        <w:ind w:left="360"/>
        <w:contextualSpacing/>
        <w:jc w:val="both"/>
        <w:rPr>
          <w:rFonts w:ascii="Calibri" w:eastAsia="Calibri" w:hAnsi="Calibri"/>
        </w:rPr>
      </w:pPr>
    </w:p>
    <w:p w14:paraId="564FD625"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כידוע, בהתאם לתיקון 113 על בית המשפט לקבוע את מתחם הענישה ההולם את העבירות בנסיבות ביצוען, ולאחר מכן יש לקבוע אם קיימת הצדקה לחרוג ממנו, שאחרת ייגזר העונש בגדרי המתחם. בענייננו מדובר בשני כתבי אישום נפרדים ללא כל קשר ביניהם ומשכך ייקבע מתחם ענישה לכל אירוע המתואר בכתבי האישום. </w:t>
      </w:r>
      <w:r>
        <w:rPr>
          <w:rFonts w:hint="cs"/>
          <w:rtl/>
        </w:rPr>
        <w:t>עם זאת, אציין כבר עתה שאטיל על הנאשם עונש אחד כולל בגין כל העבירות (</w:t>
      </w:r>
      <w:hyperlink r:id="rId33" w:history="1">
        <w:r w:rsidR="00DD2CC9" w:rsidRPr="00DD2CC9">
          <w:rPr>
            <w:color w:val="0000FF"/>
            <w:u w:val="single"/>
            <w:rtl/>
          </w:rPr>
          <w:t>סעיף 40יג(ב)</w:t>
        </w:r>
      </w:hyperlink>
      <w:r>
        <w:rPr>
          <w:rFonts w:hint="cs"/>
          <w:rtl/>
        </w:rPr>
        <w:t xml:space="preserve"> ל</w:t>
      </w:r>
      <w:hyperlink r:id="rId34" w:history="1">
        <w:r w:rsidR="00BA5975" w:rsidRPr="00BA5975">
          <w:rPr>
            <w:rStyle w:val="Hyperlink"/>
            <w:rFonts w:hint="eastAsia"/>
            <w:rtl/>
          </w:rPr>
          <w:t>חוק</w:t>
        </w:r>
        <w:r w:rsidR="00BA5975" w:rsidRPr="00BA5975">
          <w:rPr>
            <w:rStyle w:val="Hyperlink"/>
            <w:rtl/>
          </w:rPr>
          <w:t xml:space="preserve"> העונשין</w:t>
        </w:r>
      </w:hyperlink>
      <w:r>
        <w:rPr>
          <w:rFonts w:hint="cs"/>
          <w:rtl/>
        </w:rPr>
        <w:t>).</w:t>
      </w:r>
    </w:p>
    <w:p w14:paraId="4FD74047" w14:textId="77777777" w:rsidR="000A161F" w:rsidRDefault="000A161F" w:rsidP="000A161F">
      <w:pPr>
        <w:spacing w:after="160" w:line="360" w:lineRule="auto"/>
        <w:ind w:left="720"/>
        <w:contextualSpacing/>
        <w:jc w:val="both"/>
        <w:rPr>
          <w:rFonts w:ascii="Calibri" w:eastAsia="Calibri" w:hAnsi="Calibri"/>
        </w:rPr>
      </w:pPr>
    </w:p>
    <w:p w14:paraId="0FC9C0C8" w14:textId="77777777" w:rsidR="000A161F" w:rsidRDefault="000A161F" w:rsidP="000A161F">
      <w:pPr>
        <w:numPr>
          <w:ilvl w:val="0"/>
          <w:numId w:val="1"/>
        </w:numPr>
        <w:spacing w:after="160" w:line="360" w:lineRule="auto"/>
        <w:contextualSpacing/>
        <w:jc w:val="both"/>
        <w:rPr>
          <w:rFonts w:ascii="Calibri" w:eastAsia="Calibri" w:hAnsi="Calibri"/>
        </w:rPr>
      </w:pPr>
      <w:r w:rsidRPr="00C71F1E">
        <w:rPr>
          <w:rFonts w:hint="cs"/>
          <w:b/>
          <w:bCs/>
          <w:rtl/>
        </w:rPr>
        <w:t>הערכים המוגנים</w:t>
      </w:r>
      <w:r w:rsidRPr="00C71F1E">
        <w:rPr>
          <w:rFonts w:hint="cs"/>
          <w:rtl/>
        </w:rPr>
        <w:t xml:space="preserve"> </w:t>
      </w:r>
      <w:r w:rsidRPr="003C1293">
        <w:rPr>
          <w:rFonts w:hint="cs"/>
          <w:rtl/>
        </w:rPr>
        <w:t>בבסיס העבירה בתיק המצורף ברורים</w:t>
      </w:r>
      <w:r>
        <w:rPr>
          <w:rFonts w:hint="cs"/>
          <w:rtl/>
        </w:rPr>
        <w:t xml:space="preserve"> </w:t>
      </w:r>
      <w:r>
        <w:rPr>
          <w:rtl/>
        </w:rPr>
        <w:t>–</w:t>
      </w:r>
      <w:r>
        <w:rPr>
          <w:rFonts w:hint="cs"/>
          <w:rtl/>
        </w:rPr>
        <w:t xml:space="preserve"> </w:t>
      </w:r>
      <w:r w:rsidRPr="00C71F1E">
        <w:rPr>
          <w:rFonts w:hint="cs"/>
          <w:rtl/>
        </w:rPr>
        <w:t xml:space="preserve"> מדובר על פגיעה בשלום </w:t>
      </w:r>
      <w:r>
        <w:rPr>
          <w:rFonts w:hint="cs"/>
          <w:rtl/>
        </w:rPr>
        <w:t xml:space="preserve">גופה </w:t>
      </w:r>
      <w:r w:rsidRPr="00C71F1E">
        <w:rPr>
          <w:rFonts w:hint="cs"/>
          <w:rtl/>
        </w:rPr>
        <w:t xml:space="preserve">ושלוות </w:t>
      </w:r>
      <w:r>
        <w:rPr>
          <w:rFonts w:hint="cs"/>
          <w:rtl/>
        </w:rPr>
        <w:t xml:space="preserve">נפשה </w:t>
      </w:r>
      <w:r w:rsidRPr="00C71F1E">
        <w:rPr>
          <w:rFonts w:hint="cs"/>
          <w:rtl/>
        </w:rPr>
        <w:t xml:space="preserve">של המתלוננת. יש עוד להדגיש כי במקרה זה מדובר היה בעובדת של הביטוח הלאומי </w:t>
      </w:r>
      <w:r w:rsidRPr="00C71F1E">
        <w:rPr>
          <w:rFonts w:ascii="David" w:hAnsi="David" w:hint="cs"/>
          <w:rtl/>
        </w:rPr>
        <w:t xml:space="preserve">ומשכך </w:t>
      </w:r>
      <w:r w:rsidRPr="00C71F1E">
        <w:rPr>
          <w:rFonts w:ascii="Calibri" w:eastAsia="Calibri" w:hAnsi="Calibri" w:hint="cs"/>
          <w:rtl/>
        </w:rPr>
        <w:t>מדובר גם בפגיעה בעבודתם התקינה של עובדי הציבור וביכולם למלא את</w:t>
      </w:r>
      <w:r>
        <w:rPr>
          <w:rFonts w:ascii="Calibri" w:eastAsia="Calibri" w:hAnsi="Calibri" w:hint="cs"/>
          <w:rtl/>
        </w:rPr>
        <w:t xml:space="preserve"> תפקידם למען הציבור ללא מורא וללא הפרעה. </w:t>
      </w:r>
    </w:p>
    <w:p w14:paraId="49F57C17" w14:textId="77777777" w:rsidR="000A161F" w:rsidRDefault="000A161F" w:rsidP="000A161F">
      <w:pPr>
        <w:spacing w:after="160" w:line="360" w:lineRule="auto"/>
        <w:ind w:left="720"/>
        <w:contextualSpacing/>
        <w:jc w:val="both"/>
        <w:rPr>
          <w:rFonts w:ascii="Calibri" w:eastAsia="Calibri" w:hAnsi="Calibri"/>
        </w:rPr>
      </w:pPr>
    </w:p>
    <w:p w14:paraId="69A66A7A" w14:textId="77777777" w:rsidR="000A161F" w:rsidRPr="00DB7B94" w:rsidRDefault="000A161F" w:rsidP="000A161F">
      <w:pPr>
        <w:numPr>
          <w:ilvl w:val="0"/>
          <w:numId w:val="1"/>
        </w:numPr>
        <w:spacing w:after="160" w:line="360" w:lineRule="auto"/>
        <w:contextualSpacing/>
        <w:jc w:val="both"/>
        <w:rPr>
          <w:rFonts w:ascii="Calibri" w:eastAsia="Calibri" w:hAnsi="Calibri"/>
        </w:rPr>
      </w:pPr>
      <w:r w:rsidRPr="00C71F1E">
        <w:rPr>
          <w:rFonts w:hint="cs"/>
          <w:b/>
          <w:bCs/>
          <w:rtl/>
        </w:rPr>
        <w:t>נסיבות הקשורות לביצוע העבירות</w:t>
      </w:r>
      <w:r>
        <w:rPr>
          <w:rFonts w:hint="cs"/>
          <w:rtl/>
        </w:rPr>
        <w:t xml:space="preserve"> </w:t>
      </w:r>
      <w:r>
        <w:rPr>
          <w:rFonts w:hint="eastAsia"/>
        </w:rPr>
        <w:t>–</w:t>
      </w:r>
      <w:r>
        <w:t xml:space="preserve"> </w:t>
      </w:r>
      <w:r>
        <w:rPr>
          <w:rFonts w:hint="cs"/>
          <w:rtl/>
        </w:rPr>
        <w:t xml:space="preserve"> מקובל עלי שמדובר בעבירה ספונטאנית. כמו כן מקובל עלי שהנאשם היה נסער והדברים נאמרו בעידנא דריתחא. </w:t>
      </w:r>
      <w:r>
        <w:rPr>
          <w:rFonts w:ascii="Calibri" w:eastAsia="Calibri" w:hAnsi="Calibri" w:hint="cs"/>
          <w:rtl/>
        </w:rPr>
        <w:t xml:space="preserve">כמו כן יש להביא בחשבון את מצבו הנפשי של הנאשם. </w:t>
      </w:r>
      <w:r w:rsidRPr="00DB7B94">
        <w:rPr>
          <w:rFonts w:ascii="David" w:hAnsi="David" w:hint="cs"/>
          <w:rtl/>
        </w:rPr>
        <w:t>אין מדובר כמובן במצב המזכה בפטור מאחריות, אולם לצורך קביעת מתחם הענישה סברתי כי ראוי להביא בחשבון את הנתונים שבחוות הדעת</w:t>
      </w:r>
      <w:r>
        <w:rPr>
          <w:rFonts w:ascii="David" w:hAnsi="David" w:hint="cs"/>
          <w:rtl/>
        </w:rPr>
        <w:t xml:space="preserve"> הפסיכיאטרית</w:t>
      </w:r>
      <w:r w:rsidRPr="00DB7B94">
        <w:rPr>
          <w:rFonts w:ascii="David" w:hAnsi="David" w:hint="cs"/>
          <w:rtl/>
        </w:rPr>
        <w:t>, (</w:t>
      </w:r>
      <w:hyperlink r:id="rId35" w:history="1">
        <w:r w:rsidR="00BA5975" w:rsidRPr="00BA5975">
          <w:rPr>
            <w:rStyle w:val="Hyperlink"/>
            <w:rFonts w:ascii="David" w:hAnsi="David" w:hint="eastAsia"/>
            <w:rtl/>
          </w:rPr>
          <w:t>ע</w:t>
        </w:r>
        <w:r w:rsidR="00BA5975" w:rsidRPr="00BA5975">
          <w:rPr>
            <w:rStyle w:val="Hyperlink"/>
            <w:rFonts w:ascii="David" w:hAnsi="David"/>
            <w:rtl/>
          </w:rPr>
          <w:t>"פ 1727/14</w:t>
        </w:r>
      </w:hyperlink>
      <w:r w:rsidRPr="00DB7B94">
        <w:rPr>
          <w:rFonts w:ascii="David" w:hAnsi="David" w:hint="cs"/>
          <w:rtl/>
        </w:rPr>
        <w:t xml:space="preserve"> </w:t>
      </w:r>
      <w:r w:rsidRPr="00DB7B94">
        <w:rPr>
          <w:rFonts w:ascii="David" w:hAnsi="David" w:hint="cs"/>
          <w:b/>
          <w:bCs/>
          <w:rtl/>
        </w:rPr>
        <w:t>מימון נ' מדינת ישראל</w:t>
      </w:r>
      <w:r>
        <w:rPr>
          <w:rFonts w:ascii="David" w:hAnsi="David" w:hint="cs"/>
          <w:rtl/>
        </w:rPr>
        <w:t xml:space="preserve"> (6.1.15)</w:t>
      </w:r>
      <w:r w:rsidRPr="00DB7B94">
        <w:rPr>
          <w:rFonts w:ascii="David" w:hAnsi="David" w:hint="cs"/>
          <w:rtl/>
        </w:rPr>
        <w:t xml:space="preserve">; </w:t>
      </w:r>
      <w:hyperlink r:id="rId36" w:history="1">
        <w:r w:rsidR="00BA5975" w:rsidRPr="00BA5975">
          <w:rPr>
            <w:rStyle w:val="Hyperlink"/>
            <w:rFonts w:ascii="David" w:hAnsi="David" w:hint="eastAsia"/>
            <w:rtl/>
          </w:rPr>
          <w:t>רע</w:t>
        </w:r>
        <w:r w:rsidR="00BA5975" w:rsidRPr="00BA5975">
          <w:rPr>
            <w:rStyle w:val="Hyperlink"/>
            <w:rFonts w:ascii="David" w:hAnsi="David"/>
            <w:rtl/>
          </w:rPr>
          <w:t>"פ 6640/14</w:t>
        </w:r>
      </w:hyperlink>
      <w:r w:rsidRPr="00DB7B94">
        <w:rPr>
          <w:rFonts w:ascii="David" w:hAnsi="David" w:hint="cs"/>
          <w:rtl/>
        </w:rPr>
        <w:t xml:space="preserve"> </w:t>
      </w:r>
      <w:r w:rsidRPr="00DB7B94">
        <w:rPr>
          <w:rFonts w:ascii="David" w:hAnsi="David" w:hint="cs"/>
          <w:b/>
          <w:bCs/>
          <w:rtl/>
        </w:rPr>
        <w:t>פלוני נ' מדינת ישראל</w:t>
      </w:r>
      <w:r w:rsidRPr="00DB7B94">
        <w:rPr>
          <w:rFonts w:ascii="David" w:hAnsi="David" w:hint="cs"/>
          <w:rtl/>
        </w:rPr>
        <w:t xml:space="preserve"> (13.1.14)).</w:t>
      </w:r>
      <w:r w:rsidRPr="00DB7B94">
        <w:rPr>
          <w:rFonts w:ascii="David" w:hAnsi="David" w:hint="cs"/>
          <w:b/>
          <w:bCs/>
          <w:rtl/>
        </w:rPr>
        <w:t xml:space="preserve"> </w:t>
      </w:r>
      <w:r w:rsidRPr="00DB7B94">
        <w:rPr>
          <w:rFonts w:ascii="David" w:hAnsi="David" w:hint="cs"/>
          <w:rtl/>
        </w:rPr>
        <w:t>עם זאת, לנתונים אלו יינתן משקל מוגבל לצורך קביעת המתחם ועיקר ההתחשבות בהם תובא בשלב קביעת העונש.</w:t>
      </w:r>
      <w:r w:rsidRPr="00DB7B94">
        <w:rPr>
          <w:rFonts w:ascii="David" w:hAnsi="David" w:hint="cs"/>
          <w:b/>
          <w:bCs/>
          <w:rtl/>
        </w:rPr>
        <w:t xml:space="preserve"> </w:t>
      </w:r>
    </w:p>
    <w:p w14:paraId="304FA848" w14:textId="77777777" w:rsidR="000A161F" w:rsidRDefault="000A161F" w:rsidP="000A161F">
      <w:pPr>
        <w:spacing w:after="160" w:line="360" w:lineRule="auto"/>
        <w:ind w:left="720"/>
        <w:contextualSpacing/>
        <w:jc w:val="both"/>
        <w:rPr>
          <w:rFonts w:ascii="Calibri" w:eastAsia="Calibri" w:hAnsi="Calibri"/>
        </w:rPr>
      </w:pPr>
    </w:p>
    <w:p w14:paraId="7AF7A373" w14:textId="77777777" w:rsidR="000A161F" w:rsidRDefault="000A161F" w:rsidP="000A161F">
      <w:pPr>
        <w:numPr>
          <w:ilvl w:val="0"/>
          <w:numId w:val="1"/>
        </w:numPr>
        <w:spacing w:after="160" w:line="360" w:lineRule="auto"/>
        <w:contextualSpacing/>
        <w:jc w:val="both"/>
      </w:pPr>
      <w:r>
        <w:rPr>
          <w:rFonts w:hint="cs"/>
          <w:b/>
          <w:bCs/>
          <w:rtl/>
        </w:rPr>
        <w:t xml:space="preserve">מדיניות הענישה הנוהגת </w:t>
      </w:r>
      <w:r>
        <w:rPr>
          <w:rFonts w:hint="eastAsia"/>
          <w:b/>
          <w:bCs/>
        </w:rPr>
        <w:t>–</w:t>
      </w:r>
      <w:r w:rsidRPr="00DB7B94">
        <w:rPr>
          <w:rFonts w:hint="cs"/>
          <w:b/>
          <w:bCs/>
          <w:rtl/>
        </w:rPr>
        <w:t xml:space="preserve"> </w:t>
      </w:r>
      <w:r>
        <w:rPr>
          <w:rFonts w:hint="cs"/>
          <w:rtl/>
        </w:rPr>
        <w:t>עבירות המטילות מורא כלפי משרתי הציבור, מחייבות ענישה הולמת, שיש בה לבטא את הצורך בהגנה על עובדי הציבור, לבל ייראו מביצוע משימתם וידעו כי בתי המשפט מעניקים להם הגנה מפני אלו המבקשים לרפות את ידיהם. ראו:</w:t>
      </w:r>
    </w:p>
    <w:p w14:paraId="0946760E" w14:textId="77777777" w:rsidR="000A161F" w:rsidRPr="00866310" w:rsidRDefault="000A161F" w:rsidP="000A161F">
      <w:pPr>
        <w:spacing w:after="160" w:line="360" w:lineRule="auto"/>
        <w:ind w:left="720"/>
        <w:contextualSpacing/>
        <w:jc w:val="both"/>
      </w:pPr>
    </w:p>
    <w:p w14:paraId="6F2BB38D" w14:textId="77777777" w:rsidR="000A161F" w:rsidRDefault="000A161F" w:rsidP="000A161F">
      <w:pPr>
        <w:overflowPunct w:val="0"/>
        <w:autoSpaceDE w:val="0"/>
        <w:autoSpaceDN w:val="0"/>
        <w:adjustRightInd w:val="0"/>
        <w:spacing w:line="360" w:lineRule="auto"/>
        <w:ind w:left="1440" w:right="993"/>
        <w:jc w:val="both"/>
        <w:rPr>
          <w:rFonts w:ascii="Arial TUR" w:hAnsi="Arial TUR" w:cs="Miriam"/>
          <w:spacing w:val="10"/>
          <w:rtl/>
        </w:rPr>
      </w:pPr>
      <w:r>
        <w:rPr>
          <w:rFonts w:ascii="Arial TUR" w:hAnsi="Arial TUR" w:cs="Miriam" w:hint="cs"/>
          <w:spacing w:val="10"/>
          <w:rtl/>
        </w:rPr>
        <w:t>"בתקופה המתאפיינת בגלי אלימות פיזית ומילולית כלפי עובדי ציבור, שומה להגן על השירות הציבורי ועל עובדי הציבור מפני פגיעה בלתי ראויה בכבודם ובמעמדם"</w:t>
      </w:r>
    </w:p>
    <w:p w14:paraId="7A941876" w14:textId="77777777" w:rsidR="000A161F" w:rsidRDefault="000A161F" w:rsidP="000A161F">
      <w:pPr>
        <w:overflowPunct w:val="0"/>
        <w:autoSpaceDE w:val="0"/>
        <w:autoSpaceDN w:val="0"/>
        <w:adjustRightInd w:val="0"/>
        <w:ind w:left="1440" w:right="993"/>
        <w:jc w:val="both"/>
        <w:rPr>
          <w:rFonts w:ascii="Arial TUR" w:hAnsi="Arial TUR" w:cs="Miriam"/>
          <w:spacing w:val="10"/>
          <w:rtl/>
        </w:rPr>
      </w:pPr>
    </w:p>
    <w:p w14:paraId="1E7B6AF8" w14:textId="77777777" w:rsidR="000A161F" w:rsidRPr="00EB2FEF" w:rsidRDefault="000A161F" w:rsidP="000A161F">
      <w:pPr>
        <w:overflowPunct w:val="0"/>
        <w:autoSpaceDE w:val="0"/>
        <w:autoSpaceDN w:val="0"/>
        <w:adjustRightInd w:val="0"/>
        <w:ind w:left="1440" w:right="993"/>
        <w:jc w:val="both"/>
        <w:rPr>
          <w:rFonts w:ascii="Calibri" w:eastAsia="Calibri" w:hAnsi="Calibri"/>
        </w:rPr>
      </w:pPr>
      <w:r w:rsidRPr="00EB2FEF">
        <w:rPr>
          <w:rFonts w:ascii="Calibri" w:eastAsia="Calibri" w:hAnsi="Calibri" w:hint="cs"/>
          <w:rtl/>
        </w:rPr>
        <w:t xml:space="preserve"> (</w:t>
      </w:r>
      <w:hyperlink r:id="rId37" w:history="1">
        <w:r w:rsidR="00BA5975" w:rsidRPr="00BA5975">
          <w:rPr>
            <w:rStyle w:val="Hyperlink"/>
            <w:rFonts w:ascii="Calibri" w:eastAsia="Calibri" w:hAnsi="Calibri" w:hint="cs"/>
            <w:rtl/>
          </w:rPr>
          <w:t>רע</w:t>
        </w:r>
        <w:r w:rsidR="00BA5975" w:rsidRPr="00BA5975">
          <w:rPr>
            <w:rStyle w:val="Hyperlink"/>
            <w:rFonts w:ascii="Calibri" w:eastAsia="Calibri" w:hAnsi="Calibri"/>
            <w:rtl/>
          </w:rPr>
          <w:t>"</w:t>
        </w:r>
        <w:r w:rsidR="00BA5975" w:rsidRPr="00BA5975">
          <w:rPr>
            <w:rStyle w:val="Hyperlink"/>
            <w:rFonts w:ascii="Calibri" w:eastAsia="Calibri" w:hAnsi="Calibri" w:hint="cs"/>
            <w:rtl/>
          </w:rPr>
          <w:t>פ</w:t>
        </w:r>
        <w:r w:rsidR="00BA5975" w:rsidRPr="00BA5975">
          <w:rPr>
            <w:rStyle w:val="Hyperlink"/>
            <w:rFonts w:ascii="Calibri" w:eastAsia="Calibri" w:hAnsi="Calibri"/>
            <w:rtl/>
          </w:rPr>
          <w:t xml:space="preserve"> 2660/05</w:t>
        </w:r>
      </w:hyperlink>
      <w:r w:rsidRPr="00EB2FEF">
        <w:rPr>
          <w:rFonts w:ascii="Calibri" w:eastAsia="Calibri" w:hAnsi="Calibri" w:hint="cs"/>
          <w:rtl/>
        </w:rPr>
        <w:t xml:space="preserve"> </w:t>
      </w:r>
      <w:r w:rsidRPr="00EB2FEF">
        <w:rPr>
          <w:rFonts w:ascii="Calibri" w:eastAsia="Calibri" w:hAnsi="Calibri" w:hint="cs"/>
          <w:b/>
          <w:bCs/>
          <w:rtl/>
        </w:rPr>
        <w:t>אונגרפלד נ' מדינת ישראל</w:t>
      </w:r>
      <w:r w:rsidRPr="00EB2FEF">
        <w:rPr>
          <w:rFonts w:ascii="Calibri" w:eastAsia="Calibri" w:hAnsi="Calibri" w:hint="cs"/>
          <w:rtl/>
        </w:rPr>
        <w:t xml:space="preserve"> (</w:t>
      </w:r>
      <w:r>
        <w:rPr>
          <w:rFonts w:ascii="Calibri" w:eastAsia="Calibri" w:hAnsi="Calibri" w:hint="cs"/>
          <w:rtl/>
        </w:rPr>
        <w:t>13.8.2008)</w:t>
      </w:r>
      <w:r w:rsidRPr="00EB2FEF">
        <w:rPr>
          <w:rFonts w:ascii="Calibri" w:eastAsia="Calibri" w:hAnsi="Calibri" w:hint="cs"/>
          <w:rtl/>
        </w:rPr>
        <w:t xml:space="preserve">. </w:t>
      </w:r>
    </w:p>
    <w:p w14:paraId="7FC3688F" w14:textId="77777777" w:rsidR="000A161F" w:rsidRPr="00DB7B94" w:rsidRDefault="000A161F" w:rsidP="000A161F">
      <w:pPr>
        <w:spacing w:after="160" w:line="360" w:lineRule="auto"/>
        <w:ind w:left="720"/>
        <w:contextualSpacing/>
        <w:jc w:val="both"/>
        <w:rPr>
          <w:rFonts w:ascii="Calibri" w:eastAsia="Calibri" w:hAnsi="Calibri"/>
          <w:rtl/>
        </w:rPr>
      </w:pPr>
    </w:p>
    <w:p w14:paraId="068F2632" w14:textId="77777777" w:rsidR="000A161F" w:rsidRPr="001E537B" w:rsidRDefault="000A161F" w:rsidP="000A161F">
      <w:pPr>
        <w:numPr>
          <w:ilvl w:val="0"/>
          <w:numId w:val="1"/>
        </w:numPr>
        <w:spacing w:after="160" w:line="360" w:lineRule="auto"/>
        <w:contextualSpacing/>
        <w:jc w:val="both"/>
      </w:pPr>
      <w:r>
        <w:rPr>
          <w:rFonts w:hint="cs"/>
          <w:rtl/>
        </w:rPr>
        <w:t xml:space="preserve">לצורך בחינת מדיניות הענישה הנוהגת במקרים דומים אפנה </w:t>
      </w:r>
      <w:r w:rsidRPr="007B20E1">
        <w:rPr>
          <w:rFonts w:ascii="Calibri" w:hAnsi="Calibri" w:hint="cs"/>
          <w:rtl/>
        </w:rPr>
        <w:t>ל</w:t>
      </w:r>
      <w:hyperlink r:id="rId38" w:history="1">
        <w:r w:rsidR="00BA5975" w:rsidRPr="00BA5975">
          <w:rPr>
            <w:rStyle w:val="Hyperlink"/>
            <w:rFonts w:ascii="Calibri" w:hAnsi="Calibri" w:hint="eastAsia"/>
            <w:rtl/>
          </w:rPr>
          <w:t>רע</w:t>
        </w:r>
        <w:r w:rsidR="00BA5975" w:rsidRPr="00BA5975">
          <w:rPr>
            <w:rStyle w:val="Hyperlink"/>
            <w:rFonts w:ascii="Calibri" w:hAnsi="Calibri"/>
            <w:rtl/>
          </w:rPr>
          <w:t>"</w:t>
        </w:r>
        <w:r w:rsidR="00BA5975" w:rsidRPr="00BA5975">
          <w:rPr>
            <w:rStyle w:val="Hyperlink"/>
            <w:rFonts w:ascii="Calibri" w:hAnsi="Calibri" w:hint="eastAsia"/>
            <w:rtl/>
          </w:rPr>
          <w:t>פ</w:t>
        </w:r>
        <w:r w:rsidR="00BA5975" w:rsidRPr="00BA5975">
          <w:rPr>
            <w:rStyle w:val="Hyperlink"/>
            <w:rFonts w:ascii="Calibri" w:hAnsi="Calibri"/>
            <w:rtl/>
          </w:rPr>
          <w:t xml:space="preserve"> 4831/08</w:t>
        </w:r>
      </w:hyperlink>
      <w:r w:rsidRPr="007B20E1">
        <w:rPr>
          <w:rFonts w:ascii="Calibri" w:hAnsi="Calibri"/>
          <w:rtl/>
        </w:rPr>
        <w:t xml:space="preserve"> </w:t>
      </w:r>
      <w:r w:rsidRPr="007B20E1">
        <w:rPr>
          <w:rFonts w:ascii="Calibri" w:hAnsi="Calibri"/>
          <w:b/>
          <w:bCs/>
          <w:rtl/>
        </w:rPr>
        <w:t>עלאונה נ' מדינת ישראל</w:t>
      </w:r>
      <w:r w:rsidRPr="007B20E1">
        <w:rPr>
          <w:rFonts w:ascii="Calibri" w:hAnsi="Calibri"/>
          <w:rtl/>
        </w:rPr>
        <w:t xml:space="preserve"> </w:t>
      </w:r>
      <w:r w:rsidRPr="007B20E1">
        <w:rPr>
          <w:rFonts w:ascii="Calibri" w:hAnsi="Calibri" w:hint="cs"/>
          <w:rtl/>
        </w:rPr>
        <w:t xml:space="preserve"> (30.6.08) בו הוטלו על </w:t>
      </w:r>
      <w:r>
        <w:rPr>
          <w:rFonts w:ascii="Calibri" w:hAnsi="Calibri" w:hint="cs"/>
          <w:rtl/>
        </w:rPr>
        <w:t>ה</w:t>
      </w:r>
      <w:r w:rsidRPr="007B20E1">
        <w:rPr>
          <w:rFonts w:ascii="Calibri" w:hAnsi="Calibri" w:hint="cs"/>
          <w:rtl/>
        </w:rPr>
        <w:t>נאשם 8 חודשי מאסר בפועל בשל איומים על עובד סוציאלי שהגיע לבקרו בכלא</w:t>
      </w:r>
      <w:r>
        <w:rPr>
          <w:rFonts w:ascii="Calibri" w:hAnsi="Calibri" w:hint="cs"/>
          <w:rtl/>
        </w:rPr>
        <w:t>,</w:t>
      </w:r>
      <w:r w:rsidRPr="007B20E1">
        <w:rPr>
          <w:rFonts w:ascii="Calibri" w:hAnsi="Calibri" w:hint="cs"/>
          <w:rtl/>
        </w:rPr>
        <w:t xml:space="preserve"> עת שבת רעב</w:t>
      </w:r>
      <w:r>
        <w:rPr>
          <w:rFonts w:ascii="Calibri" w:hAnsi="Calibri" w:hint="cs"/>
          <w:rtl/>
        </w:rPr>
        <w:t xml:space="preserve">; </w:t>
      </w:r>
      <w:hyperlink r:id="rId39" w:history="1">
        <w:r w:rsidR="00BA5975" w:rsidRPr="00BA5975">
          <w:rPr>
            <w:rStyle w:val="Hyperlink"/>
            <w:rFonts w:hint="eastAsia"/>
            <w:rtl/>
          </w:rPr>
          <w:t>ע</w:t>
        </w:r>
        <w:r w:rsidR="00BA5975" w:rsidRPr="00BA5975">
          <w:rPr>
            <w:rStyle w:val="Hyperlink"/>
            <w:rtl/>
          </w:rPr>
          <w:t>"פ 41692-05-15</w:t>
        </w:r>
      </w:hyperlink>
      <w:r>
        <w:rPr>
          <w:rFonts w:hint="cs"/>
          <w:rtl/>
        </w:rPr>
        <w:t xml:space="preserve"> </w:t>
      </w:r>
      <w:r w:rsidRPr="007B20E1">
        <w:rPr>
          <w:rFonts w:hint="cs"/>
          <w:b/>
          <w:bCs/>
          <w:rtl/>
        </w:rPr>
        <w:t>אלייה נ' מדינת ישראל</w:t>
      </w:r>
      <w:r>
        <w:rPr>
          <w:rFonts w:hint="cs"/>
          <w:rtl/>
        </w:rPr>
        <w:t xml:space="preserve"> (10.5.16) בו הוטלו 3 חודשי מאסר על תנאי על נאשם שאיים עם סכין על מעקלים שהגיעו לביתו; </w:t>
      </w:r>
      <w:hyperlink r:id="rId40" w:history="1">
        <w:r w:rsidR="00BA5975" w:rsidRPr="00BA5975">
          <w:rPr>
            <w:rStyle w:val="Hyperlink"/>
            <w:rFonts w:ascii="Calibri" w:hAnsi="Calibri" w:hint="eastAsia"/>
            <w:rtl/>
          </w:rPr>
          <w:t>עפ</w:t>
        </w:r>
        <w:r w:rsidR="00BA5975" w:rsidRPr="00BA5975">
          <w:rPr>
            <w:rStyle w:val="Hyperlink"/>
            <w:rFonts w:ascii="Calibri" w:hAnsi="Calibri"/>
            <w:rtl/>
          </w:rPr>
          <w:t>"</w:t>
        </w:r>
        <w:r w:rsidR="00BA5975" w:rsidRPr="00BA5975">
          <w:rPr>
            <w:rStyle w:val="Hyperlink"/>
            <w:rFonts w:ascii="Calibri" w:hAnsi="Calibri" w:hint="eastAsia"/>
            <w:rtl/>
          </w:rPr>
          <w:t>ג</w:t>
        </w:r>
        <w:r w:rsidR="00BA5975" w:rsidRPr="00BA5975">
          <w:rPr>
            <w:rStyle w:val="Hyperlink"/>
            <w:rFonts w:ascii="Calibri" w:hAnsi="Calibri"/>
            <w:rtl/>
          </w:rPr>
          <w:t xml:space="preserve"> (</w:t>
        </w:r>
        <w:r w:rsidR="00BA5975" w:rsidRPr="00BA5975">
          <w:rPr>
            <w:rStyle w:val="Hyperlink"/>
            <w:rFonts w:ascii="Calibri" w:hAnsi="Calibri" w:hint="eastAsia"/>
            <w:rtl/>
          </w:rPr>
          <w:t>ב</w:t>
        </w:r>
        <w:r w:rsidR="00BA5975" w:rsidRPr="00BA5975">
          <w:rPr>
            <w:rStyle w:val="Hyperlink"/>
            <w:rFonts w:ascii="Calibri" w:hAnsi="Calibri"/>
            <w:rtl/>
          </w:rPr>
          <w:t>"</w:t>
        </w:r>
        <w:r w:rsidR="00BA5975" w:rsidRPr="00BA5975">
          <w:rPr>
            <w:rStyle w:val="Hyperlink"/>
            <w:rFonts w:ascii="Calibri" w:hAnsi="Calibri" w:hint="eastAsia"/>
            <w:rtl/>
          </w:rPr>
          <w:t>ש</w:t>
        </w:r>
        <w:r w:rsidR="00BA5975" w:rsidRPr="00BA5975">
          <w:rPr>
            <w:rStyle w:val="Hyperlink"/>
            <w:rFonts w:ascii="Calibri" w:hAnsi="Calibri"/>
            <w:rtl/>
          </w:rPr>
          <w:t>) 17892-10-13</w:t>
        </w:r>
      </w:hyperlink>
      <w:r w:rsidRPr="001E537B">
        <w:rPr>
          <w:rFonts w:ascii="Calibri" w:hAnsi="Calibri"/>
          <w:rtl/>
        </w:rPr>
        <w:t xml:space="preserve"> </w:t>
      </w:r>
      <w:r w:rsidRPr="001E537B">
        <w:rPr>
          <w:rFonts w:ascii="Calibri" w:hAnsi="Calibri" w:hint="eastAsia"/>
          <w:b/>
          <w:bCs/>
          <w:rtl/>
        </w:rPr>
        <w:t>אלסייד</w:t>
      </w:r>
      <w:r w:rsidRPr="001E537B">
        <w:rPr>
          <w:rFonts w:ascii="Calibri" w:hAnsi="Calibri"/>
          <w:b/>
          <w:bCs/>
          <w:rtl/>
        </w:rPr>
        <w:t xml:space="preserve"> </w:t>
      </w:r>
      <w:r w:rsidRPr="001E537B">
        <w:rPr>
          <w:rFonts w:ascii="Calibri" w:hAnsi="Calibri" w:hint="eastAsia"/>
          <w:b/>
          <w:bCs/>
          <w:rtl/>
        </w:rPr>
        <w:t>נ</w:t>
      </w:r>
      <w:r w:rsidRPr="001E537B">
        <w:rPr>
          <w:rFonts w:ascii="Calibri" w:hAnsi="Calibri"/>
          <w:b/>
          <w:bCs/>
          <w:rtl/>
        </w:rPr>
        <w:t xml:space="preserve">' </w:t>
      </w:r>
      <w:r w:rsidRPr="001E537B">
        <w:rPr>
          <w:rFonts w:ascii="Calibri" w:hAnsi="Calibri" w:hint="eastAsia"/>
          <w:b/>
          <w:bCs/>
          <w:rtl/>
        </w:rPr>
        <w:t>מדינת</w:t>
      </w:r>
      <w:r w:rsidRPr="001E537B">
        <w:rPr>
          <w:rFonts w:ascii="Calibri" w:hAnsi="Calibri"/>
          <w:b/>
          <w:bCs/>
          <w:rtl/>
        </w:rPr>
        <w:t xml:space="preserve"> </w:t>
      </w:r>
      <w:r w:rsidRPr="001E537B">
        <w:rPr>
          <w:rFonts w:ascii="Calibri" w:hAnsi="Calibri" w:hint="eastAsia"/>
          <w:b/>
          <w:bCs/>
          <w:rtl/>
        </w:rPr>
        <w:t>ישראל</w:t>
      </w:r>
      <w:r w:rsidRPr="001E537B">
        <w:rPr>
          <w:rFonts w:ascii="Calibri" w:hAnsi="Calibri"/>
          <w:b/>
          <w:bCs/>
          <w:rtl/>
        </w:rPr>
        <w:t xml:space="preserve"> </w:t>
      </w:r>
      <w:r w:rsidRPr="001E537B">
        <w:rPr>
          <w:rFonts w:ascii="Calibri" w:hAnsi="Calibri"/>
          <w:rtl/>
        </w:rPr>
        <w:t xml:space="preserve">(23.10.13) </w:t>
      </w:r>
      <w:r w:rsidRPr="001E537B">
        <w:rPr>
          <w:rFonts w:ascii="Calibri" w:hAnsi="Calibri" w:hint="cs"/>
          <w:rtl/>
        </w:rPr>
        <w:t xml:space="preserve">בו </w:t>
      </w:r>
      <w:r>
        <w:rPr>
          <w:rFonts w:ascii="Calibri" w:hAnsi="Calibri" w:hint="cs"/>
          <w:rtl/>
        </w:rPr>
        <w:t xml:space="preserve">הוטלו </w:t>
      </w:r>
      <w:r w:rsidRPr="001E537B">
        <w:rPr>
          <w:rFonts w:ascii="Calibri" w:hAnsi="Calibri" w:hint="cs"/>
          <w:rtl/>
        </w:rPr>
        <w:t>4 חודשי מאסר בפועל</w:t>
      </w:r>
      <w:r>
        <w:rPr>
          <w:rFonts w:ascii="Calibri" w:hAnsi="Calibri" w:hint="cs"/>
          <w:rtl/>
        </w:rPr>
        <w:t xml:space="preserve"> (וכן הפעלת מאסר מותנה במצטבר) על </w:t>
      </w:r>
      <w:r w:rsidRPr="001E537B">
        <w:rPr>
          <w:rFonts w:ascii="Calibri" w:hAnsi="Calibri" w:hint="eastAsia"/>
          <w:rtl/>
        </w:rPr>
        <w:t>נאשם</w:t>
      </w:r>
      <w:r w:rsidRPr="001E537B">
        <w:rPr>
          <w:rFonts w:ascii="Calibri" w:hAnsi="Calibri"/>
          <w:rtl/>
        </w:rPr>
        <w:t xml:space="preserve">  </w:t>
      </w:r>
      <w:r>
        <w:rPr>
          <w:rFonts w:ascii="Calibri" w:hAnsi="Calibri" w:hint="cs"/>
          <w:rtl/>
        </w:rPr>
        <w:t xml:space="preserve">שאיים על עובד </w:t>
      </w:r>
      <w:r w:rsidRPr="001E537B">
        <w:rPr>
          <w:rFonts w:ascii="Calibri" w:hAnsi="Calibri" w:hint="eastAsia"/>
          <w:rtl/>
        </w:rPr>
        <w:t>משרד</w:t>
      </w:r>
      <w:r w:rsidRPr="001E537B">
        <w:rPr>
          <w:rFonts w:ascii="Calibri" w:hAnsi="Calibri"/>
          <w:rtl/>
        </w:rPr>
        <w:t xml:space="preserve"> </w:t>
      </w:r>
      <w:r w:rsidRPr="001E537B">
        <w:rPr>
          <w:rFonts w:ascii="Calibri" w:hAnsi="Calibri" w:hint="eastAsia"/>
          <w:rtl/>
        </w:rPr>
        <w:t>הפנים</w:t>
      </w:r>
      <w:r w:rsidRPr="001E537B">
        <w:rPr>
          <w:rFonts w:ascii="Calibri" w:hAnsi="Calibri" w:hint="cs"/>
          <w:rtl/>
        </w:rPr>
        <w:t xml:space="preserve"> שהגיע לביתו. </w:t>
      </w:r>
    </w:p>
    <w:p w14:paraId="3CB90389" w14:textId="77777777" w:rsidR="000A161F" w:rsidRPr="0009475D" w:rsidRDefault="000A161F" w:rsidP="000A161F">
      <w:pPr>
        <w:ind w:left="360"/>
        <w:rPr>
          <w:rFonts w:ascii="Calibri" w:hAnsi="Calibri"/>
          <w:rtl/>
        </w:rPr>
      </w:pPr>
    </w:p>
    <w:p w14:paraId="20C98187" w14:textId="77777777" w:rsidR="000A161F" w:rsidRPr="0009475D" w:rsidRDefault="000A161F" w:rsidP="000A161F">
      <w:pPr>
        <w:numPr>
          <w:ilvl w:val="0"/>
          <w:numId w:val="1"/>
        </w:numPr>
        <w:spacing w:after="160" w:line="360" w:lineRule="auto"/>
        <w:contextualSpacing/>
        <w:jc w:val="both"/>
        <w:rPr>
          <w:rFonts w:ascii="Calibri" w:eastAsia="Calibri" w:hAnsi="Calibri"/>
        </w:rPr>
      </w:pPr>
      <w:r>
        <w:rPr>
          <w:rFonts w:hint="cs"/>
          <w:rtl/>
        </w:rPr>
        <w:t xml:space="preserve">לאור כך אני בדעה כי מתחם הענישה ההולם את העבירה מושא התיק המצורף נע בין מאסר מותנה ועד 8 חודשי מאסר בפועל. </w:t>
      </w:r>
    </w:p>
    <w:p w14:paraId="6D7ADAF4" w14:textId="77777777" w:rsidR="000A161F" w:rsidRDefault="000A161F" w:rsidP="000A161F">
      <w:pPr>
        <w:spacing w:after="160" w:line="360" w:lineRule="auto"/>
        <w:ind w:left="720"/>
        <w:contextualSpacing/>
        <w:jc w:val="both"/>
        <w:rPr>
          <w:rtl/>
        </w:rPr>
      </w:pPr>
    </w:p>
    <w:p w14:paraId="1D2EA459" w14:textId="77777777" w:rsidR="000A161F" w:rsidRPr="00A04CF4" w:rsidRDefault="000A161F" w:rsidP="000A161F">
      <w:pPr>
        <w:spacing w:after="160" w:line="360" w:lineRule="auto"/>
        <w:ind w:left="720"/>
        <w:contextualSpacing/>
        <w:jc w:val="both"/>
        <w:rPr>
          <w:rFonts w:ascii="Calibri" w:eastAsia="Calibri" w:hAnsi="Calibri"/>
        </w:rPr>
      </w:pPr>
      <w:r>
        <w:rPr>
          <w:rFonts w:hint="cs"/>
          <w:rtl/>
        </w:rPr>
        <w:t>ביחס לתיק הסמים, הרי שמדובר בעבירה של שימוש עצמי בסם מסוג קוקאין במשקל נמוך יחסית ומשכך מתחם הענישה נע בין מאסר מותנה ועד 6 חודשי מאסר בפועל.</w:t>
      </w:r>
      <w:r>
        <w:rPr>
          <w:rFonts w:ascii="Calibri" w:eastAsia="Calibri" w:hAnsi="Calibri" w:hint="cs"/>
          <w:rtl/>
        </w:rPr>
        <w:t xml:space="preserve"> </w:t>
      </w:r>
    </w:p>
    <w:p w14:paraId="2163BEC7" w14:textId="77777777" w:rsidR="000A161F" w:rsidRPr="0009475D" w:rsidRDefault="000A161F" w:rsidP="000A161F">
      <w:pPr>
        <w:spacing w:after="160" w:line="360" w:lineRule="auto"/>
        <w:ind w:left="360"/>
        <w:contextualSpacing/>
        <w:jc w:val="both"/>
        <w:rPr>
          <w:rFonts w:ascii="Calibri" w:eastAsia="Calibri" w:hAnsi="Calibri"/>
          <w:rtl/>
        </w:rPr>
      </w:pPr>
    </w:p>
    <w:p w14:paraId="0A9AA6F9" w14:textId="77777777" w:rsidR="000A161F" w:rsidRPr="00971EDE" w:rsidRDefault="000A161F" w:rsidP="000A161F">
      <w:pPr>
        <w:spacing w:after="160" w:line="360" w:lineRule="auto"/>
        <w:ind w:left="360"/>
        <w:contextualSpacing/>
        <w:jc w:val="both"/>
        <w:rPr>
          <w:rFonts w:ascii="Calibri" w:eastAsia="Calibri" w:hAnsi="Calibri"/>
          <w:b/>
          <w:bCs/>
          <w:u w:val="single"/>
          <w:rtl/>
        </w:rPr>
      </w:pPr>
      <w:r w:rsidRPr="00971EDE">
        <w:rPr>
          <w:rFonts w:ascii="Calibri" w:eastAsia="Calibri" w:hAnsi="Calibri" w:hint="cs"/>
          <w:b/>
          <w:bCs/>
          <w:u w:val="single"/>
          <w:rtl/>
        </w:rPr>
        <w:t xml:space="preserve">קביעת עונשו של הנאשם </w:t>
      </w:r>
    </w:p>
    <w:p w14:paraId="6A04474A" w14:textId="77777777" w:rsidR="000A161F" w:rsidRDefault="000A161F" w:rsidP="000A161F">
      <w:pPr>
        <w:spacing w:after="160" w:line="360" w:lineRule="auto"/>
        <w:ind w:left="360"/>
        <w:contextualSpacing/>
        <w:jc w:val="both"/>
        <w:rPr>
          <w:rFonts w:ascii="Calibri" w:eastAsia="Calibri" w:hAnsi="Calibri"/>
        </w:rPr>
      </w:pPr>
    </w:p>
    <w:p w14:paraId="412FE1DC"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בקביעת עונשו של </w:t>
      </w:r>
      <w:r w:rsidRPr="00B81E3B">
        <w:rPr>
          <w:rFonts w:ascii="Calibri" w:eastAsia="Calibri" w:hAnsi="Calibri" w:hint="cs"/>
          <w:rtl/>
        </w:rPr>
        <w:t>הנאשם משמשים שיקולים</w:t>
      </w:r>
      <w:r>
        <w:rPr>
          <w:rFonts w:ascii="Calibri" w:eastAsia="Calibri" w:hAnsi="Calibri" w:hint="cs"/>
          <w:rtl/>
        </w:rPr>
        <w:t xml:space="preserve"> שונים ומנוגדים. עברו של הנאשם אינו נקי. העבירה האחרונה שעבר היא משנת 2012 ועניינה דומה לענייננו. </w:t>
      </w:r>
      <w:r w:rsidRPr="000457AC">
        <w:rPr>
          <w:rFonts w:ascii="Calibri" w:eastAsia="Calibri" w:hAnsi="Calibri" w:hint="cs"/>
          <w:rtl/>
        </w:rPr>
        <w:t>עובדה זו מוסיפה חומרה לנסיבות הכוללות ומדגישה את הצורך בענישה מרתיעה והולמת</w:t>
      </w:r>
      <w:r>
        <w:rPr>
          <w:rFonts w:ascii="Calibri" w:eastAsia="Calibri" w:hAnsi="Calibri" w:hint="cs"/>
          <w:rtl/>
        </w:rPr>
        <w:t xml:space="preserve">. עם זאת, </w:t>
      </w:r>
      <w:r w:rsidRPr="000457AC">
        <w:rPr>
          <w:rFonts w:ascii="Calibri" w:eastAsia="Calibri" w:hAnsi="Calibri" w:hint="cs"/>
          <w:rtl/>
        </w:rPr>
        <w:t xml:space="preserve">ראיתי </w:t>
      </w:r>
      <w:r>
        <w:rPr>
          <w:rFonts w:ascii="Calibri" w:eastAsia="Calibri" w:hAnsi="Calibri" w:hint="cs"/>
          <w:rtl/>
        </w:rPr>
        <w:t xml:space="preserve">לציין </w:t>
      </w:r>
      <w:r w:rsidRPr="000457AC">
        <w:rPr>
          <w:rFonts w:ascii="Calibri" w:eastAsia="Calibri" w:hAnsi="Calibri" w:hint="cs"/>
          <w:rtl/>
        </w:rPr>
        <w:t xml:space="preserve">כי בתיק הקודם נושאו של האיום </w:t>
      </w:r>
      <w:r>
        <w:rPr>
          <w:rFonts w:ascii="Calibri" w:eastAsia="Calibri" w:hAnsi="Calibri" w:hint="cs"/>
          <w:rtl/>
        </w:rPr>
        <w:t xml:space="preserve">(שהושמע באוזני עובדים סוציאליים) </w:t>
      </w:r>
      <w:r w:rsidRPr="000457AC">
        <w:rPr>
          <w:rFonts w:ascii="Calibri" w:eastAsia="Calibri" w:hAnsi="Calibri" w:hint="cs"/>
          <w:rtl/>
        </w:rPr>
        <w:t xml:space="preserve">היה פגיעה בבני משפחתו על רקע </w:t>
      </w:r>
      <w:r w:rsidRPr="000457AC">
        <w:rPr>
          <w:rFonts w:ascii="Calibri" w:eastAsia="Calibri" w:hAnsi="Calibri" w:cs="Miriam" w:hint="cs"/>
          <w:rtl/>
        </w:rPr>
        <w:t>"חוסר שביעות רצונו ... מטיפול שירותי הרווחה"</w:t>
      </w:r>
      <w:r w:rsidRPr="000457AC">
        <w:rPr>
          <w:rFonts w:ascii="Calibri" w:eastAsia="Calibri" w:hAnsi="Calibri" w:hint="cs"/>
          <w:rtl/>
        </w:rPr>
        <w:t xml:space="preserve"> ודומה, מבלי להקל ראש בחומרת המעשה, שמדובר היה ב"זעקה לעזרה"</w:t>
      </w:r>
      <w:r>
        <w:rPr>
          <w:rFonts w:ascii="Calibri" w:eastAsia="Calibri" w:hAnsi="Calibri" w:hint="cs"/>
          <w:rtl/>
        </w:rPr>
        <w:t xml:space="preserve">. בנוסף </w:t>
      </w:r>
      <w:r w:rsidRPr="00A305A4">
        <w:rPr>
          <w:rFonts w:ascii="Calibri" w:eastAsia="Calibri" w:hAnsi="Calibri" w:hint="cs"/>
          <w:rtl/>
        </w:rPr>
        <w:t xml:space="preserve">ראוי לציין כי לפני </w:t>
      </w:r>
      <w:r>
        <w:rPr>
          <w:rFonts w:ascii="Calibri" w:eastAsia="Calibri" w:hAnsi="Calibri" w:hint="cs"/>
          <w:rtl/>
        </w:rPr>
        <w:t xml:space="preserve">אותה </w:t>
      </w:r>
      <w:r w:rsidRPr="00A305A4">
        <w:rPr>
          <w:rFonts w:ascii="Calibri" w:eastAsia="Calibri" w:hAnsi="Calibri" w:hint="cs"/>
          <w:rtl/>
        </w:rPr>
        <w:t xml:space="preserve">עבירה, הופסקו ההליכים בעניינו מספר פעמים (ללמדנו על מצבו הנפשי) והעבירה הקודמת בה הורשע </w:t>
      </w:r>
      <w:r>
        <w:rPr>
          <w:rFonts w:ascii="Calibri" w:eastAsia="Calibri" w:hAnsi="Calibri" w:hint="cs"/>
          <w:rtl/>
        </w:rPr>
        <w:t xml:space="preserve">הנאשם </w:t>
      </w:r>
      <w:r w:rsidRPr="00A305A4">
        <w:rPr>
          <w:rFonts w:ascii="Calibri" w:eastAsia="Calibri" w:hAnsi="Calibri" w:hint="cs"/>
          <w:rtl/>
        </w:rPr>
        <w:t>(להבדיל מהפסקת הליכים) היא משנת 2001.</w:t>
      </w:r>
    </w:p>
    <w:p w14:paraId="64F8980D" w14:textId="77777777" w:rsidR="000A161F" w:rsidRPr="00A305A4" w:rsidRDefault="000A161F" w:rsidP="000A161F">
      <w:pPr>
        <w:spacing w:after="160" w:line="360" w:lineRule="auto"/>
        <w:ind w:left="720"/>
        <w:contextualSpacing/>
        <w:jc w:val="both"/>
        <w:rPr>
          <w:rFonts w:ascii="Calibri" w:eastAsia="Calibri" w:hAnsi="Calibri"/>
        </w:rPr>
      </w:pPr>
    </w:p>
    <w:p w14:paraId="2FEE107A"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בחינת נסיבותיו האישיות של הנאשם, כפי שפורטו לעיל, מעלה כי מדובר באדם קשה יום, הסובל שנים רבות ממחלת נפש המצויה כיום בהפוגה טובה. הנאשם קיבל אחריות מלאה על העבירות ומאז חלפו </w:t>
      </w:r>
      <w:r w:rsidRPr="00126CC4">
        <w:rPr>
          <w:rFonts w:ascii="Calibri" w:eastAsia="Calibri" w:hAnsi="Calibri" w:hint="cs"/>
          <w:u w:val="single"/>
          <w:rtl/>
        </w:rPr>
        <w:t>ארבע שנים</w:t>
      </w:r>
      <w:r>
        <w:rPr>
          <w:rFonts w:ascii="Calibri" w:eastAsia="Calibri" w:hAnsi="Calibri" w:hint="cs"/>
          <w:rtl/>
        </w:rPr>
        <w:t xml:space="preserve"> </w:t>
      </w:r>
      <w:r>
        <w:rPr>
          <w:rFonts w:ascii="Calibri" w:eastAsia="Calibri" w:hAnsi="Calibri"/>
          <w:rtl/>
        </w:rPr>
        <w:t>–</w:t>
      </w:r>
      <w:r>
        <w:rPr>
          <w:rFonts w:ascii="Calibri" w:eastAsia="Calibri" w:hAnsi="Calibri" w:hint="cs"/>
          <w:rtl/>
        </w:rPr>
        <w:t xml:space="preserve"> במהלכן לא עבר כל עבירה. הנאשם לא עבר הליך שיקומי כפי שראוי היה שיעבור, ומכאן השאלה האם יש מקום להטיל עליו עונש מאסר ממושך כפי שעותרת המאשימה (תוך הפעלת מאסר מותנה בן 7 חודשים) או שמא יש מקום לשקול שיקולי שיקום ולהימנע ממאסרו.</w:t>
      </w:r>
    </w:p>
    <w:p w14:paraId="5AFAE56C" w14:textId="77777777" w:rsidR="000A161F" w:rsidRPr="00AF5962" w:rsidRDefault="000A161F" w:rsidP="000A161F">
      <w:pPr>
        <w:spacing w:after="160" w:line="360" w:lineRule="auto"/>
        <w:ind w:left="720"/>
        <w:contextualSpacing/>
        <w:jc w:val="both"/>
        <w:rPr>
          <w:rFonts w:ascii="Calibri" w:eastAsia="Calibri" w:hAnsi="Calibri"/>
        </w:rPr>
      </w:pPr>
    </w:p>
    <w:p w14:paraId="6640368D"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ודוק: נגד הנאשם תלוי ועומד מאסר מותנה. לכן, לצורך הארכתו עלי להימנע מהטלת עונש מאסר כלשהו ולו על תנאי (</w:t>
      </w:r>
      <w:hyperlink r:id="rId41" w:history="1">
        <w:r w:rsidR="00DD2CC9" w:rsidRPr="00DD2CC9">
          <w:rPr>
            <w:rFonts w:ascii="Calibri" w:eastAsia="Calibri" w:hAnsi="Calibri" w:hint="cs"/>
            <w:color w:val="0000FF"/>
            <w:u w:val="single"/>
            <w:rtl/>
          </w:rPr>
          <w:t>סעיף</w:t>
        </w:r>
        <w:r w:rsidR="00DD2CC9" w:rsidRPr="00DD2CC9">
          <w:rPr>
            <w:rFonts w:ascii="Calibri" w:eastAsia="Calibri" w:hAnsi="Calibri"/>
            <w:color w:val="0000FF"/>
            <w:u w:val="single"/>
            <w:rtl/>
          </w:rPr>
          <w:t xml:space="preserve"> 56</w:t>
        </w:r>
      </w:hyperlink>
      <w:r>
        <w:rPr>
          <w:rFonts w:ascii="Calibri" w:eastAsia="Calibri" w:hAnsi="Calibri" w:hint="cs"/>
          <w:rtl/>
        </w:rPr>
        <w:t xml:space="preserve"> ל</w:t>
      </w:r>
      <w:hyperlink r:id="rId42" w:history="1">
        <w:r w:rsidR="00BA5975" w:rsidRPr="00BA5975">
          <w:rPr>
            <w:rStyle w:val="Hyperlink"/>
            <w:rFonts w:ascii="Calibri" w:eastAsia="Calibri" w:hAnsi="Calibri" w:hint="cs"/>
            <w:rtl/>
          </w:rPr>
          <w:t>חוק</w:t>
        </w:r>
        <w:r w:rsidR="00BA5975" w:rsidRPr="00BA5975">
          <w:rPr>
            <w:rStyle w:val="Hyperlink"/>
            <w:rFonts w:ascii="Calibri" w:eastAsia="Calibri" w:hAnsi="Calibri"/>
            <w:rtl/>
          </w:rPr>
          <w:t xml:space="preserve"> </w:t>
        </w:r>
        <w:r w:rsidR="00BA5975" w:rsidRPr="00BA5975">
          <w:rPr>
            <w:rStyle w:val="Hyperlink"/>
            <w:rFonts w:ascii="Calibri" w:eastAsia="Calibri" w:hAnsi="Calibri" w:hint="cs"/>
            <w:rtl/>
          </w:rPr>
          <w:t>העונשין</w:t>
        </w:r>
      </w:hyperlink>
      <w:r>
        <w:rPr>
          <w:rFonts w:ascii="Calibri" w:eastAsia="Calibri" w:hAnsi="Calibri" w:hint="cs"/>
          <w:rtl/>
        </w:rPr>
        <w:t>). תוצאה זו אפשרית רק אם אגיע למסקנה שראוי לחרוג ממתחם הענישה בעניינו של הנאשם ולהימנע מהטלת עונש מאסר כלל (</w:t>
      </w:r>
      <w:hyperlink r:id="rId43" w:history="1">
        <w:r w:rsidR="00BA5975" w:rsidRPr="00BA5975">
          <w:rPr>
            <w:rStyle w:val="Hyperlink"/>
            <w:rFonts w:ascii="Calibri" w:eastAsia="Calibri" w:hAnsi="Calibri" w:hint="cs"/>
            <w:rtl/>
          </w:rPr>
          <w:t>רע</w:t>
        </w:r>
        <w:r w:rsidR="00BA5975" w:rsidRPr="00BA5975">
          <w:rPr>
            <w:rStyle w:val="Hyperlink"/>
            <w:rFonts w:ascii="Calibri" w:eastAsia="Calibri" w:hAnsi="Calibri"/>
            <w:rtl/>
          </w:rPr>
          <w:t>"</w:t>
        </w:r>
        <w:r w:rsidR="00BA5975" w:rsidRPr="00BA5975">
          <w:rPr>
            <w:rStyle w:val="Hyperlink"/>
            <w:rFonts w:ascii="Calibri" w:eastAsia="Calibri" w:hAnsi="Calibri" w:hint="cs"/>
            <w:rtl/>
          </w:rPr>
          <w:t>פ</w:t>
        </w:r>
        <w:r w:rsidR="00BA5975" w:rsidRPr="00BA5975">
          <w:rPr>
            <w:rStyle w:val="Hyperlink"/>
            <w:rFonts w:ascii="Calibri" w:eastAsia="Calibri" w:hAnsi="Calibri"/>
            <w:rtl/>
          </w:rPr>
          <w:t xml:space="preserve"> 1441/14</w:t>
        </w:r>
      </w:hyperlink>
      <w:r>
        <w:rPr>
          <w:rFonts w:ascii="Calibri" w:eastAsia="Calibri" w:hAnsi="Calibri" w:hint="cs"/>
          <w:rtl/>
        </w:rPr>
        <w:t xml:space="preserve"> </w:t>
      </w:r>
      <w:r w:rsidRPr="00155048">
        <w:rPr>
          <w:rFonts w:ascii="Calibri" w:eastAsia="Calibri" w:hAnsi="Calibri" w:hint="cs"/>
          <w:b/>
          <w:bCs/>
          <w:rtl/>
        </w:rPr>
        <w:t>האבט חמיס נ' מדינת יש</w:t>
      </w:r>
      <w:r>
        <w:rPr>
          <w:rFonts w:ascii="Calibri" w:eastAsia="Calibri" w:hAnsi="Calibri" w:hint="cs"/>
          <w:b/>
          <w:bCs/>
          <w:rtl/>
        </w:rPr>
        <w:t>ר</w:t>
      </w:r>
      <w:r w:rsidRPr="00155048">
        <w:rPr>
          <w:rFonts w:ascii="Calibri" w:eastAsia="Calibri" w:hAnsi="Calibri" w:hint="cs"/>
          <w:b/>
          <w:bCs/>
          <w:rtl/>
        </w:rPr>
        <w:t>אל</w:t>
      </w:r>
      <w:r>
        <w:rPr>
          <w:rFonts w:ascii="Calibri" w:eastAsia="Calibri" w:hAnsi="Calibri" w:hint="cs"/>
          <w:rtl/>
        </w:rPr>
        <w:t xml:space="preserve"> (9.12.14)). כמו כן, לצורך הארכת המאסר המותנה, יש להשתכנע כי לא יהיה צודק להפעילו וזאת </w:t>
      </w:r>
      <w:r w:rsidRPr="00505C4B">
        <w:rPr>
          <w:rFonts w:ascii="Calibri" w:eastAsia="Calibri" w:hAnsi="Calibri" w:cs="Miriam" w:hint="cs"/>
          <w:rtl/>
        </w:rPr>
        <w:t>"</w:t>
      </w:r>
      <w:r w:rsidRPr="00155048">
        <w:rPr>
          <w:rFonts w:ascii="Calibri" w:eastAsia="Calibri" w:hAnsi="Calibri" w:cs="Miriam" w:hint="cs"/>
          <w:rtl/>
        </w:rPr>
        <w:t>מטעמים שיירשמו".</w:t>
      </w:r>
      <w:r>
        <w:rPr>
          <w:rFonts w:ascii="Calibri" w:eastAsia="Calibri" w:hAnsi="Calibri" w:hint="cs"/>
          <w:rtl/>
        </w:rPr>
        <w:t xml:space="preserve"> ראו: </w:t>
      </w:r>
    </w:p>
    <w:p w14:paraId="4879A2A7" w14:textId="77777777" w:rsidR="000A161F" w:rsidRDefault="000A161F" w:rsidP="000A161F">
      <w:pPr>
        <w:spacing w:after="160" w:line="360" w:lineRule="auto"/>
        <w:ind w:left="720"/>
        <w:contextualSpacing/>
        <w:jc w:val="both"/>
        <w:rPr>
          <w:rFonts w:ascii="Calibri" w:eastAsia="Calibri" w:hAnsi="Calibri"/>
          <w:rtl/>
        </w:rPr>
      </w:pPr>
    </w:p>
    <w:p w14:paraId="7D61BBED" w14:textId="77777777" w:rsidR="000A161F" w:rsidRPr="00155048" w:rsidRDefault="000A161F" w:rsidP="000A161F">
      <w:pPr>
        <w:spacing w:after="160" w:line="259" w:lineRule="auto"/>
        <w:ind w:left="1440" w:right="1134"/>
        <w:jc w:val="both"/>
        <w:rPr>
          <w:rFonts w:ascii="Calibri" w:hAnsi="Calibri" w:cs="Miriam"/>
        </w:rPr>
      </w:pPr>
      <w:r w:rsidRPr="00155048">
        <w:rPr>
          <w:rFonts w:ascii="Arial TUR" w:hAnsi="Arial TUR" w:cs="Miriam"/>
          <w:spacing w:val="10"/>
          <w:rtl/>
        </w:rPr>
        <w:t>"על-פי מצוות החוק, הארכת תקופת תנאי אפשרית 'מטעמים שיירשמו... אם שוכנע בית המשפט שבנסיבות הענין לא יהיה זה צודק להפעיל את המאסר על תנאי' [...] שיקול הדעת הניתן לבית המשפט בהארכת עונש מאסר מותנה מתמקד במצבים שבהם מוצדק לתת לנאשם הזדמנות נוספת לחזור לדרך הישר, כאשר הוא מראה סימנים המניחים יסוד לציפייה כי כך יהיה</w:t>
      </w:r>
      <w:r>
        <w:rPr>
          <w:rFonts w:ascii="Arial TUR" w:hAnsi="Arial TUR" w:cs="Miriam" w:hint="cs"/>
          <w:spacing w:val="10"/>
          <w:rtl/>
        </w:rPr>
        <w:t xml:space="preserve">" </w:t>
      </w:r>
      <w:r>
        <w:rPr>
          <w:rFonts w:ascii="Calibri" w:eastAsia="Calibri" w:hAnsi="Calibri" w:hint="cs"/>
          <w:rtl/>
        </w:rPr>
        <w:t>(</w:t>
      </w:r>
      <w:hyperlink r:id="rId44" w:history="1">
        <w:r w:rsidR="00BA5975" w:rsidRPr="00BA5975">
          <w:rPr>
            <w:rStyle w:val="Hyperlink"/>
            <w:rFonts w:ascii="Calibri" w:eastAsia="Calibri" w:hAnsi="Calibri" w:hint="cs"/>
            <w:rtl/>
          </w:rPr>
          <w:t>רע</w:t>
        </w:r>
        <w:r w:rsidR="00BA5975" w:rsidRPr="00BA5975">
          <w:rPr>
            <w:rStyle w:val="Hyperlink"/>
            <w:rFonts w:ascii="Calibri" w:eastAsia="Calibri" w:hAnsi="Calibri"/>
            <w:rtl/>
          </w:rPr>
          <w:t>"</w:t>
        </w:r>
        <w:r w:rsidR="00BA5975" w:rsidRPr="00BA5975">
          <w:rPr>
            <w:rStyle w:val="Hyperlink"/>
            <w:rFonts w:ascii="Calibri" w:eastAsia="Calibri" w:hAnsi="Calibri" w:hint="cs"/>
            <w:rtl/>
          </w:rPr>
          <w:t>פ</w:t>
        </w:r>
        <w:r w:rsidR="00BA5975" w:rsidRPr="00BA5975">
          <w:rPr>
            <w:rStyle w:val="Hyperlink"/>
            <w:rFonts w:ascii="Calibri" w:eastAsia="Calibri" w:hAnsi="Calibri"/>
            <w:rtl/>
          </w:rPr>
          <w:t xml:space="preserve"> 7391/08</w:t>
        </w:r>
      </w:hyperlink>
      <w:r w:rsidRPr="00155048">
        <w:rPr>
          <w:rFonts w:ascii="Calibri" w:eastAsia="Calibri" w:hAnsi="Calibri"/>
          <w:rtl/>
        </w:rPr>
        <w:t xml:space="preserve"> </w:t>
      </w:r>
      <w:r w:rsidRPr="00155048">
        <w:rPr>
          <w:rFonts w:ascii="Calibri" w:eastAsia="Calibri" w:hAnsi="Calibri"/>
          <w:b/>
          <w:bCs/>
          <w:rtl/>
        </w:rPr>
        <w:t>מחאג'נה נ' מדינת ישראל</w:t>
      </w:r>
      <w:r w:rsidRPr="00155048">
        <w:rPr>
          <w:rFonts w:ascii="Calibri" w:eastAsia="Calibri" w:hAnsi="Calibri"/>
          <w:rtl/>
        </w:rPr>
        <w:t xml:space="preserve"> (14.9.2009)</w:t>
      </w:r>
      <w:r>
        <w:rPr>
          <w:rFonts w:ascii="Calibri" w:eastAsia="Calibri" w:hAnsi="Calibri" w:hint="cs"/>
          <w:rtl/>
        </w:rPr>
        <w:t>).</w:t>
      </w:r>
    </w:p>
    <w:p w14:paraId="29737C71" w14:textId="77777777" w:rsidR="000A161F" w:rsidRPr="00A04CF4" w:rsidRDefault="000A161F" w:rsidP="000A161F">
      <w:pPr>
        <w:spacing w:after="160" w:line="360" w:lineRule="auto"/>
        <w:ind w:left="720"/>
        <w:contextualSpacing/>
        <w:jc w:val="both"/>
        <w:rPr>
          <w:rFonts w:ascii="Calibri" w:eastAsia="Calibri" w:hAnsi="Calibri"/>
        </w:rPr>
      </w:pPr>
    </w:p>
    <w:p w14:paraId="4E79D2F1"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דעתי היא כי בנסיבות העניין, קיימים בעניינו של הנאשם סיכויי שיקום המצדיקים חריגה ממתחם הענישה. כמו כן קיימים טעמים המצדיקים את הארכת המאסר המותנה. להלן אפרט את עמדתי. </w:t>
      </w:r>
    </w:p>
    <w:p w14:paraId="329E43DD" w14:textId="77777777" w:rsidR="000A161F" w:rsidRDefault="000A161F" w:rsidP="000A161F">
      <w:pPr>
        <w:spacing w:after="160" w:line="360" w:lineRule="auto"/>
        <w:ind w:left="720"/>
        <w:contextualSpacing/>
        <w:jc w:val="both"/>
        <w:rPr>
          <w:rFonts w:ascii="Calibri" w:eastAsia="Calibri" w:hAnsi="Calibri"/>
        </w:rPr>
      </w:pPr>
    </w:p>
    <w:p w14:paraId="7C9E46BB" w14:textId="77777777" w:rsidR="000A161F" w:rsidRDefault="000A161F" w:rsidP="000A161F">
      <w:pPr>
        <w:numPr>
          <w:ilvl w:val="0"/>
          <w:numId w:val="1"/>
        </w:numPr>
        <w:spacing w:after="160" w:line="360" w:lineRule="auto"/>
        <w:contextualSpacing/>
        <w:jc w:val="both"/>
        <w:rPr>
          <w:rFonts w:ascii="Calibri" w:eastAsia="Calibri" w:hAnsi="Calibri"/>
        </w:rPr>
      </w:pPr>
      <w:r>
        <w:rPr>
          <w:rFonts w:ascii="Calibri" w:eastAsia="Calibri" w:hAnsi="Calibri" w:hint="cs"/>
          <w:rtl/>
        </w:rPr>
        <w:t xml:space="preserve">בתחילת ההליך </w:t>
      </w:r>
      <w:r w:rsidRPr="00542C42">
        <w:rPr>
          <w:rFonts w:ascii="Calibri" w:eastAsia="Calibri" w:hAnsi="Calibri" w:hint="cs"/>
          <w:u w:val="single"/>
          <w:rtl/>
        </w:rPr>
        <w:t>הסכימה</w:t>
      </w:r>
      <w:r>
        <w:rPr>
          <w:rFonts w:ascii="Calibri" w:eastAsia="Calibri" w:hAnsi="Calibri" w:hint="cs"/>
          <w:rtl/>
        </w:rPr>
        <w:t xml:space="preserve"> המאשימה להארכת המאסר המותנה, אם כך ימליץ שירות המבחן. המאשימה הוסיפה והסבירה כי היא מצפה לשיתוף פעולה לרבות בנושא הטיפול הפסיכיאטרי. שירות המבחן בחן את עניינו של הנאשם והגיע למסקנה </w:t>
      </w:r>
      <w:r>
        <w:rPr>
          <w:rFonts w:ascii="Calibri" w:eastAsia="Calibri" w:hAnsi="Calibri"/>
          <w:rtl/>
        </w:rPr>
        <w:t>–</w:t>
      </w:r>
      <w:r>
        <w:rPr>
          <w:rFonts w:ascii="Calibri" w:eastAsia="Calibri" w:hAnsi="Calibri" w:hint="cs"/>
          <w:rtl/>
        </w:rPr>
        <w:t xml:space="preserve"> בניגוד לדעתו של הפסיכיאטר המחוזי </w:t>
      </w:r>
      <w:r>
        <w:rPr>
          <w:rFonts w:ascii="Calibri" w:eastAsia="Calibri" w:hAnsi="Calibri"/>
          <w:rtl/>
        </w:rPr>
        <w:t>–</w:t>
      </w:r>
      <w:r>
        <w:rPr>
          <w:rFonts w:ascii="Calibri" w:eastAsia="Calibri" w:hAnsi="Calibri" w:hint="cs"/>
          <w:rtl/>
        </w:rPr>
        <w:t xml:space="preserve"> כי הנאשם אינו מקפיד על נטילת הטיפול ודומה כי מסקנה זו עמדה בבסיס עמדתו שלא להמליץ על הארכת המאסר המותנה. אינני סבור שנכון היה ששירות המבחן יחלוק על עמדת הפסיכיאטר המחוזי, אך אציין כי המחלוקת היא על פרשנות המונח "טיפול". הנאשם מקבל טיפול תרופתי קבוע באמצעות זריקה חודשית ודומה שעל כך אין חולק. נראה שהנאשם לא הקפיד על טיפול נפשי מעבר לכך ומכאן הפער המושגי. כך או כך, אינני סבור שניתן לראות בנאשם </w:t>
      </w:r>
      <w:r>
        <w:rPr>
          <w:rFonts w:ascii="Calibri" w:eastAsia="Calibri" w:hAnsi="Calibri"/>
          <w:rtl/>
        </w:rPr>
        <w:t>–</w:t>
      </w:r>
      <w:r>
        <w:rPr>
          <w:rFonts w:ascii="Calibri" w:eastAsia="Calibri" w:hAnsi="Calibri" w:hint="cs"/>
          <w:rtl/>
        </w:rPr>
        <w:t xml:space="preserve"> בעניין זה </w:t>
      </w:r>
      <w:r>
        <w:rPr>
          <w:rFonts w:ascii="Calibri" w:eastAsia="Calibri" w:hAnsi="Calibri"/>
          <w:rtl/>
        </w:rPr>
        <w:t>–</w:t>
      </w:r>
      <w:r>
        <w:rPr>
          <w:rFonts w:ascii="Calibri" w:eastAsia="Calibri" w:hAnsi="Calibri" w:hint="cs"/>
          <w:rtl/>
        </w:rPr>
        <w:t xml:space="preserve"> כמי שלא עמד בהסכמה העונשית שדרשה הקפדה על  </w:t>
      </w:r>
      <w:r w:rsidRPr="00955AEB">
        <w:rPr>
          <w:rFonts w:ascii="Calibri" w:eastAsia="Calibri" w:hAnsi="Calibri" w:cs="Miriam" w:hint="cs"/>
          <w:rtl/>
        </w:rPr>
        <w:t>"</w:t>
      </w:r>
      <w:r w:rsidRPr="00E615EA">
        <w:rPr>
          <w:rFonts w:ascii="Calibri" w:eastAsia="Calibri" w:hAnsi="Calibri" w:cs="Miriam" w:hint="cs"/>
          <w:rtl/>
        </w:rPr>
        <w:t>המשך טיפול פסיכיאטרי</w:t>
      </w:r>
      <w:r w:rsidRPr="00955AEB">
        <w:rPr>
          <w:rFonts w:ascii="Calibri" w:eastAsia="Calibri" w:hAnsi="Calibri" w:cs="Miriam" w:hint="cs"/>
          <w:rtl/>
        </w:rPr>
        <w:t>".</w:t>
      </w:r>
      <w:r>
        <w:rPr>
          <w:rFonts w:ascii="Calibri" w:eastAsia="Calibri" w:hAnsi="Calibri" w:hint="cs"/>
          <w:rtl/>
        </w:rPr>
        <w:t xml:space="preserve"> </w:t>
      </w:r>
    </w:p>
    <w:p w14:paraId="5F0C5EC8" w14:textId="77777777" w:rsidR="000A161F" w:rsidRPr="00542C42" w:rsidRDefault="000A161F" w:rsidP="000A161F">
      <w:pPr>
        <w:spacing w:after="160" w:line="360" w:lineRule="auto"/>
        <w:ind w:left="720"/>
        <w:contextualSpacing/>
        <w:jc w:val="both"/>
        <w:rPr>
          <w:rFonts w:ascii="Calibri" w:eastAsia="Calibri" w:hAnsi="Calibri"/>
        </w:rPr>
      </w:pPr>
    </w:p>
    <w:p w14:paraId="789CF964" w14:textId="77777777" w:rsidR="000A161F" w:rsidRPr="00631AE3" w:rsidRDefault="000A161F" w:rsidP="000A161F">
      <w:pPr>
        <w:numPr>
          <w:ilvl w:val="0"/>
          <w:numId w:val="1"/>
        </w:numPr>
        <w:spacing w:after="160" w:line="360" w:lineRule="auto"/>
        <w:contextualSpacing/>
        <w:jc w:val="both"/>
      </w:pPr>
      <w:r w:rsidRPr="00631AE3">
        <w:rPr>
          <w:rFonts w:ascii="Calibri" w:eastAsia="Calibri" w:hAnsi="Calibri" w:hint="cs"/>
          <w:rtl/>
        </w:rPr>
        <w:t>אכן, שירות המבחן לא המליץ על הארכת המאסר המותנה והצדדים קבעו בהסכמה ביניהם כי המאשימה תסכים להארכתו אם שירות המבחן ימליץ כך. כשלעצמי, סבור אני כי טוב תעשה המאשימה בעתיד אם תמנע מהעברת ההכרעה העונשית לגורם אחר, ולו לשירות המבחן (אשר ההערכה לפועלו אינה טעונה הוכחה). כמובן שניתן לקבוע בהסדר טיעון כי המאשימה תסכים לענישה מסוימת אם שירות המבחן ימליץ על אופק שיקומי וכיוצב', ואולם דומני כי אין זה נכון להגיע להסכמה המעבירה לגורם אחר את הסמכות להחליט בדבר הענישה הקונקרטית לה תטען המאשימה. אפשר שנכון היה בנסיבות המקרה להסכים שהמאשימה תשקול בחיוב להסכים להאריך את המאסר המותנה, אם שירות המבחן יסבור שקיים אופק שיקומי בעניינו של הנאשם וכיוצב' ניסוחים. הנוסח שנבחר הביא את המאשימה לסבור כי היא רשאית להתנער כליל מהסכמה ולא היא.</w:t>
      </w:r>
      <w:r>
        <w:rPr>
          <w:rFonts w:ascii="Calibri" w:eastAsia="Calibri" w:hAnsi="Calibri" w:hint="cs"/>
          <w:rtl/>
        </w:rPr>
        <w:t xml:space="preserve"> </w:t>
      </w:r>
      <w:r>
        <w:rPr>
          <w:rFonts w:hint="cs"/>
          <w:rtl/>
        </w:rPr>
        <w:t xml:space="preserve">גם כאשר שירות המבחן לא המליץ על הארכת המאסר המותנה, היה על המאשימה לשקול את מכלול הנסיבות (לרבות את הסכמתה העקרונית ואינטרס הציפייה של הנאשם) ודומה כי בחינה זו מביאה למסקנה שראוי להאריך את המאסר המותנה. </w:t>
      </w:r>
    </w:p>
    <w:p w14:paraId="39187042" w14:textId="77777777" w:rsidR="000A161F" w:rsidRDefault="000A161F" w:rsidP="000A161F">
      <w:pPr>
        <w:spacing w:after="160" w:line="360" w:lineRule="auto"/>
        <w:ind w:left="720"/>
        <w:contextualSpacing/>
        <w:jc w:val="both"/>
      </w:pPr>
    </w:p>
    <w:p w14:paraId="7997626C" w14:textId="77777777" w:rsidR="000A161F" w:rsidRDefault="000A161F" w:rsidP="000A161F">
      <w:pPr>
        <w:numPr>
          <w:ilvl w:val="0"/>
          <w:numId w:val="1"/>
        </w:numPr>
        <w:spacing w:after="160" w:line="360" w:lineRule="auto"/>
        <w:contextualSpacing/>
        <w:jc w:val="both"/>
      </w:pPr>
      <w:r>
        <w:rPr>
          <w:rFonts w:hint="cs"/>
          <w:rtl/>
        </w:rPr>
        <w:t xml:space="preserve">הנאשם שלפני סובל ממחלת נפש פעילה. בעבר הלא רחוק הופסקו הליכים פליליים נגדו בשל מחלתו. כיום הוא מצוי בשלב של הפוגה טובה. מעבר למחלתו, מתמודד הנאשם עם קשיים כלכליים קשים. אכן העבירות שעבר ובמיוחד העבירה כלפי עובדת הביטוח הלאומי, חמורות ומצדיקות ענישה בהתאם במסגרתה. כאשר תלוי ועומד נגד הנאשם עונש מאסר מותנה (ואף בשל ביצוע עבירה דומה זמן קצר קודם לכן) בהיעדר נסיבות חריגות יש להטיל על הנאשם עונש מאסר ואף לתקופה ממשית.  עם זאת, כידוע: </w:t>
      </w:r>
    </w:p>
    <w:p w14:paraId="3FA7D041" w14:textId="77777777" w:rsidR="000A161F" w:rsidRDefault="000A161F" w:rsidP="000A161F">
      <w:pPr>
        <w:spacing w:after="160" w:line="259" w:lineRule="auto"/>
        <w:rPr>
          <w:rFonts w:ascii="Arial" w:hAnsi="Arial" w:cs="Arial"/>
          <w:sz w:val="22"/>
          <w:szCs w:val="22"/>
          <w:rtl/>
        </w:rPr>
      </w:pPr>
    </w:p>
    <w:p w14:paraId="23ED33BE" w14:textId="77777777" w:rsidR="000A161F" w:rsidRDefault="000A161F" w:rsidP="000A161F">
      <w:pPr>
        <w:spacing w:after="160" w:line="259" w:lineRule="auto"/>
        <w:ind w:left="1440" w:right="1134"/>
        <w:jc w:val="both"/>
        <w:rPr>
          <w:rFonts w:ascii="Calibri" w:hAnsi="Calibri" w:cs="Arial"/>
          <w:sz w:val="22"/>
          <w:szCs w:val="22"/>
          <w:rtl/>
        </w:rPr>
      </w:pPr>
      <w:r w:rsidRPr="0052446F">
        <w:rPr>
          <w:rFonts w:ascii="Arial" w:hAnsi="Arial" w:cs="Miriam" w:hint="cs"/>
          <w:rtl/>
        </w:rPr>
        <w:t>"</w:t>
      </w:r>
      <w:r w:rsidRPr="00CA2861">
        <w:rPr>
          <w:rFonts w:ascii="Arial" w:hAnsi="Arial" w:cs="Miriam"/>
          <w:rtl/>
        </w:rPr>
        <w:t xml:space="preserve">מדיניות הענישה המקובלת בדרך כלל אינה פוטרת את בית המשפט מלבחון כל מקרה לגופו ולאבחן בין המקרים ונסיבותיהם ובין הנאשמים ונסיבותיהם האישיות. כך שלצד השיקולים של גמול והרתעה, אין להתעלם משיקולי הענישה האינדיבידואליים, הקשורים באותו נאשם העומד לפני בית המשפט, ובין היתר, גם מסיכויי השיקום שלו. ואכן, </w:t>
      </w:r>
      <w:r w:rsidRPr="00BA5975">
        <w:rPr>
          <w:rFonts w:ascii="Arial" w:hAnsi="Arial" w:cs="Miriam"/>
          <w:color w:val="000000"/>
          <w:rtl/>
        </w:rPr>
        <w:t>סעיף 40ד(א)</w:t>
      </w:r>
      <w:r w:rsidRPr="00CA2861">
        <w:rPr>
          <w:rFonts w:ascii="Arial" w:hAnsi="Arial" w:cs="Miriam"/>
          <w:rtl/>
        </w:rPr>
        <w:t xml:space="preserve"> ל</w:t>
      </w:r>
      <w:hyperlink r:id="rId45" w:history="1">
        <w:r w:rsidR="00BA5975" w:rsidRPr="00BA5975">
          <w:rPr>
            <w:rStyle w:val="Hyperlink"/>
            <w:rFonts w:ascii="Arial" w:hAnsi="Arial" w:cs="Miriam"/>
            <w:rtl/>
          </w:rPr>
          <w:t>חוק העונשין</w:t>
        </w:r>
      </w:hyperlink>
      <w:r w:rsidRPr="00CA2861">
        <w:rPr>
          <w:rFonts w:ascii="Arial" w:hAnsi="Arial" w:cs="Miriam"/>
          <w:rtl/>
        </w:rPr>
        <w:t xml:space="preserve"> קובע, כי במקרים, בהם השתקם </w:t>
      </w:r>
      <w:r w:rsidRPr="0052446F">
        <w:rPr>
          <w:rFonts w:ascii="Arial" w:hAnsi="Arial" w:cs="Miriam" w:hint="cs"/>
          <w:rtl/>
        </w:rPr>
        <w:t xml:space="preserve"> </w:t>
      </w:r>
      <w:r w:rsidRPr="00CA2861">
        <w:rPr>
          <w:rFonts w:ascii="Arial" w:hAnsi="Arial" w:cs="Miriam"/>
          <w:rtl/>
        </w:rPr>
        <w:t>הנאשם או כאשר קיים סיכוי של ממש שהנאשם ישתקם, רשאי בית המשפט לחרוג ממתחם העונש ההולם ולהעדיף במקרים המתאימים את האינטרס השיקומי על פני אינטרס הגמול וההרתעה</w:t>
      </w:r>
      <w:r>
        <w:rPr>
          <w:rFonts w:ascii="Arial" w:hAnsi="Arial" w:cs="Miriam" w:hint="cs"/>
          <w:rtl/>
        </w:rPr>
        <w:t>"</w:t>
      </w:r>
      <w:r>
        <w:rPr>
          <w:rFonts w:ascii="Calibri" w:hAnsi="Calibri" w:cs="Arial" w:hint="cs"/>
          <w:sz w:val="22"/>
          <w:szCs w:val="22"/>
          <w:rtl/>
        </w:rPr>
        <w:t xml:space="preserve"> </w:t>
      </w:r>
    </w:p>
    <w:p w14:paraId="5DE6C99A" w14:textId="77777777" w:rsidR="000A161F" w:rsidRPr="00CA2861" w:rsidRDefault="000A161F" w:rsidP="000A161F">
      <w:pPr>
        <w:spacing w:after="160" w:line="259" w:lineRule="auto"/>
        <w:ind w:left="1440" w:right="1134"/>
        <w:jc w:val="both"/>
        <w:rPr>
          <w:rFonts w:ascii="Calibri" w:hAnsi="Calibri" w:cs="Arial"/>
          <w:sz w:val="22"/>
          <w:szCs w:val="22"/>
        </w:rPr>
      </w:pPr>
      <w:r w:rsidRPr="0052446F">
        <w:rPr>
          <w:rFonts w:hint="cs"/>
          <w:rtl/>
        </w:rPr>
        <w:t>(</w:t>
      </w:r>
      <w:hyperlink r:id="rId46" w:history="1">
        <w:r w:rsidR="00BA5975" w:rsidRPr="00BA5975">
          <w:rPr>
            <w:rStyle w:val="Hyperlink"/>
            <w:rFonts w:hint="eastAsia"/>
            <w:rtl/>
          </w:rPr>
          <w:t>עפ</w:t>
        </w:r>
        <w:r w:rsidR="00BA5975" w:rsidRPr="00BA5975">
          <w:rPr>
            <w:rStyle w:val="Hyperlink"/>
            <w:rtl/>
          </w:rPr>
          <w:t>"ג (חי) 5020-03-15</w:t>
        </w:r>
      </w:hyperlink>
      <w:r w:rsidRPr="0052446F">
        <w:rPr>
          <w:rFonts w:hint="cs"/>
          <w:rtl/>
        </w:rPr>
        <w:t xml:space="preserve"> </w:t>
      </w:r>
      <w:r w:rsidRPr="0052446F">
        <w:rPr>
          <w:rFonts w:hint="cs"/>
          <w:b/>
          <w:bCs/>
          <w:rtl/>
        </w:rPr>
        <w:t>ירון וייס נ' מדינת ישראל</w:t>
      </w:r>
      <w:r w:rsidRPr="0052446F">
        <w:rPr>
          <w:rFonts w:hint="cs"/>
          <w:rtl/>
        </w:rPr>
        <w:t xml:space="preserve"> (15.10.15))</w:t>
      </w:r>
      <w:r>
        <w:rPr>
          <w:rFonts w:ascii="Calibri" w:hAnsi="Calibri" w:cs="Arial" w:hint="cs"/>
          <w:sz w:val="22"/>
          <w:szCs w:val="22"/>
          <w:rtl/>
        </w:rPr>
        <w:t>.</w:t>
      </w:r>
    </w:p>
    <w:p w14:paraId="79D10104" w14:textId="77777777" w:rsidR="000A161F" w:rsidRDefault="000A161F" w:rsidP="000A161F">
      <w:pPr>
        <w:spacing w:after="160" w:line="360" w:lineRule="auto"/>
        <w:ind w:left="720"/>
        <w:contextualSpacing/>
        <w:jc w:val="both"/>
      </w:pPr>
    </w:p>
    <w:p w14:paraId="6221021E" w14:textId="77777777" w:rsidR="000A161F" w:rsidRDefault="000A161F" w:rsidP="000A161F">
      <w:pPr>
        <w:numPr>
          <w:ilvl w:val="0"/>
          <w:numId w:val="1"/>
        </w:numPr>
        <w:spacing w:after="160" w:line="360" w:lineRule="auto"/>
        <w:contextualSpacing/>
        <w:jc w:val="both"/>
      </w:pPr>
      <w:r>
        <w:rPr>
          <w:rFonts w:hint="cs"/>
          <w:rtl/>
        </w:rPr>
        <w:t xml:space="preserve">נקודת המוצא היא שהמאשימה מסכימה שהארכת המאסר המותנה אינה תוצאה בלתי סבירה. כאשר ציינה המאשימה שתסכים להארכת המאסר המותנה, הדגישה שנדרשת לצורך כך הקפדה על הטיפול הנפשי. מדובר בתנאי סביר, שכן אי הקפדה על הטיפול מעצימה את המסוכנות הטמונה בחולה, גם אם אינה מביאה לאי כשירות או היעדר אחריות (ראו למשל:  </w:t>
      </w:r>
      <w:hyperlink r:id="rId47" w:history="1">
        <w:r w:rsidR="00BA5975" w:rsidRPr="00BA5975">
          <w:rPr>
            <w:rStyle w:val="Hyperlink"/>
            <w:rFonts w:hint="eastAsia"/>
            <w:rtl/>
          </w:rPr>
          <w:t>בש</w:t>
        </w:r>
        <w:r w:rsidR="00BA5975" w:rsidRPr="00BA5975">
          <w:rPr>
            <w:rStyle w:val="Hyperlink"/>
            <w:rtl/>
          </w:rPr>
          <w:t>"פ 5422/13</w:t>
        </w:r>
      </w:hyperlink>
      <w:r>
        <w:rPr>
          <w:rFonts w:hint="cs"/>
          <w:rtl/>
        </w:rPr>
        <w:t xml:space="preserve"> </w:t>
      </w:r>
      <w:r w:rsidRPr="00DB70CE">
        <w:rPr>
          <w:rFonts w:hint="cs"/>
          <w:b/>
          <w:bCs/>
          <w:rtl/>
        </w:rPr>
        <w:t>מדינת ישראל נ' ישיווס אבבה</w:t>
      </w:r>
      <w:r>
        <w:rPr>
          <w:rFonts w:hint="cs"/>
          <w:rtl/>
        </w:rPr>
        <w:t xml:space="preserve"> (12.8.13)).</w:t>
      </w:r>
      <w:r>
        <w:rPr>
          <w:rFonts w:hint="cs"/>
        </w:rPr>
        <w:t xml:space="preserve"> </w:t>
      </w:r>
    </w:p>
    <w:p w14:paraId="275B28EB" w14:textId="77777777" w:rsidR="000A161F" w:rsidRDefault="000A161F" w:rsidP="000A161F">
      <w:pPr>
        <w:numPr>
          <w:ilvl w:val="0"/>
          <w:numId w:val="1"/>
        </w:numPr>
        <w:spacing w:after="160" w:line="360" w:lineRule="auto"/>
        <w:contextualSpacing/>
        <w:jc w:val="both"/>
      </w:pPr>
      <w:r>
        <w:rPr>
          <w:rFonts w:hint="cs"/>
          <w:rtl/>
        </w:rPr>
        <w:t xml:space="preserve">כאמור, אינני סבור שתנאי זה אינו מתקיים. בכל מקרה, העיקר הוא שהנאשם מאוזן. ההליך התנהל משך תקופה ארוכה מאוד. הנאשם התייצב לכל הדיונים. מצבו הנפשי, כפי שניתן היה להתרשם, היה מיוצב. כך גם עולה מחוות דעתו של הפסיכיאטר המחוזי. בנתונים אלו, ומבלי להתעלם מהמחלוקת בדבר אופן הטיפול הנדרש, רציונל הדרישה מתקיים </w:t>
      </w:r>
      <w:r>
        <w:rPr>
          <w:rtl/>
        </w:rPr>
        <w:t>–</w:t>
      </w:r>
      <w:r>
        <w:rPr>
          <w:rFonts w:hint="cs"/>
          <w:rtl/>
        </w:rPr>
        <w:t xml:space="preserve"> הנאשם מטופל תרופתית ומאוזן מספר שנים.</w:t>
      </w:r>
    </w:p>
    <w:p w14:paraId="6F3D880D" w14:textId="77777777" w:rsidR="000A161F" w:rsidRDefault="000A161F" w:rsidP="000A161F">
      <w:pPr>
        <w:spacing w:after="160" w:line="360" w:lineRule="auto"/>
        <w:contextualSpacing/>
        <w:jc w:val="both"/>
      </w:pPr>
    </w:p>
    <w:p w14:paraId="26993BE8" w14:textId="77777777" w:rsidR="000A161F" w:rsidRDefault="000A161F" w:rsidP="000A161F">
      <w:pPr>
        <w:numPr>
          <w:ilvl w:val="0"/>
          <w:numId w:val="1"/>
        </w:numPr>
        <w:spacing w:after="160" w:line="360" w:lineRule="auto"/>
        <w:contextualSpacing/>
        <w:jc w:val="both"/>
      </w:pPr>
      <w:r>
        <w:rPr>
          <w:rFonts w:hint="cs"/>
          <w:rtl/>
        </w:rPr>
        <w:t xml:space="preserve">נקודה נוספת המצדיקה הימנעות מהטלת עונש מאסר היא העובדה שהעבירות עליהן נותן הנאשם את הדין כיום בוצעו בתחילת שנת 2013. אכן המאשימה לא נקטה כל שיהוי בתיק המצורף וכתב האישום הוגש בסמוך לביצוע העבירה (אם כי בתיק הסמים קיים שיהוי של כשנתיים, אך הוא אינו העומד במרכז המחלוקת). ואולם, מאז חלפו </w:t>
      </w:r>
      <w:r w:rsidRPr="00631AE3">
        <w:rPr>
          <w:rFonts w:hint="cs"/>
          <w:u w:val="single"/>
          <w:rtl/>
        </w:rPr>
        <w:t>כארבע</w:t>
      </w:r>
      <w:r>
        <w:rPr>
          <w:rFonts w:hint="cs"/>
          <w:rtl/>
        </w:rPr>
        <w:t xml:space="preserve"> שנים, במהלכן לא ביצע הנאשם כל עבירה. לפיכך סבור אני כי נתון זה </w:t>
      </w:r>
      <w:r>
        <w:rPr>
          <w:rtl/>
        </w:rPr>
        <w:t>–</w:t>
      </w:r>
      <w:r>
        <w:rPr>
          <w:rFonts w:hint="cs"/>
          <w:rtl/>
        </w:rPr>
        <w:t xml:space="preserve"> במיוחד נוכח קשייו של הנאשם ואורח חייו </w:t>
      </w:r>
      <w:r>
        <w:rPr>
          <w:rtl/>
        </w:rPr>
        <w:t>–</w:t>
      </w:r>
      <w:r>
        <w:rPr>
          <w:rFonts w:hint="cs"/>
          <w:rtl/>
        </w:rPr>
        <w:t xml:space="preserve"> מעיד בבירור על רצונו של הנאשם לשנות את אורחות חייו. שליחתו של נאשם זה כיום לעונש מאסר ממושך, יביא לדעתי לנסיגה משמעותית בתפקודו ובמצבו הנפשי. </w:t>
      </w:r>
    </w:p>
    <w:p w14:paraId="5F9BFD62" w14:textId="77777777" w:rsidR="000A161F" w:rsidRPr="00214D63" w:rsidRDefault="000A161F" w:rsidP="000A161F">
      <w:pPr>
        <w:spacing w:after="160" w:line="360" w:lineRule="auto"/>
        <w:ind w:left="720"/>
        <w:contextualSpacing/>
        <w:jc w:val="both"/>
      </w:pPr>
    </w:p>
    <w:p w14:paraId="7E548B17" w14:textId="77777777" w:rsidR="000A161F" w:rsidRPr="00214D63" w:rsidRDefault="000A161F" w:rsidP="000A161F">
      <w:pPr>
        <w:numPr>
          <w:ilvl w:val="0"/>
          <w:numId w:val="1"/>
        </w:numPr>
        <w:spacing w:after="160" w:line="360" w:lineRule="auto"/>
        <w:contextualSpacing/>
        <w:jc w:val="both"/>
      </w:pPr>
      <w:r>
        <w:rPr>
          <w:rFonts w:ascii="Calibri" w:eastAsia="Calibri" w:hAnsi="Calibri" w:hint="cs"/>
          <w:rtl/>
        </w:rPr>
        <w:t xml:space="preserve">לאור כך, אני סבור שמתקיימים במקרה זה סיכויי שיקום בעניינו של הנאשם. מסקנה זו נסמכת על נטילת האחריות למעשים; הבנת חומרתם; הקפדה על טיפול רפואי; והפוגה ארוכה וממשית בביצוע עבירות. סיכויי שיקום אלו, אף אם אינם </w:t>
      </w:r>
      <w:r>
        <w:rPr>
          <w:rFonts w:hint="cs"/>
          <w:rtl/>
        </w:rPr>
        <w:t xml:space="preserve">נלמדים מהליך טיפולי כמקובל, מצדיקים לדעתי בנסיבות המקרה המיוחדות, להימנע מעונש מאסר וכן את הארכת המאסר המותנה. </w:t>
      </w:r>
    </w:p>
    <w:p w14:paraId="0C68E02E" w14:textId="77777777" w:rsidR="000A161F" w:rsidRPr="00214D63" w:rsidRDefault="000A161F" w:rsidP="000A161F">
      <w:pPr>
        <w:spacing w:after="160" w:line="360" w:lineRule="auto"/>
        <w:ind w:left="720"/>
        <w:contextualSpacing/>
        <w:jc w:val="both"/>
      </w:pPr>
    </w:p>
    <w:p w14:paraId="2E6CEAB3" w14:textId="77777777" w:rsidR="000A161F" w:rsidRPr="00B94456" w:rsidRDefault="000A161F" w:rsidP="000A161F">
      <w:pPr>
        <w:numPr>
          <w:ilvl w:val="0"/>
          <w:numId w:val="1"/>
        </w:numPr>
        <w:spacing w:after="160" w:line="360" w:lineRule="auto"/>
        <w:contextualSpacing/>
        <w:jc w:val="both"/>
      </w:pPr>
      <w:r w:rsidRPr="009B0B6F">
        <w:rPr>
          <w:rFonts w:ascii="Calibri" w:eastAsia="Calibri" w:hAnsi="Calibri" w:hint="cs"/>
          <w:rtl/>
        </w:rPr>
        <w:t xml:space="preserve">התבלטתי בשאלה אם יש לשלב את הארכת המאסר המותנה עם צו מבחן. </w:t>
      </w:r>
      <w:r>
        <w:rPr>
          <w:rFonts w:ascii="Calibri" w:eastAsia="Calibri" w:hAnsi="Calibri" w:hint="cs"/>
          <w:rtl/>
        </w:rPr>
        <w:t xml:space="preserve"> ההתלבטות נבעה מכך ששירות המבחן סבר שאין לו מה לתרום לנאשם. לדידי, הצורך בצו מבחן במקרה זה הוא לכל הפחות להבטיח שהנאשם ממשיך לקבל את הטיפול הנפשי. הנאשם כשיר לעמוד לדין ונושא באחריות למעשיו. לאור כך, אין אפשרות לכפות עליו טיפול (ראו </w:t>
      </w:r>
      <w:hyperlink r:id="rId48" w:history="1">
        <w:r w:rsidR="00BA5975" w:rsidRPr="00BA5975">
          <w:rPr>
            <w:rStyle w:val="Hyperlink"/>
            <w:rFonts w:ascii="Calibri" w:eastAsia="Calibri" w:hAnsi="Calibri" w:hint="cs"/>
            <w:rtl/>
          </w:rPr>
          <w:t>חוק</w:t>
        </w:r>
        <w:r w:rsidR="00BA5975" w:rsidRPr="00BA5975">
          <w:rPr>
            <w:rStyle w:val="Hyperlink"/>
            <w:rFonts w:ascii="Calibri" w:eastAsia="Calibri" w:hAnsi="Calibri"/>
            <w:rtl/>
          </w:rPr>
          <w:t xml:space="preserve"> </w:t>
        </w:r>
        <w:r w:rsidR="00BA5975" w:rsidRPr="00BA5975">
          <w:rPr>
            <w:rStyle w:val="Hyperlink"/>
            <w:rFonts w:ascii="Calibri" w:eastAsia="Calibri" w:hAnsi="Calibri" w:hint="cs"/>
            <w:rtl/>
          </w:rPr>
          <w:t>טיפול</w:t>
        </w:r>
        <w:r w:rsidR="00BA5975" w:rsidRPr="00BA5975">
          <w:rPr>
            <w:rStyle w:val="Hyperlink"/>
            <w:rFonts w:ascii="Calibri" w:eastAsia="Calibri" w:hAnsi="Calibri"/>
            <w:rtl/>
          </w:rPr>
          <w:t xml:space="preserve"> </w:t>
        </w:r>
        <w:r w:rsidR="00BA5975" w:rsidRPr="00BA5975">
          <w:rPr>
            <w:rStyle w:val="Hyperlink"/>
            <w:rFonts w:ascii="Calibri" w:eastAsia="Calibri" w:hAnsi="Calibri" w:hint="cs"/>
            <w:rtl/>
          </w:rPr>
          <w:t>בחולי</w:t>
        </w:r>
        <w:r w:rsidR="00BA5975" w:rsidRPr="00BA5975">
          <w:rPr>
            <w:rStyle w:val="Hyperlink"/>
            <w:rFonts w:ascii="Calibri" w:eastAsia="Calibri" w:hAnsi="Calibri"/>
            <w:rtl/>
          </w:rPr>
          <w:t xml:space="preserve"> </w:t>
        </w:r>
        <w:r w:rsidR="00BA5975" w:rsidRPr="00BA5975">
          <w:rPr>
            <w:rStyle w:val="Hyperlink"/>
            <w:rFonts w:ascii="Calibri" w:eastAsia="Calibri" w:hAnsi="Calibri" w:hint="cs"/>
            <w:rtl/>
          </w:rPr>
          <w:t>נפש</w:t>
        </w:r>
      </w:hyperlink>
      <w:r>
        <w:rPr>
          <w:rFonts w:ascii="Calibri" w:eastAsia="Calibri" w:hAnsi="Calibri" w:hint="cs"/>
          <w:rtl/>
        </w:rPr>
        <w:t xml:space="preserve">, תשנ"א-1991), אלא באמצעות שימוש </w:t>
      </w:r>
      <w:hyperlink r:id="rId49" w:history="1">
        <w:r w:rsidR="00DD2CC9" w:rsidRPr="00DD2CC9">
          <w:rPr>
            <w:rFonts w:ascii="Calibri" w:eastAsia="Calibri" w:hAnsi="Calibri" w:hint="cs"/>
            <w:color w:val="0000FF"/>
            <w:u w:val="single"/>
            <w:rtl/>
          </w:rPr>
          <w:t>בסעיף</w:t>
        </w:r>
        <w:r w:rsidR="00DD2CC9" w:rsidRPr="00DD2CC9">
          <w:rPr>
            <w:rFonts w:ascii="Calibri" w:eastAsia="Calibri" w:hAnsi="Calibri"/>
            <w:color w:val="0000FF"/>
            <w:u w:val="single"/>
            <w:rtl/>
          </w:rPr>
          <w:t xml:space="preserve"> 5(2)</w:t>
        </w:r>
      </w:hyperlink>
      <w:r>
        <w:rPr>
          <w:rFonts w:ascii="Calibri" w:eastAsia="Calibri" w:hAnsi="Calibri" w:hint="cs"/>
          <w:rtl/>
        </w:rPr>
        <w:t xml:space="preserve"> ל</w:t>
      </w:r>
      <w:hyperlink r:id="rId50" w:history="1">
        <w:r w:rsidR="00BA5975" w:rsidRPr="00BA5975">
          <w:rPr>
            <w:rStyle w:val="Hyperlink"/>
            <w:rFonts w:ascii="Calibri" w:eastAsia="Calibri" w:hAnsi="Calibri" w:hint="cs"/>
            <w:rtl/>
          </w:rPr>
          <w:t>פקודת</w:t>
        </w:r>
        <w:r w:rsidR="00BA5975" w:rsidRPr="00BA5975">
          <w:rPr>
            <w:rStyle w:val="Hyperlink"/>
            <w:rFonts w:ascii="Calibri" w:eastAsia="Calibri" w:hAnsi="Calibri"/>
            <w:rtl/>
          </w:rPr>
          <w:t xml:space="preserve"> </w:t>
        </w:r>
        <w:r w:rsidR="00BA5975" w:rsidRPr="00BA5975">
          <w:rPr>
            <w:rStyle w:val="Hyperlink"/>
            <w:rFonts w:ascii="Calibri" w:eastAsia="Calibri" w:hAnsi="Calibri" w:hint="cs"/>
            <w:rtl/>
          </w:rPr>
          <w:t>המבחן</w:t>
        </w:r>
      </w:hyperlink>
      <w:r>
        <w:rPr>
          <w:rFonts w:ascii="Calibri" w:eastAsia="Calibri" w:hAnsi="Calibri" w:hint="cs"/>
          <w:rtl/>
        </w:rPr>
        <w:t xml:space="preserve">, תשכ"ט-1969 המאפשר לכלול בצו מבחן </w:t>
      </w:r>
      <w:r w:rsidRPr="00B94456">
        <w:rPr>
          <w:rFonts w:ascii="Calibri" w:eastAsia="Calibri" w:hAnsi="Calibri" w:cs="Miriam" w:hint="cs"/>
          <w:rtl/>
        </w:rPr>
        <w:t>"תנאים נוספים בדבר... חובת הנבחן לקבל טיפול רפואי, ככל ש</w:t>
      </w:r>
      <w:r>
        <w:rPr>
          <w:rFonts w:ascii="Calibri" w:eastAsia="Calibri" w:hAnsi="Calibri" w:cs="Miriam" w:hint="cs"/>
          <w:rtl/>
        </w:rPr>
        <w:t>ב</w:t>
      </w:r>
      <w:r w:rsidRPr="00B94456">
        <w:rPr>
          <w:rFonts w:ascii="Calibri" w:eastAsia="Calibri" w:hAnsi="Calibri" w:cs="Miriam" w:hint="cs"/>
          <w:rtl/>
        </w:rPr>
        <w:t>ית המשפט, בהתחשב עם נסיבות העניין, יראה אותם נחוצים כדי להבטיח את שלומו הנפשי והגופני של הנבחן, את שיקו</w:t>
      </w:r>
      <w:r>
        <w:rPr>
          <w:rFonts w:ascii="Calibri" w:eastAsia="Calibri" w:hAnsi="Calibri" w:cs="Miriam" w:hint="cs"/>
          <w:rtl/>
        </w:rPr>
        <w:t>מ</w:t>
      </w:r>
      <w:r w:rsidRPr="00B94456">
        <w:rPr>
          <w:rFonts w:ascii="Calibri" w:eastAsia="Calibri" w:hAnsi="Calibri" w:cs="Miriam" w:hint="cs"/>
          <w:rtl/>
        </w:rPr>
        <w:t>ו החברתי וחינוכו להתנהגות טובה ולמנוע אותו מלשוב ולע</w:t>
      </w:r>
      <w:r>
        <w:rPr>
          <w:rFonts w:ascii="Calibri" w:eastAsia="Calibri" w:hAnsi="Calibri" w:cs="Miriam" w:hint="cs"/>
          <w:rtl/>
        </w:rPr>
        <w:t>ב</w:t>
      </w:r>
      <w:r w:rsidRPr="00B94456">
        <w:rPr>
          <w:rFonts w:ascii="Calibri" w:eastAsia="Calibri" w:hAnsi="Calibri" w:cs="Miriam" w:hint="cs"/>
          <w:rtl/>
        </w:rPr>
        <w:t>ור את העבירה שעבר או לעבור עבירה אחרת".</w:t>
      </w:r>
      <w:r>
        <w:rPr>
          <w:rFonts w:ascii="Calibri" w:eastAsia="Calibri" w:hAnsi="Calibri" w:hint="cs"/>
          <w:rtl/>
        </w:rPr>
        <w:t xml:space="preserve"> </w:t>
      </w:r>
    </w:p>
    <w:p w14:paraId="2374B264" w14:textId="77777777" w:rsidR="000A161F" w:rsidRPr="00B94456" w:rsidRDefault="000A161F" w:rsidP="000A161F">
      <w:pPr>
        <w:spacing w:after="160" w:line="360" w:lineRule="auto"/>
        <w:ind w:left="720"/>
        <w:contextualSpacing/>
        <w:jc w:val="both"/>
      </w:pPr>
    </w:p>
    <w:p w14:paraId="4EEC663E" w14:textId="77777777" w:rsidR="000A161F" w:rsidRDefault="000A161F" w:rsidP="000A161F">
      <w:pPr>
        <w:numPr>
          <w:ilvl w:val="0"/>
          <w:numId w:val="1"/>
        </w:numPr>
        <w:spacing w:after="160" w:line="360" w:lineRule="auto"/>
        <w:contextualSpacing/>
        <w:jc w:val="both"/>
      </w:pPr>
      <w:r>
        <w:rPr>
          <w:rFonts w:ascii="Calibri" w:eastAsia="Calibri" w:hAnsi="Calibri" w:hint="cs"/>
          <w:rtl/>
        </w:rPr>
        <w:t xml:space="preserve">הנאשם הסכים להיות תחת פיקוחו של שירות המבחן וכן לקבל את הטיפול. אני רואה בנסיבות העניין חשיבות רבה לנושא זה, לצורך שיקומו של הנאשם והפחתת המסוכנות. אף </w:t>
      </w:r>
      <w:r w:rsidRPr="009B0B6F">
        <w:rPr>
          <w:rFonts w:ascii="Calibri" w:eastAsia="Calibri" w:hAnsi="Calibri" w:hint="cs"/>
          <w:rtl/>
        </w:rPr>
        <w:t xml:space="preserve">המאשימה </w:t>
      </w:r>
      <w:r>
        <w:rPr>
          <w:rFonts w:ascii="Calibri" w:eastAsia="Calibri" w:hAnsi="Calibri" w:hint="cs"/>
          <w:rtl/>
        </w:rPr>
        <w:t xml:space="preserve">הסכימה, בשלב מאוחר של ההליך, </w:t>
      </w:r>
      <w:r w:rsidRPr="009B0B6F">
        <w:rPr>
          <w:rFonts w:ascii="Calibri" w:eastAsia="Calibri" w:hAnsi="Calibri" w:hint="cs"/>
          <w:rtl/>
        </w:rPr>
        <w:t xml:space="preserve">כי </w:t>
      </w:r>
      <w:r w:rsidRPr="00D21A22">
        <w:rPr>
          <w:rFonts w:ascii="Calibri" w:eastAsia="Calibri" w:hAnsi="Calibri" w:cs="Miriam" w:hint="cs"/>
          <w:rtl/>
        </w:rPr>
        <w:t>"</w:t>
      </w:r>
      <w:r w:rsidRPr="009B0B6F">
        <w:rPr>
          <w:rFonts w:cs="Miriam" w:hint="cs"/>
          <w:rtl/>
        </w:rPr>
        <w:t>נכון יהיה אם שירות המבחן ישמש כגורם מפקח לפרק זמן של 18 חודשים על הנאשם. מטרת הפיקוח היא להבטיח שהנאשם ממשיך לקבל טיפול פסיכיאטרי, וכן אינו עושה שימ</w:t>
      </w:r>
      <w:r>
        <w:rPr>
          <w:rFonts w:cs="Miriam" w:hint="cs"/>
          <w:rtl/>
        </w:rPr>
        <w:t>וש בסמים".</w:t>
      </w:r>
      <w:r>
        <w:rPr>
          <w:rFonts w:hint="cs"/>
          <w:rtl/>
        </w:rPr>
        <w:t xml:space="preserve"> בסופו של דבר המאשימה סברה שאין מקום לענישה שיקומית, אך  ראיתי לציין את עמדתה העקרונית כמשקפת את הראוי והנכון בנסיבות העניין.</w:t>
      </w:r>
    </w:p>
    <w:p w14:paraId="5E1B300A" w14:textId="77777777" w:rsidR="000A161F" w:rsidRPr="00CB3348" w:rsidRDefault="000A161F" w:rsidP="000A161F">
      <w:pPr>
        <w:spacing w:after="160" w:line="360" w:lineRule="auto"/>
        <w:ind w:left="720"/>
        <w:contextualSpacing/>
        <w:jc w:val="both"/>
      </w:pPr>
    </w:p>
    <w:p w14:paraId="540ECF77" w14:textId="77777777" w:rsidR="000A161F" w:rsidRDefault="000A161F" w:rsidP="000A161F">
      <w:pPr>
        <w:numPr>
          <w:ilvl w:val="0"/>
          <w:numId w:val="1"/>
        </w:numPr>
        <w:spacing w:after="160" w:line="360" w:lineRule="auto"/>
        <w:contextualSpacing/>
        <w:jc w:val="both"/>
      </w:pPr>
      <w:r>
        <w:rPr>
          <w:rFonts w:hint="cs"/>
          <w:rtl/>
        </w:rPr>
        <w:t xml:space="preserve">לאור כך, אני מחליט לחרוג ממתחם הענישה ומורה כדלקמן: </w:t>
      </w:r>
    </w:p>
    <w:p w14:paraId="5739EE48" w14:textId="77777777" w:rsidR="000A161F" w:rsidRPr="00CB3348" w:rsidRDefault="000A161F" w:rsidP="000A161F">
      <w:pPr>
        <w:spacing w:after="160" w:line="360" w:lineRule="auto"/>
        <w:ind w:left="720"/>
        <w:contextualSpacing/>
        <w:jc w:val="both"/>
        <w:rPr>
          <w:rtl/>
        </w:rPr>
      </w:pPr>
    </w:p>
    <w:p w14:paraId="64772921" w14:textId="77777777" w:rsidR="000A161F" w:rsidRDefault="000A161F" w:rsidP="000A161F">
      <w:pPr>
        <w:pStyle w:val="ListParagraph"/>
        <w:numPr>
          <w:ilvl w:val="0"/>
          <w:numId w:val="2"/>
        </w:numPr>
        <w:spacing w:after="160" w:line="360" w:lineRule="auto"/>
        <w:jc w:val="both"/>
      </w:pPr>
      <w:r>
        <w:rPr>
          <w:rFonts w:hint="cs"/>
          <w:rtl/>
        </w:rPr>
        <w:t>אני מחדש את המאסר המותנה בן 7 חודשים שהוטל על הנאשם ב</w:t>
      </w:r>
      <w:hyperlink r:id="rId51" w:history="1">
        <w:r w:rsidR="00BA5975" w:rsidRPr="00BA5975">
          <w:rPr>
            <w:rStyle w:val="Hyperlink"/>
            <w:rFonts w:hint="eastAsia"/>
            <w:rtl/>
          </w:rPr>
          <w:t>ת</w:t>
        </w:r>
        <w:r w:rsidR="00BA5975" w:rsidRPr="00BA5975">
          <w:rPr>
            <w:rStyle w:val="Hyperlink"/>
            <w:rtl/>
          </w:rPr>
          <w:t>.פ 39867-01-12</w:t>
        </w:r>
      </w:hyperlink>
      <w:r>
        <w:rPr>
          <w:rFonts w:hint="cs"/>
          <w:rtl/>
        </w:rPr>
        <w:t xml:space="preserve"> (גז"ד מיום 27.2.12) וזאת למשך 12 חודשים נוספים.</w:t>
      </w:r>
    </w:p>
    <w:p w14:paraId="4A71C32F" w14:textId="77777777" w:rsidR="000A161F" w:rsidRDefault="000A161F" w:rsidP="000A161F">
      <w:pPr>
        <w:pStyle w:val="ListParagraph"/>
        <w:spacing w:after="160" w:line="360" w:lineRule="auto"/>
        <w:ind w:left="1440"/>
        <w:jc w:val="both"/>
      </w:pPr>
    </w:p>
    <w:p w14:paraId="0959C702" w14:textId="77777777" w:rsidR="000A161F" w:rsidRDefault="000A161F" w:rsidP="000A161F">
      <w:pPr>
        <w:pStyle w:val="ListParagraph"/>
        <w:numPr>
          <w:ilvl w:val="0"/>
          <w:numId w:val="2"/>
        </w:numPr>
        <w:spacing w:after="160" w:line="360" w:lineRule="auto"/>
        <w:jc w:val="both"/>
      </w:pPr>
      <w:r>
        <w:rPr>
          <w:rFonts w:hint="cs"/>
          <w:rtl/>
        </w:rPr>
        <w:t xml:space="preserve">אני מעמיד את הנאשם בפיקוח שירות המבחן למשך 18 חודשים. אני קובע כחלק מתנאי המבחן כי הנאשם מחויב להמשיך לקבל טיפול נפשי </w:t>
      </w:r>
      <w:r>
        <w:rPr>
          <w:rtl/>
        </w:rPr>
        <w:t>–</w:t>
      </w:r>
      <w:r>
        <w:rPr>
          <w:rFonts w:hint="cs"/>
          <w:rtl/>
        </w:rPr>
        <w:t xml:space="preserve"> תרופתי כפי שיקבעו בעניינו רופאיו. שירות המבחן מתבקש לפקח על שיתוף הפעולה של הנאשם עם גורמי בריאות הנפש ולדווח באם חל שינוי לרעה במצבו הנפשי או אם אינו מקפיד על קבלת הטיפול. כמו כן מטרת הפיקוח היא עריכת בדיקות סמים. </w:t>
      </w:r>
    </w:p>
    <w:p w14:paraId="54343E8A" w14:textId="77777777" w:rsidR="000A161F" w:rsidRDefault="000A161F" w:rsidP="000A161F">
      <w:pPr>
        <w:pStyle w:val="ListParagraph"/>
        <w:spacing w:after="160" w:line="360" w:lineRule="auto"/>
        <w:ind w:left="1440"/>
        <w:jc w:val="both"/>
        <w:rPr>
          <w:rtl/>
        </w:rPr>
      </w:pPr>
    </w:p>
    <w:p w14:paraId="7350116A" w14:textId="77777777" w:rsidR="000A161F" w:rsidRDefault="000A161F" w:rsidP="000A161F">
      <w:pPr>
        <w:pStyle w:val="ListParagraph"/>
        <w:spacing w:after="160" w:line="360" w:lineRule="auto"/>
        <w:ind w:left="1440"/>
        <w:jc w:val="both"/>
        <w:rPr>
          <w:rtl/>
        </w:rPr>
      </w:pPr>
      <w:r>
        <w:rPr>
          <w:rFonts w:hint="cs"/>
          <w:rtl/>
        </w:rPr>
        <w:t>מובהר לנאשם כי עליו למלא אחר תנאים אלו וכי אם לא יעשה כן ניתן יהיה להפקיע את צו המבחן ולהטיל עליו ענישה חלופית.</w:t>
      </w:r>
    </w:p>
    <w:p w14:paraId="61B9152E" w14:textId="77777777" w:rsidR="000A161F" w:rsidRPr="00BA5975" w:rsidRDefault="00BA5975" w:rsidP="000A161F">
      <w:pPr>
        <w:pStyle w:val="ListParagraph"/>
        <w:spacing w:after="160" w:line="360" w:lineRule="auto"/>
        <w:ind w:left="1440"/>
        <w:jc w:val="both"/>
        <w:rPr>
          <w:color w:val="FFFFFF"/>
          <w:sz w:val="2"/>
          <w:szCs w:val="2"/>
        </w:rPr>
      </w:pPr>
      <w:r w:rsidRPr="00BA5975">
        <w:rPr>
          <w:color w:val="FFFFFF"/>
          <w:sz w:val="2"/>
          <w:szCs w:val="2"/>
          <w:rtl/>
        </w:rPr>
        <w:t>5129371</w:t>
      </w:r>
    </w:p>
    <w:p w14:paraId="146E615A" w14:textId="77777777" w:rsidR="000A161F" w:rsidRDefault="00BA5975" w:rsidP="000A161F">
      <w:pPr>
        <w:pStyle w:val="ListParagraph"/>
        <w:numPr>
          <w:ilvl w:val="0"/>
          <w:numId w:val="2"/>
        </w:numPr>
        <w:spacing w:after="160" w:line="360" w:lineRule="auto"/>
        <w:jc w:val="both"/>
        <w:rPr>
          <w:rtl/>
        </w:rPr>
      </w:pPr>
      <w:r w:rsidRPr="00BA5975">
        <w:rPr>
          <w:color w:val="FFFFFF"/>
          <w:sz w:val="2"/>
          <w:szCs w:val="2"/>
          <w:rtl/>
        </w:rPr>
        <w:t>54678313</w:t>
      </w:r>
      <w:r w:rsidR="000A161F">
        <w:rPr>
          <w:rFonts w:hint="cs"/>
          <w:rtl/>
        </w:rPr>
        <w:t>אני פוסל את הנאשם מלקבל או להחזיק רישיון נהיגה למשך 6 חודשים. מובהר לנאשם כי עליו להפקיד את רישיונו לצורך תחילת מניין הפסילה, אך היא תכנס לתוקף גם ללא הפקדה.</w:t>
      </w:r>
      <w:r w:rsidR="000A161F">
        <w:rPr>
          <w:rFonts w:hint="cs"/>
          <w:highlight w:val="yellow"/>
          <w:rtl/>
        </w:rPr>
        <w:t xml:space="preserve"> </w:t>
      </w:r>
    </w:p>
    <w:p w14:paraId="699972CA" w14:textId="77777777" w:rsidR="000A161F" w:rsidRPr="000B2C5A" w:rsidRDefault="000A161F" w:rsidP="000A161F">
      <w:pPr>
        <w:spacing w:after="160" w:line="360" w:lineRule="auto"/>
        <w:ind w:left="720"/>
        <w:contextualSpacing/>
        <w:jc w:val="both"/>
        <w:rPr>
          <w:u w:val="single"/>
          <w:rtl/>
        </w:rPr>
      </w:pPr>
      <w:r w:rsidRPr="000B2C5A">
        <w:rPr>
          <w:rFonts w:hint="cs"/>
          <w:u w:val="single"/>
          <w:rtl/>
        </w:rPr>
        <w:t>המזכירות תשלח עותק מגזר הדין לשירות המבחן</w:t>
      </w:r>
      <w:r>
        <w:rPr>
          <w:rFonts w:hint="cs"/>
          <w:u w:val="single"/>
          <w:rtl/>
        </w:rPr>
        <w:t>.</w:t>
      </w:r>
    </w:p>
    <w:p w14:paraId="3ED598F5" w14:textId="77777777" w:rsidR="000A161F" w:rsidRPr="000B2C5A" w:rsidRDefault="000A161F" w:rsidP="000A161F">
      <w:pPr>
        <w:spacing w:after="160" w:line="360" w:lineRule="auto"/>
        <w:ind w:left="720"/>
        <w:contextualSpacing/>
        <w:jc w:val="both"/>
        <w:rPr>
          <w:b/>
          <w:bCs/>
          <w:u w:val="single"/>
          <w:rtl/>
        </w:rPr>
      </w:pPr>
      <w:r w:rsidRPr="000B2C5A">
        <w:rPr>
          <w:rFonts w:hint="cs"/>
          <w:b/>
          <w:bCs/>
          <w:u w:val="single"/>
          <w:rtl/>
        </w:rPr>
        <w:t>זכות ערעור בתוך 45 יום.</w:t>
      </w:r>
    </w:p>
    <w:p w14:paraId="2359C639" w14:textId="77777777" w:rsidR="000A161F" w:rsidRDefault="00BA5975" w:rsidP="000A161F">
      <w:pPr>
        <w:jc w:val="center"/>
      </w:pPr>
      <w:r>
        <w:rPr>
          <w:rFonts w:ascii="Arial" w:hAnsi="Arial"/>
          <w:rtl/>
        </w:rPr>
        <w:t xml:space="preserve">ניתן היום,  כ"ה טבת תשע"ז, 23 ינואר 2017, במעמד הצדדים. </w:t>
      </w:r>
      <w:r w:rsidR="000A161F">
        <w:rPr>
          <w:rFonts w:hint="cs"/>
          <w:rtl/>
        </w:rPr>
        <w:t xml:space="preserve">   </w:t>
      </w:r>
      <w:r w:rsidR="000A161F">
        <w:rPr>
          <w:rFonts w:hint="cs"/>
          <w:rtl/>
        </w:rPr>
        <w:tab/>
      </w:r>
      <w:r w:rsidR="000A161F">
        <w:rPr>
          <w:rFonts w:hint="cs"/>
          <w:rtl/>
        </w:rPr>
        <w:tab/>
      </w:r>
      <w:r w:rsidR="000A161F">
        <w:rPr>
          <w:rFonts w:hint="cs"/>
          <w:rtl/>
        </w:rPr>
        <w:tab/>
      </w:r>
      <w:r w:rsidR="000A161F">
        <w:rPr>
          <w:rFonts w:hint="cs"/>
          <w:rtl/>
        </w:rPr>
        <w:tab/>
      </w:r>
      <w:r w:rsidR="000A161F">
        <w:rPr>
          <w:rFonts w:hint="cs"/>
          <w:rtl/>
        </w:rPr>
        <w:tab/>
      </w:r>
    </w:p>
    <w:p w14:paraId="46163CAB" w14:textId="77777777" w:rsidR="000A161F" w:rsidRPr="00DD2CC9" w:rsidRDefault="00DD2CC9" w:rsidP="000A161F">
      <w:pPr>
        <w:jc w:val="center"/>
        <w:rPr>
          <w:rFonts w:ascii="Arial" w:hAnsi="Arial" w:cs="FrankRuehl"/>
          <w:color w:val="FFFFFF"/>
          <w:sz w:val="2"/>
          <w:szCs w:val="2"/>
          <w:rtl/>
        </w:rPr>
      </w:pPr>
      <w:r w:rsidRPr="00DD2CC9">
        <w:rPr>
          <w:rFonts w:ascii="Arial" w:hAnsi="Arial" w:cs="FrankRuehl"/>
          <w:color w:val="FFFFFF"/>
          <w:sz w:val="2"/>
          <w:szCs w:val="2"/>
          <w:rtl/>
        </w:rPr>
        <w:t>512937151293715129371</w:t>
      </w:r>
    </w:p>
    <w:p w14:paraId="5E223C4B" w14:textId="77777777" w:rsidR="00BA5975" w:rsidRPr="00DD2CC9" w:rsidRDefault="00DD2CC9" w:rsidP="00BA5975">
      <w:pPr>
        <w:keepNext/>
        <w:rPr>
          <w:rFonts w:ascii="David" w:hAnsi="David"/>
          <w:color w:val="FFFFFF"/>
          <w:sz w:val="2"/>
          <w:szCs w:val="2"/>
          <w:rtl/>
        </w:rPr>
      </w:pPr>
      <w:r w:rsidRPr="00DD2CC9">
        <w:rPr>
          <w:rFonts w:ascii="David" w:hAnsi="David"/>
          <w:color w:val="FFFFFF"/>
          <w:sz w:val="2"/>
          <w:szCs w:val="2"/>
          <w:rtl/>
        </w:rPr>
        <w:t>5129371546783135467831354678313</w:t>
      </w:r>
    </w:p>
    <w:p w14:paraId="626FF0B8" w14:textId="77777777" w:rsidR="00BA5975" w:rsidRPr="00BA5975" w:rsidRDefault="00DD2CC9" w:rsidP="00BA5975">
      <w:pPr>
        <w:keepNext/>
        <w:rPr>
          <w:rFonts w:ascii="David" w:hAnsi="David"/>
          <w:color w:val="000000"/>
          <w:sz w:val="22"/>
          <w:szCs w:val="22"/>
          <w:rtl/>
        </w:rPr>
      </w:pPr>
      <w:r w:rsidRPr="00DD2CC9">
        <w:rPr>
          <w:rFonts w:ascii="David" w:hAnsi="David"/>
          <w:color w:val="FFFFFF"/>
          <w:sz w:val="2"/>
          <w:szCs w:val="2"/>
          <w:rtl/>
        </w:rPr>
        <w:t>54678313</w:t>
      </w:r>
      <w:r w:rsidR="00BA5975" w:rsidRPr="00BA5975">
        <w:rPr>
          <w:rFonts w:ascii="David" w:hAnsi="David"/>
          <w:color w:val="000000"/>
          <w:sz w:val="22"/>
          <w:szCs w:val="22"/>
          <w:rtl/>
        </w:rPr>
        <w:t>יוסי טורס 54678313</w:t>
      </w:r>
    </w:p>
    <w:p w14:paraId="7B72BD20" w14:textId="77777777" w:rsidR="00BA5975" w:rsidRDefault="00BA5975" w:rsidP="00BA5975">
      <w:r w:rsidRPr="00BA5975">
        <w:rPr>
          <w:color w:val="000000"/>
          <w:rtl/>
        </w:rPr>
        <w:t>נוסח מסמך זה כפוף לשינויי ניסוח ועריכה</w:t>
      </w:r>
    </w:p>
    <w:p w14:paraId="7BCE5F3F" w14:textId="77777777" w:rsidR="00BA5975" w:rsidRDefault="00BA5975" w:rsidP="00BA5975">
      <w:pPr>
        <w:rPr>
          <w:rtl/>
        </w:rPr>
      </w:pPr>
    </w:p>
    <w:p w14:paraId="3728E002" w14:textId="77777777" w:rsidR="00BA5975" w:rsidRDefault="00BA5975" w:rsidP="00BA5975">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36268AC3" w14:textId="77777777" w:rsidR="00DD2CC9" w:rsidRPr="00DD2CC9" w:rsidRDefault="00DD2CC9" w:rsidP="00DD2CC9">
      <w:pPr>
        <w:keepNext/>
        <w:rPr>
          <w:rFonts w:ascii="David" w:hAnsi="David"/>
          <w:color w:val="000000"/>
          <w:sz w:val="22"/>
          <w:szCs w:val="22"/>
          <w:rtl/>
        </w:rPr>
      </w:pPr>
    </w:p>
    <w:p w14:paraId="7FA6331A" w14:textId="77777777" w:rsidR="00B35717" w:rsidRDefault="00B35717" w:rsidP="00DD2CC9">
      <w:pPr>
        <w:rPr>
          <w:rFonts w:hint="cs"/>
          <w:color w:val="0000FF"/>
          <w:u w:val="single"/>
          <w:rtl/>
        </w:rPr>
      </w:pPr>
    </w:p>
    <w:p w14:paraId="26036B9A" w14:textId="77777777" w:rsidR="00D40B7E" w:rsidRDefault="00D40B7E" w:rsidP="00DD2CC9">
      <w:pPr>
        <w:rPr>
          <w:rFonts w:hint="cs"/>
          <w:color w:val="0000FF"/>
          <w:u w:val="single"/>
          <w:rtl/>
        </w:rPr>
      </w:pPr>
    </w:p>
    <w:p w14:paraId="6C43AFDC" w14:textId="77777777" w:rsidR="00D40B7E" w:rsidRPr="00BA5975" w:rsidRDefault="00D40B7E" w:rsidP="00DD2CC9">
      <w:pPr>
        <w:rPr>
          <w:color w:val="0000FF"/>
          <w:u w:val="single"/>
        </w:rPr>
      </w:pPr>
    </w:p>
    <w:sectPr w:rsidR="00D40B7E" w:rsidRPr="00BA5975" w:rsidSect="00DD2CC9">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44EC75" w14:textId="77777777" w:rsidR="003A4BAD" w:rsidRDefault="003A4BAD">
      <w:r>
        <w:separator/>
      </w:r>
    </w:p>
  </w:endnote>
  <w:endnote w:type="continuationSeparator" w:id="0">
    <w:p w14:paraId="4EACEBC7" w14:textId="77777777" w:rsidR="003A4BAD" w:rsidRDefault="003A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FF4D3" w14:textId="77777777" w:rsidR="003A4BAD" w:rsidRDefault="003A4BAD" w:rsidP="00DD2C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9</w:t>
    </w:r>
    <w:r>
      <w:rPr>
        <w:rFonts w:ascii="FrankRuehl" w:hAnsi="FrankRuehl" w:cs="FrankRuehl"/>
        <w:rtl/>
      </w:rPr>
      <w:fldChar w:fldCharType="end"/>
    </w:r>
  </w:p>
  <w:p w14:paraId="0170342C" w14:textId="77777777" w:rsidR="003A4BAD" w:rsidRPr="00DD2CC9" w:rsidRDefault="003A4BAD" w:rsidP="00DD2CC9">
    <w:pPr>
      <w:pStyle w:val="a4"/>
      <w:pBdr>
        <w:top w:val="single" w:sz="4" w:space="1" w:color="auto"/>
        <w:between w:val="single" w:sz="4" w:space="0" w:color="auto"/>
      </w:pBdr>
      <w:spacing w:after="60"/>
      <w:jc w:val="center"/>
      <w:rPr>
        <w:rFonts w:ascii="FrankRuehl" w:hAnsi="FrankRuehl" w:cs="FrankRuehl"/>
        <w:color w:val="000000"/>
      </w:rPr>
    </w:pPr>
    <w:r w:rsidRPr="00DD2CC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D0A742" w14:textId="77777777" w:rsidR="003A4BAD" w:rsidRDefault="003A4BAD" w:rsidP="00DD2CC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C0C26">
      <w:rPr>
        <w:rFonts w:ascii="FrankRuehl" w:hAnsi="FrankRuehl" w:cs="FrankRuehl"/>
        <w:noProof/>
        <w:rtl/>
      </w:rPr>
      <w:t>1</w:t>
    </w:r>
    <w:r>
      <w:rPr>
        <w:rFonts w:ascii="FrankRuehl" w:hAnsi="FrankRuehl" w:cs="FrankRuehl"/>
        <w:rtl/>
      </w:rPr>
      <w:fldChar w:fldCharType="end"/>
    </w:r>
  </w:p>
  <w:p w14:paraId="69AD4599" w14:textId="77777777" w:rsidR="003A4BAD" w:rsidRPr="00DD2CC9" w:rsidRDefault="003A4BAD" w:rsidP="00DD2CC9">
    <w:pPr>
      <w:pStyle w:val="a4"/>
      <w:pBdr>
        <w:top w:val="single" w:sz="4" w:space="1" w:color="auto"/>
        <w:between w:val="single" w:sz="4" w:space="0" w:color="auto"/>
      </w:pBdr>
      <w:spacing w:after="60"/>
      <w:jc w:val="center"/>
      <w:rPr>
        <w:rFonts w:ascii="FrankRuehl" w:hAnsi="FrankRuehl" w:cs="FrankRuehl"/>
        <w:color w:val="000000"/>
      </w:rPr>
    </w:pPr>
    <w:r w:rsidRPr="00DD2CC9">
      <w:rPr>
        <w:rFonts w:ascii="FrankRuehl" w:hAnsi="FrankRuehl" w:cs="FrankRuehl"/>
        <w:color w:val="000000"/>
      </w:rPr>
      <w:pict w14:anchorId="029B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0C11E5" w14:textId="77777777" w:rsidR="003A4BAD" w:rsidRDefault="003A4BAD">
      <w:r>
        <w:separator/>
      </w:r>
    </w:p>
  </w:footnote>
  <w:footnote w:type="continuationSeparator" w:id="0">
    <w:p w14:paraId="2231813C" w14:textId="77777777" w:rsidR="003A4BAD" w:rsidRDefault="003A4B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D08CD5" w14:textId="77777777" w:rsidR="003A4BAD" w:rsidRPr="00DD2CC9" w:rsidRDefault="003A4BAD" w:rsidP="00DD2C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57822-06-13</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84F78" w14:textId="77777777" w:rsidR="003A4BAD" w:rsidRPr="00DD2CC9" w:rsidRDefault="003A4BAD" w:rsidP="00DD2CC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(קריות) 57822-06-13</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62E"/>
    <w:multiLevelType w:val="hybridMultilevel"/>
    <w:tmpl w:val="46F0F76E"/>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3A43DAE"/>
    <w:multiLevelType w:val="hybridMultilevel"/>
    <w:tmpl w:val="115C4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2222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58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A161F"/>
    <w:rsid w:val="00004B4A"/>
    <w:rsid w:val="000258C6"/>
    <w:rsid w:val="00092DB2"/>
    <w:rsid w:val="000A161F"/>
    <w:rsid w:val="000B222D"/>
    <w:rsid w:val="000F3716"/>
    <w:rsid w:val="000F776E"/>
    <w:rsid w:val="001163D9"/>
    <w:rsid w:val="00123268"/>
    <w:rsid w:val="0013605C"/>
    <w:rsid w:val="0015154B"/>
    <w:rsid w:val="00155AAF"/>
    <w:rsid w:val="0017711A"/>
    <w:rsid w:val="00203146"/>
    <w:rsid w:val="002474C9"/>
    <w:rsid w:val="002B1389"/>
    <w:rsid w:val="002D2C1C"/>
    <w:rsid w:val="002E4BA2"/>
    <w:rsid w:val="002F729F"/>
    <w:rsid w:val="00327617"/>
    <w:rsid w:val="00371D27"/>
    <w:rsid w:val="00374124"/>
    <w:rsid w:val="003A4BAD"/>
    <w:rsid w:val="003C709F"/>
    <w:rsid w:val="003D080C"/>
    <w:rsid w:val="003D65D3"/>
    <w:rsid w:val="003E51B4"/>
    <w:rsid w:val="003F02C5"/>
    <w:rsid w:val="004D1A95"/>
    <w:rsid w:val="004D5997"/>
    <w:rsid w:val="00533D5C"/>
    <w:rsid w:val="00551C5E"/>
    <w:rsid w:val="005638FB"/>
    <w:rsid w:val="00582B08"/>
    <w:rsid w:val="005847C1"/>
    <w:rsid w:val="005B4DDE"/>
    <w:rsid w:val="005E305D"/>
    <w:rsid w:val="00671477"/>
    <w:rsid w:val="00684F90"/>
    <w:rsid w:val="006D1E81"/>
    <w:rsid w:val="00710EDB"/>
    <w:rsid w:val="007171C2"/>
    <w:rsid w:val="00720984"/>
    <w:rsid w:val="007900C5"/>
    <w:rsid w:val="007A3B68"/>
    <w:rsid w:val="007D10E0"/>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975"/>
    <w:rsid w:val="00BA5B6F"/>
    <w:rsid w:val="00BD5087"/>
    <w:rsid w:val="00BF5C5D"/>
    <w:rsid w:val="00C202DF"/>
    <w:rsid w:val="00C22EAD"/>
    <w:rsid w:val="00C25259"/>
    <w:rsid w:val="00C303EF"/>
    <w:rsid w:val="00C66536"/>
    <w:rsid w:val="00C6661F"/>
    <w:rsid w:val="00C9418A"/>
    <w:rsid w:val="00CA0D54"/>
    <w:rsid w:val="00CE07B3"/>
    <w:rsid w:val="00D11A80"/>
    <w:rsid w:val="00D308EF"/>
    <w:rsid w:val="00D357B5"/>
    <w:rsid w:val="00D40041"/>
    <w:rsid w:val="00D40B7E"/>
    <w:rsid w:val="00D56203"/>
    <w:rsid w:val="00D807AC"/>
    <w:rsid w:val="00DC0C26"/>
    <w:rsid w:val="00DD2CC9"/>
    <w:rsid w:val="00DD36BA"/>
    <w:rsid w:val="00DE1662"/>
    <w:rsid w:val="00E45CCB"/>
    <w:rsid w:val="00E52DA8"/>
    <w:rsid w:val="00E61C95"/>
    <w:rsid w:val="00EA60CD"/>
    <w:rsid w:val="00EA7C1C"/>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2EA477"/>
  <w15:chartTrackingRefBased/>
  <w15:docId w15:val="{B37EFE0A-C368-4FF7-81DE-AEB6509E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A161F"/>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0A161F"/>
    <w:pPr>
      <w:tabs>
        <w:tab w:val="center" w:pos="4153"/>
        <w:tab w:val="right" w:pos="8306"/>
      </w:tabs>
    </w:pPr>
  </w:style>
  <w:style w:type="paragraph" w:styleId="a4">
    <w:name w:val="footer"/>
    <w:basedOn w:val="a"/>
    <w:rsid w:val="000A161F"/>
    <w:pPr>
      <w:tabs>
        <w:tab w:val="center" w:pos="4153"/>
        <w:tab w:val="right" w:pos="8306"/>
      </w:tabs>
    </w:pPr>
  </w:style>
  <w:style w:type="character" w:styleId="a5">
    <w:name w:val="page number"/>
    <w:basedOn w:val="a0"/>
    <w:rsid w:val="000A161F"/>
  </w:style>
  <w:style w:type="paragraph" w:customStyle="1" w:styleId="ListParagraph">
    <w:name w:val="List Paragraph"/>
    <w:basedOn w:val="a"/>
    <w:rsid w:val="000A161F"/>
    <w:pPr>
      <w:ind w:left="720"/>
      <w:contextualSpacing/>
    </w:pPr>
  </w:style>
  <w:style w:type="character" w:styleId="Hyperlink">
    <w:name w:val="Hyperlink"/>
    <w:rsid w:val="00BA59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c.b" TargetMode="External"/><Relationship Id="rId18" Type="http://schemas.openxmlformats.org/officeDocument/2006/relationships/hyperlink" Target="http://www.nevo.co.il/law/4216/7.a.c" TargetMode="External"/><Relationship Id="rId26" Type="http://schemas.openxmlformats.org/officeDocument/2006/relationships/hyperlink" Target="http://www.nevo.co.il/law/71553/5.2" TargetMode="External"/><Relationship Id="rId39" Type="http://schemas.openxmlformats.org/officeDocument/2006/relationships/hyperlink" Target="http://www.nevo.co.il/case/20302789" TargetMode="External"/><Relationship Id="rId21" Type="http://schemas.openxmlformats.org/officeDocument/2006/relationships/hyperlink" Target="http://www.nevo.co.il/law/70301/56"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 TargetMode="External"/><Relationship Id="rId47" Type="http://schemas.openxmlformats.org/officeDocument/2006/relationships/hyperlink" Target="http://www.nevo.co.il/case/7856253" TargetMode="External"/><Relationship Id="rId50" Type="http://schemas.openxmlformats.org/officeDocument/2006/relationships/hyperlink" Target="http://www.nevo.co.il/law/71553" TargetMode="External"/><Relationship Id="rId55" Type="http://schemas.openxmlformats.org/officeDocument/2006/relationships/footer" Target="footer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1553/5.2" TargetMode="External"/><Relationship Id="rId29" Type="http://schemas.openxmlformats.org/officeDocument/2006/relationships/hyperlink" Target="http://www.nevo.co.il/law/70301/192" TargetMode="External"/><Relationship Id="rId11" Type="http://schemas.openxmlformats.org/officeDocument/2006/relationships/hyperlink" Target="http://www.nevo.co.il/law/70301/56" TargetMode="External"/><Relationship Id="rId24" Type="http://schemas.openxmlformats.org/officeDocument/2006/relationships/hyperlink" Target="http://www.nevo.co.il/law/70314"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5849541" TargetMode="External"/><Relationship Id="rId40" Type="http://schemas.openxmlformats.org/officeDocument/2006/relationships/hyperlink" Target="http://www.nevo.co.il/case/8269891" TargetMode="External"/><Relationship Id="rId45" Type="http://schemas.openxmlformats.org/officeDocument/2006/relationships/hyperlink" Target="http://www.nevo.co.il/law/7030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70314" TargetMode="External"/><Relationship Id="rId22" Type="http://schemas.openxmlformats.org/officeDocument/2006/relationships/hyperlink" Target="http://www.nevo.co.il/law/70301/192" TargetMode="External"/><Relationship Id="rId27" Type="http://schemas.openxmlformats.org/officeDocument/2006/relationships/hyperlink" Target="http://www.nevo.co.il/law/4216/7.a.c" TargetMode="External"/><Relationship Id="rId30" Type="http://schemas.openxmlformats.org/officeDocument/2006/relationships/hyperlink" Target="http://www.nevo.co.il/law/70301" TargetMode="External"/><Relationship Id="rId35" Type="http://schemas.openxmlformats.org/officeDocument/2006/relationships/hyperlink" Target="http://www.nevo.co.il/case/17016454" TargetMode="External"/><Relationship Id="rId43" Type="http://schemas.openxmlformats.org/officeDocument/2006/relationships/hyperlink" Target="http://www.nevo.co.il/case/12930657" TargetMode="External"/><Relationship Id="rId48" Type="http://schemas.openxmlformats.org/officeDocument/2006/relationships/hyperlink" Target="http://www.nevo.co.il/law/70314" TargetMode="External"/><Relationship Id="rId56" Type="http://schemas.openxmlformats.org/officeDocument/2006/relationships/footer" Target="footer2.xml"/><Relationship Id="rId8" Type="http://schemas.openxmlformats.org/officeDocument/2006/relationships/hyperlink" Target="http://www.nevo.co.il/law/4216/7.a.c" TargetMode="External"/><Relationship Id="rId51" Type="http://schemas.openxmlformats.org/officeDocument/2006/relationships/hyperlink" Target="http://www.nevo.co.il/case/4230999" TargetMode="External"/><Relationship Id="rId3" Type="http://schemas.openxmlformats.org/officeDocument/2006/relationships/settings" Target="settings.xml"/><Relationship Id="rId12" Type="http://schemas.openxmlformats.org/officeDocument/2006/relationships/hyperlink" Target="http://www.nevo.co.il/law/70301/192" TargetMode="External"/><Relationship Id="rId17" Type="http://schemas.openxmlformats.org/officeDocument/2006/relationships/hyperlink" Target="http://www.nevo.co.il/law/4216" TargetMode="External"/><Relationship Id="rId25" Type="http://schemas.openxmlformats.org/officeDocument/2006/relationships/hyperlink" Target="http://www.nevo.co.il/law/71553" TargetMode="External"/><Relationship Id="rId33" Type="http://schemas.openxmlformats.org/officeDocument/2006/relationships/hyperlink" Target="http://www.nevo.co.il/law/70301/40jc.b" TargetMode="External"/><Relationship Id="rId38" Type="http://schemas.openxmlformats.org/officeDocument/2006/relationships/hyperlink" Target="http://www.nevo.co.il/case/5979416" TargetMode="External"/><Relationship Id="rId46" Type="http://schemas.openxmlformats.org/officeDocument/2006/relationships/hyperlink" Target="http://www.nevo.co.il/case/20099642" TargetMode="External"/><Relationship Id="rId20" Type="http://schemas.openxmlformats.org/officeDocument/2006/relationships/hyperlink" Target="http://www.nevo.co.il/law/70301/40d" TargetMode="External"/><Relationship Id="rId41" Type="http://schemas.openxmlformats.org/officeDocument/2006/relationships/hyperlink" Target="http://www.nevo.co.il/law/70301/56"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1553" TargetMode="External"/><Relationship Id="rId23" Type="http://schemas.openxmlformats.org/officeDocument/2006/relationships/hyperlink" Target="http://www.nevo.co.il/law/70301/40jc.b" TargetMode="External"/><Relationship Id="rId28" Type="http://schemas.openxmlformats.org/officeDocument/2006/relationships/hyperlink" Target="http://www.nevo.co.il/law/4216" TargetMode="External"/><Relationship Id="rId36" Type="http://schemas.openxmlformats.org/officeDocument/2006/relationships/hyperlink" Target="http://www.nevo.co.il/case/18080495" TargetMode="External"/><Relationship Id="rId49" Type="http://schemas.openxmlformats.org/officeDocument/2006/relationships/hyperlink" Target="http://www.nevo.co.il/law/71553/5.2" TargetMode="External"/><Relationship Id="rId57" Type="http://schemas.openxmlformats.org/officeDocument/2006/relationships/fontTable" Target="fontTable.xml"/><Relationship Id="rId10" Type="http://schemas.openxmlformats.org/officeDocument/2006/relationships/hyperlink" Target="http://www.nevo.co.il/law/70301/40d" TargetMode="External"/><Relationship Id="rId31" Type="http://schemas.openxmlformats.org/officeDocument/2006/relationships/hyperlink" Target="http://www.nevo.co.il/law/70301/40d" TargetMode="External"/><Relationship Id="rId44" Type="http://schemas.openxmlformats.org/officeDocument/2006/relationships/hyperlink" Target="http://www.nevo.co.il/case/6102737"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2988</Words>
  <Characters>14941</Characters>
  <Application>Microsoft Office Word</Application>
  <DocSecurity>0</DocSecurity>
  <Lines>124</Lines>
  <Paragraphs>35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17894</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3604607</vt:i4>
      </vt:variant>
      <vt:variant>
        <vt:i4>132</vt:i4>
      </vt:variant>
      <vt:variant>
        <vt:i4>0</vt:i4>
      </vt:variant>
      <vt:variant>
        <vt:i4>5</vt:i4>
      </vt:variant>
      <vt:variant>
        <vt:lpwstr>http://www.nevo.co.il/case/4230999</vt:lpwstr>
      </vt:variant>
      <vt:variant>
        <vt:lpwstr/>
      </vt:variant>
      <vt:variant>
        <vt:i4>8257634</vt:i4>
      </vt:variant>
      <vt:variant>
        <vt:i4>129</vt:i4>
      </vt:variant>
      <vt:variant>
        <vt:i4>0</vt:i4>
      </vt:variant>
      <vt:variant>
        <vt:i4>5</vt:i4>
      </vt:variant>
      <vt:variant>
        <vt:lpwstr>http://www.nevo.co.il/law/71553</vt:lpwstr>
      </vt:variant>
      <vt:variant>
        <vt:lpwstr/>
      </vt:variant>
      <vt:variant>
        <vt:i4>8323172</vt:i4>
      </vt:variant>
      <vt:variant>
        <vt:i4>126</vt:i4>
      </vt:variant>
      <vt:variant>
        <vt:i4>0</vt:i4>
      </vt:variant>
      <vt:variant>
        <vt:i4>5</vt:i4>
      </vt:variant>
      <vt:variant>
        <vt:lpwstr>http://www.nevo.co.il/law/71553/5.2</vt:lpwstr>
      </vt:variant>
      <vt:variant>
        <vt:lpwstr/>
      </vt:variant>
      <vt:variant>
        <vt:i4>8061028</vt:i4>
      </vt:variant>
      <vt:variant>
        <vt:i4>123</vt:i4>
      </vt:variant>
      <vt:variant>
        <vt:i4>0</vt:i4>
      </vt:variant>
      <vt:variant>
        <vt:i4>5</vt:i4>
      </vt:variant>
      <vt:variant>
        <vt:lpwstr>http://www.nevo.co.il/law/70314</vt:lpwstr>
      </vt:variant>
      <vt:variant>
        <vt:lpwstr/>
      </vt:variant>
      <vt:variant>
        <vt:i4>3342463</vt:i4>
      </vt:variant>
      <vt:variant>
        <vt:i4>120</vt:i4>
      </vt:variant>
      <vt:variant>
        <vt:i4>0</vt:i4>
      </vt:variant>
      <vt:variant>
        <vt:i4>5</vt:i4>
      </vt:variant>
      <vt:variant>
        <vt:lpwstr>http://www.nevo.co.il/case/7856253</vt:lpwstr>
      </vt:variant>
      <vt:variant>
        <vt:lpwstr/>
      </vt:variant>
      <vt:variant>
        <vt:i4>4128891</vt:i4>
      </vt:variant>
      <vt:variant>
        <vt:i4>117</vt:i4>
      </vt:variant>
      <vt:variant>
        <vt:i4>0</vt:i4>
      </vt:variant>
      <vt:variant>
        <vt:i4>5</vt:i4>
      </vt:variant>
      <vt:variant>
        <vt:lpwstr>http://www.nevo.co.il/case/20099642</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3539060</vt:i4>
      </vt:variant>
      <vt:variant>
        <vt:i4>111</vt:i4>
      </vt:variant>
      <vt:variant>
        <vt:i4>0</vt:i4>
      </vt:variant>
      <vt:variant>
        <vt:i4>5</vt:i4>
      </vt:variant>
      <vt:variant>
        <vt:lpwstr>http://www.nevo.co.il/case/6102737</vt:lpwstr>
      </vt:variant>
      <vt:variant>
        <vt:lpwstr/>
      </vt:variant>
      <vt:variant>
        <vt:i4>3997811</vt:i4>
      </vt:variant>
      <vt:variant>
        <vt:i4>108</vt:i4>
      </vt:variant>
      <vt:variant>
        <vt:i4>0</vt:i4>
      </vt:variant>
      <vt:variant>
        <vt:i4>5</vt:i4>
      </vt:variant>
      <vt:variant>
        <vt:lpwstr>http://www.nevo.co.il/case/12930657</vt:lpwstr>
      </vt:variant>
      <vt:variant>
        <vt:lpwstr/>
      </vt:variant>
      <vt:variant>
        <vt:i4>7995492</vt:i4>
      </vt:variant>
      <vt:variant>
        <vt:i4>105</vt:i4>
      </vt:variant>
      <vt:variant>
        <vt:i4>0</vt:i4>
      </vt:variant>
      <vt:variant>
        <vt:i4>5</vt:i4>
      </vt:variant>
      <vt:variant>
        <vt:lpwstr>http://www.nevo.co.il/law/70301</vt:lpwstr>
      </vt:variant>
      <vt:variant>
        <vt:lpwstr/>
      </vt:variant>
      <vt:variant>
        <vt:i4>6488160</vt:i4>
      </vt:variant>
      <vt:variant>
        <vt:i4>102</vt:i4>
      </vt:variant>
      <vt:variant>
        <vt:i4>0</vt:i4>
      </vt:variant>
      <vt:variant>
        <vt:i4>5</vt:i4>
      </vt:variant>
      <vt:variant>
        <vt:lpwstr>http://www.nevo.co.il/law/70301/56</vt:lpwstr>
      </vt:variant>
      <vt:variant>
        <vt:lpwstr/>
      </vt:variant>
      <vt:variant>
        <vt:i4>3604598</vt:i4>
      </vt:variant>
      <vt:variant>
        <vt:i4>99</vt:i4>
      </vt:variant>
      <vt:variant>
        <vt:i4>0</vt:i4>
      </vt:variant>
      <vt:variant>
        <vt:i4>5</vt:i4>
      </vt:variant>
      <vt:variant>
        <vt:lpwstr>http://www.nevo.co.il/case/8269891</vt:lpwstr>
      </vt:variant>
      <vt:variant>
        <vt:lpwstr/>
      </vt:variant>
      <vt:variant>
        <vt:i4>3866739</vt:i4>
      </vt:variant>
      <vt:variant>
        <vt:i4>96</vt:i4>
      </vt:variant>
      <vt:variant>
        <vt:i4>0</vt:i4>
      </vt:variant>
      <vt:variant>
        <vt:i4>5</vt:i4>
      </vt:variant>
      <vt:variant>
        <vt:lpwstr>http://www.nevo.co.il/case/20302789</vt:lpwstr>
      </vt:variant>
      <vt:variant>
        <vt:lpwstr/>
      </vt:variant>
      <vt:variant>
        <vt:i4>3145845</vt:i4>
      </vt:variant>
      <vt:variant>
        <vt:i4>93</vt:i4>
      </vt:variant>
      <vt:variant>
        <vt:i4>0</vt:i4>
      </vt:variant>
      <vt:variant>
        <vt:i4>5</vt:i4>
      </vt:variant>
      <vt:variant>
        <vt:lpwstr>http://www.nevo.co.il/case/5979416</vt:lpwstr>
      </vt:variant>
      <vt:variant>
        <vt:lpwstr/>
      </vt:variant>
      <vt:variant>
        <vt:i4>3473521</vt:i4>
      </vt:variant>
      <vt:variant>
        <vt:i4>90</vt:i4>
      </vt:variant>
      <vt:variant>
        <vt:i4>0</vt:i4>
      </vt:variant>
      <vt:variant>
        <vt:i4>5</vt:i4>
      </vt:variant>
      <vt:variant>
        <vt:lpwstr>http://www.nevo.co.il/case/5849541</vt:lpwstr>
      </vt:variant>
      <vt:variant>
        <vt:lpwstr/>
      </vt:variant>
      <vt:variant>
        <vt:i4>3670128</vt:i4>
      </vt:variant>
      <vt:variant>
        <vt:i4>87</vt:i4>
      </vt:variant>
      <vt:variant>
        <vt:i4>0</vt:i4>
      </vt:variant>
      <vt:variant>
        <vt:i4>5</vt:i4>
      </vt:variant>
      <vt:variant>
        <vt:lpwstr>http://www.nevo.co.il/case/18080495</vt:lpwstr>
      </vt:variant>
      <vt:variant>
        <vt:lpwstr/>
      </vt:variant>
      <vt:variant>
        <vt:i4>3276918</vt:i4>
      </vt:variant>
      <vt:variant>
        <vt:i4>84</vt:i4>
      </vt:variant>
      <vt:variant>
        <vt:i4>0</vt:i4>
      </vt:variant>
      <vt:variant>
        <vt:i4>5</vt:i4>
      </vt:variant>
      <vt:variant>
        <vt:lpwstr>http://www.nevo.co.il/case/17016454</vt:lpwstr>
      </vt:variant>
      <vt:variant>
        <vt:lpwstr/>
      </vt:variant>
      <vt:variant>
        <vt:i4>7995492</vt:i4>
      </vt:variant>
      <vt:variant>
        <vt:i4>81</vt:i4>
      </vt:variant>
      <vt:variant>
        <vt:i4>0</vt:i4>
      </vt:variant>
      <vt:variant>
        <vt:i4>5</vt:i4>
      </vt:variant>
      <vt:variant>
        <vt:lpwstr>http://www.nevo.co.il/law/70301</vt:lpwstr>
      </vt:variant>
      <vt:variant>
        <vt:lpwstr/>
      </vt:variant>
      <vt:variant>
        <vt:i4>6553637</vt:i4>
      </vt:variant>
      <vt:variant>
        <vt:i4>78</vt:i4>
      </vt:variant>
      <vt:variant>
        <vt:i4>0</vt:i4>
      </vt:variant>
      <vt:variant>
        <vt:i4>5</vt:i4>
      </vt:variant>
      <vt:variant>
        <vt:lpwstr>http://www.nevo.co.il/law/70301/40jc.b</vt:lpwstr>
      </vt:variant>
      <vt:variant>
        <vt:lpwstr/>
      </vt:variant>
      <vt:variant>
        <vt:i4>7995492</vt:i4>
      </vt:variant>
      <vt:variant>
        <vt:i4>75</vt:i4>
      </vt:variant>
      <vt:variant>
        <vt:i4>0</vt:i4>
      </vt:variant>
      <vt:variant>
        <vt:i4>5</vt:i4>
      </vt:variant>
      <vt:variant>
        <vt:lpwstr>http://www.nevo.co.il/law/70301</vt:lpwstr>
      </vt:variant>
      <vt:variant>
        <vt:lpwstr/>
      </vt:variant>
      <vt:variant>
        <vt:i4>6619233</vt:i4>
      </vt:variant>
      <vt:variant>
        <vt:i4>72</vt:i4>
      </vt:variant>
      <vt:variant>
        <vt:i4>0</vt:i4>
      </vt:variant>
      <vt:variant>
        <vt:i4>5</vt:i4>
      </vt:variant>
      <vt:variant>
        <vt:lpwstr>http://www.nevo.co.il/law/70301/40d</vt:lpwstr>
      </vt:variant>
      <vt:variant>
        <vt:lpwstr/>
      </vt:variant>
      <vt:variant>
        <vt:i4>7995492</vt:i4>
      </vt:variant>
      <vt:variant>
        <vt:i4>69</vt:i4>
      </vt:variant>
      <vt:variant>
        <vt:i4>0</vt:i4>
      </vt:variant>
      <vt:variant>
        <vt:i4>5</vt:i4>
      </vt:variant>
      <vt:variant>
        <vt:lpwstr>http://www.nevo.co.il/law/70301</vt:lpwstr>
      </vt:variant>
      <vt:variant>
        <vt:lpwstr/>
      </vt:variant>
      <vt:variant>
        <vt:i4>7077988</vt:i4>
      </vt:variant>
      <vt:variant>
        <vt:i4>66</vt:i4>
      </vt:variant>
      <vt:variant>
        <vt:i4>0</vt:i4>
      </vt:variant>
      <vt:variant>
        <vt:i4>5</vt:i4>
      </vt:variant>
      <vt:variant>
        <vt:lpwstr>http://www.nevo.co.il/law/70301/192</vt:lpwstr>
      </vt:variant>
      <vt:variant>
        <vt:lpwstr/>
      </vt:variant>
      <vt:variant>
        <vt:i4>8257637</vt:i4>
      </vt:variant>
      <vt:variant>
        <vt:i4>63</vt:i4>
      </vt:variant>
      <vt:variant>
        <vt:i4>0</vt:i4>
      </vt:variant>
      <vt:variant>
        <vt:i4>5</vt:i4>
      </vt:variant>
      <vt:variant>
        <vt:lpwstr>http://www.nevo.co.il/law/4216</vt:lpwstr>
      </vt:variant>
      <vt:variant>
        <vt:lpwstr/>
      </vt:variant>
      <vt:variant>
        <vt:i4>4915274</vt:i4>
      </vt:variant>
      <vt:variant>
        <vt:i4>60</vt:i4>
      </vt:variant>
      <vt:variant>
        <vt:i4>0</vt:i4>
      </vt:variant>
      <vt:variant>
        <vt:i4>5</vt:i4>
      </vt:variant>
      <vt:variant>
        <vt:lpwstr>http://www.nevo.co.il/law/4216/7.a.c</vt:lpwstr>
      </vt:variant>
      <vt:variant>
        <vt:lpwstr/>
      </vt:variant>
      <vt:variant>
        <vt:i4>8323172</vt:i4>
      </vt:variant>
      <vt:variant>
        <vt:i4>57</vt:i4>
      </vt:variant>
      <vt:variant>
        <vt:i4>0</vt:i4>
      </vt:variant>
      <vt:variant>
        <vt:i4>5</vt:i4>
      </vt:variant>
      <vt:variant>
        <vt:lpwstr>http://www.nevo.co.il/law/71553/5.2</vt:lpwstr>
      </vt:variant>
      <vt:variant>
        <vt:lpwstr/>
      </vt:variant>
      <vt:variant>
        <vt:i4>8257634</vt:i4>
      </vt:variant>
      <vt:variant>
        <vt:i4>54</vt:i4>
      </vt:variant>
      <vt:variant>
        <vt:i4>0</vt:i4>
      </vt:variant>
      <vt:variant>
        <vt:i4>5</vt:i4>
      </vt:variant>
      <vt:variant>
        <vt:lpwstr>http://www.nevo.co.il/law/71553</vt:lpwstr>
      </vt:variant>
      <vt:variant>
        <vt:lpwstr/>
      </vt:variant>
      <vt:variant>
        <vt:i4>8061028</vt:i4>
      </vt:variant>
      <vt:variant>
        <vt:i4>51</vt:i4>
      </vt:variant>
      <vt:variant>
        <vt:i4>0</vt:i4>
      </vt:variant>
      <vt:variant>
        <vt:i4>5</vt:i4>
      </vt:variant>
      <vt:variant>
        <vt:lpwstr>http://www.nevo.co.il/law/70314</vt:lpwstr>
      </vt:variant>
      <vt:variant>
        <vt:lpwstr/>
      </vt:variant>
      <vt:variant>
        <vt:i4>6553637</vt:i4>
      </vt:variant>
      <vt:variant>
        <vt:i4>48</vt:i4>
      </vt:variant>
      <vt:variant>
        <vt:i4>0</vt:i4>
      </vt:variant>
      <vt:variant>
        <vt:i4>5</vt:i4>
      </vt:variant>
      <vt:variant>
        <vt:lpwstr>http://www.nevo.co.il/law/70301/40jc.b</vt:lpwstr>
      </vt:variant>
      <vt:variant>
        <vt:lpwstr/>
      </vt:variant>
      <vt:variant>
        <vt:i4>7077988</vt:i4>
      </vt:variant>
      <vt:variant>
        <vt:i4>45</vt:i4>
      </vt:variant>
      <vt:variant>
        <vt:i4>0</vt:i4>
      </vt:variant>
      <vt:variant>
        <vt:i4>5</vt:i4>
      </vt:variant>
      <vt:variant>
        <vt:lpwstr>http://www.nevo.co.il/law/70301/192</vt:lpwstr>
      </vt:variant>
      <vt:variant>
        <vt:lpwstr/>
      </vt:variant>
      <vt:variant>
        <vt:i4>6488160</vt:i4>
      </vt:variant>
      <vt:variant>
        <vt:i4>42</vt:i4>
      </vt:variant>
      <vt:variant>
        <vt:i4>0</vt:i4>
      </vt:variant>
      <vt:variant>
        <vt:i4>5</vt:i4>
      </vt:variant>
      <vt:variant>
        <vt:lpwstr>http://www.nevo.co.il/law/70301/56</vt:lpwstr>
      </vt:variant>
      <vt:variant>
        <vt:lpwstr/>
      </vt:variant>
      <vt:variant>
        <vt:i4>6619233</vt:i4>
      </vt:variant>
      <vt:variant>
        <vt:i4>39</vt:i4>
      </vt:variant>
      <vt:variant>
        <vt:i4>0</vt:i4>
      </vt:variant>
      <vt:variant>
        <vt:i4>5</vt:i4>
      </vt:variant>
      <vt:variant>
        <vt:lpwstr>http://www.nevo.co.il/law/70301/40d</vt:lpwstr>
      </vt:variant>
      <vt:variant>
        <vt:lpwstr/>
      </vt:variant>
      <vt:variant>
        <vt:i4>7995492</vt:i4>
      </vt:variant>
      <vt:variant>
        <vt:i4>36</vt:i4>
      </vt:variant>
      <vt:variant>
        <vt:i4>0</vt:i4>
      </vt:variant>
      <vt:variant>
        <vt:i4>5</vt:i4>
      </vt:variant>
      <vt:variant>
        <vt:lpwstr>http://www.nevo.co.il/law/70301</vt:lpwstr>
      </vt:variant>
      <vt:variant>
        <vt:lpwstr/>
      </vt:variant>
      <vt:variant>
        <vt:i4>4915274</vt:i4>
      </vt:variant>
      <vt:variant>
        <vt:i4>33</vt:i4>
      </vt:variant>
      <vt:variant>
        <vt:i4>0</vt:i4>
      </vt:variant>
      <vt:variant>
        <vt:i4>5</vt:i4>
      </vt:variant>
      <vt:variant>
        <vt:lpwstr>http://www.nevo.co.il/law/4216/7.a.c</vt:lpwstr>
      </vt:variant>
      <vt:variant>
        <vt:lpwstr/>
      </vt:variant>
      <vt:variant>
        <vt:i4>8257637</vt:i4>
      </vt:variant>
      <vt:variant>
        <vt:i4>30</vt:i4>
      </vt:variant>
      <vt:variant>
        <vt:i4>0</vt:i4>
      </vt:variant>
      <vt:variant>
        <vt:i4>5</vt:i4>
      </vt:variant>
      <vt:variant>
        <vt:lpwstr>http://www.nevo.co.il/law/4216</vt:lpwstr>
      </vt:variant>
      <vt:variant>
        <vt:lpwstr/>
      </vt:variant>
      <vt:variant>
        <vt:i4>8323172</vt:i4>
      </vt:variant>
      <vt:variant>
        <vt:i4>27</vt:i4>
      </vt:variant>
      <vt:variant>
        <vt:i4>0</vt:i4>
      </vt:variant>
      <vt:variant>
        <vt:i4>5</vt:i4>
      </vt:variant>
      <vt:variant>
        <vt:lpwstr>http://www.nevo.co.il/law/71553/5.2</vt:lpwstr>
      </vt:variant>
      <vt:variant>
        <vt:lpwstr/>
      </vt:variant>
      <vt:variant>
        <vt:i4>8257634</vt:i4>
      </vt:variant>
      <vt:variant>
        <vt:i4>24</vt:i4>
      </vt:variant>
      <vt:variant>
        <vt:i4>0</vt:i4>
      </vt:variant>
      <vt:variant>
        <vt:i4>5</vt:i4>
      </vt:variant>
      <vt:variant>
        <vt:lpwstr>http://www.nevo.co.il/law/71553</vt:lpwstr>
      </vt:variant>
      <vt:variant>
        <vt:lpwstr/>
      </vt:variant>
      <vt:variant>
        <vt:i4>8061028</vt:i4>
      </vt:variant>
      <vt:variant>
        <vt:i4>21</vt:i4>
      </vt:variant>
      <vt:variant>
        <vt:i4>0</vt:i4>
      </vt:variant>
      <vt:variant>
        <vt:i4>5</vt:i4>
      </vt:variant>
      <vt:variant>
        <vt:lpwstr>http://www.nevo.co.il/law/70314</vt:lpwstr>
      </vt:variant>
      <vt:variant>
        <vt:lpwstr/>
      </vt:variant>
      <vt:variant>
        <vt:i4>6553637</vt:i4>
      </vt:variant>
      <vt:variant>
        <vt:i4>18</vt:i4>
      </vt:variant>
      <vt:variant>
        <vt:i4>0</vt:i4>
      </vt:variant>
      <vt:variant>
        <vt:i4>5</vt:i4>
      </vt:variant>
      <vt:variant>
        <vt:lpwstr>http://www.nevo.co.il/law/70301/40jc.b</vt:lpwstr>
      </vt:variant>
      <vt:variant>
        <vt:lpwstr/>
      </vt:variant>
      <vt:variant>
        <vt:i4>7077988</vt:i4>
      </vt:variant>
      <vt:variant>
        <vt:i4>15</vt:i4>
      </vt:variant>
      <vt:variant>
        <vt:i4>0</vt:i4>
      </vt:variant>
      <vt:variant>
        <vt:i4>5</vt:i4>
      </vt:variant>
      <vt:variant>
        <vt:lpwstr>http://www.nevo.co.il/law/70301/192</vt:lpwstr>
      </vt:variant>
      <vt:variant>
        <vt:lpwstr/>
      </vt:variant>
      <vt:variant>
        <vt:i4>6488160</vt:i4>
      </vt:variant>
      <vt:variant>
        <vt:i4>12</vt:i4>
      </vt:variant>
      <vt:variant>
        <vt:i4>0</vt:i4>
      </vt:variant>
      <vt:variant>
        <vt:i4>5</vt:i4>
      </vt:variant>
      <vt:variant>
        <vt:lpwstr>http://www.nevo.co.il/law/70301/56</vt:lpwstr>
      </vt:variant>
      <vt:variant>
        <vt:lpwstr/>
      </vt:variant>
      <vt:variant>
        <vt:i4>6619233</vt:i4>
      </vt:variant>
      <vt:variant>
        <vt:i4>9</vt:i4>
      </vt:variant>
      <vt:variant>
        <vt:i4>0</vt:i4>
      </vt:variant>
      <vt:variant>
        <vt:i4>5</vt:i4>
      </vt:variant>
      <vt:variant>
        <vt:lpwstr>http://www.nevo.co.il/law/70301/40d</vt:lpwstr>
      </vt:variant>
      <vt:variant>
        <vt:lpwstr/>
      </vt:variant>
      <vt:variant>
        <vt:i4>7995492</vt:i4>
      </vt:variant>
      <vt:variant>
        <vt:i4>6</vt:i4>
      </vt:variant>
      <vt:variant>
        <vt:i4>0</vt:i4>
      </vt:variant>
      <vt:variant>
        <vt:i4>5</vt:i4>
      </vt:variant>
      <vt:variant>
        <vt:lpwstr>http://www.nevo.co.il/law/70301</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2025-04-22T22:04:00Z</dcterms:created>
  <dcterms:modified xsi:type="dcterms:W3CDTF">2025-04-22T22:04:00Z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57822;49411</vt:lpwstr>
  </property>
  <property fmtid="{D5CDD505-2E9C-101B-9397-08002B2CF9AE}" pid="6" name="NEWPARTB">
    <vt:lpwstr>06;10</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ביתם</vt:lpwstr>
  </property>
  <property fmtid="{D5CDD505-2E9C-101B-9397-08002B2CF9AE}" pid="11" name="JUDGE">
    <vt:lpwstr>יוסי טורס</vt:lpwstr>
  </property>
  <property fmtid="{D5CDD505-2E9C-101B-9397-08002B2CF9AE}" pid="12" name="CITY">
    <vt:lpwstr>קריות</vt:lpwstr>
  </property>
  <property fmtid="{D5CDD505-2E9C-101B-9397-08002B2CF9AE}" pid="13" name="DATE">
    <vt:lpwstr>20170123</vt:lpwstr>
  </property>
  <property fmtid="{D5CDD505-2E9C-101B-9397-08002B2CF9AE}" pid="14" name="TYPE_N_DATE">
    <vt:lpwstr>38020170123</vt:lpwstr>
  </property>
  <property fmtid="{D5CDD505-2E9C-101B-9397-08002B2CF9AE}" pid="15" name="WORDNUMPAGES">
    <vt:lpwstr>9</vt:lpwstr>
  </property>
  <property fmtid="{D5CDD505-2E9C-101B-9397-08002B2CF9AE}" pid="16" name="TYPE_ABS_DATE">
    <vt:lpwstr>380020170123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17016454;18080495;5849541;5979416;20302789;8269891;12930657;6102737;20099642;7856253;4230999</vt:lpwstr>
  </property>
  <property fmtid="{D5CDD505-2E9C-101B-9397-08002B2CF9AE}" pid="36" name="LAWLISTTMP1">
    <vt:lpwstr>4216/007.a.c</vt:lpwstr>
  </property>
  <property fmtid="{D5CDD505-2E9C-101B-9397-08002B2CF9AE}" pid="37" name="LAWLISTTMP2">
    <vt:lpwstr>70301/192;040d;40jc.b;056</vt:lpwstr>
  </property>
  <property fmtid="{D5CDD505-2E9C-101B-9397-08002B2CF9AE}" pid="38" name="LAWLISTTMP3">
    <vt:lpwstr>70314</vt:lpwstr>
  </property>
  <property fmtid="{D5CDD505-2E9C-101B-9397-08002B2CF9AE}" pid="39" name="LAWLISTTMP4">
    <vt:lpwstr>71553/005.2</vt:lpwstr>
  </property>
</Properties>
</file>