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E51DD6" w:rsidRPr="00A428CF" w14:paraId="4BA457E6" w14:textId="77777777">
        <w:trPr>
          <w:trHeight w:hRule="exact" w:val="418"/>
          <w:jc w:val="center"/>
        </w:trPr>
        <w:tc>
          <w:tcPr>
            <w:tcW w:w="8720" w:type="dxa"/>
            <w:gridSpan w:val="3"/>
          </w:tcPr>
          <w:p w14:paraId="1553D1CD" w14:textId="77777777" w:rsidR="00E51DD6" w:rsidRPr="00A428CF" w:rsidRDefault="00E51DD6" w:rsidP="00A428CF">
            <w:pPr>
              <w:pStyle w:val="a4"/>
              <w:tabs>
                <w:tab w:val="clear" w:pos="8306"/>
              </w:tabs>
              <w:jc w:val="center"/>
              <w:rPr>
                <w:rFonts w:ascii="Tahoma" w:hAnsi="Tahoma" w:cs="Tahoma"/>
                <w:b/>
                <w:bCs/>
                <w:color w:val="000080"/>
                <w:sz w:val="20"/>
                <w:szCs w:val="20"/>
                <w:rtl/>
              </w:rPr>
            </w:pPr>
            <w:bookmarkStart w:id="0" w:name="LastJudge"/>
            <w:r w:rsidRPr="00A428CF">
              <w:rPr>
                <w:rFonts w:ascii="Tahoma" w:hAnsi="Tahoma" w:cs="Tahoma"/>
                <w:b/>
                <w:bCs/>
                <w:color w:val="000080"/>
                <w:sz w:val="20"/>
                <w:szCs w:val="20"/>
                <w:rtl/>
              </w:rPr>
              <w:t>בית משפט השלום בנתניה</w:t>
            </w:r>
          </w:p>
        </w:tc>
      </w:tr>
      <w:tr w:rsidR="00E51DD6" w:rsidRPr="00A428CF" w14:paraId="36AD832C" w14:textId="77777777">
        <w:trPr>
          <w:trHeight w:val="337"/>
          <w:jc w:val="center"/>
        </w:trPr>
        <w:tc>
          <w:tcPr>
            <w:tcW w:w="3973" w:type="dxa"/>
          </w:tcPr>
          <w:p w14:paraId="7ACCF5C2" w14:textId="77777777" w:rsidR="00E51DD6" w:rsidRPr="00A428CF" w:rsidRDefault="00E51DD6" w:rsidP="00A428CF">
            <w:pPr>
              <w:rPr>
                <w:b/>
                <w:bCs/>
                <w:sz w:val="26"/>
                <w:szCs w:val="26"/>
                <w:rtl/>
              </w:rPr>
            </w:pPr>
            <w:r w:rsidRPr="00A428CF">
              <w:rPr>
                <w:b/>
                <w:bCs/>
                <w:sz w:val="26"/>
                <w:szCs w:val="26"/>
                <w:rtl/>
              </w:rPr>
              <w:t>ת"פ</w:t>
            </w:r>
            <w:r w:rsidRPr="00A428CF">
              <w:rPr>
                <w:rFonts w:hint="cs"/>
                <w:b/>
                <w:bCs/>
                <w:sz w:val="26"/>
                <w:szCs w:val="26"/>
                <w:rtl/>
              </w:rPr>
              <w:t xml:space="preserve"> </w:t>
            </w:r>
            <w:r w:rsidRPr="00A428CF">
              <w:rPr>
                <w:b/>
                <w:bCs/>
                <w:sz w:val="26"/>
                <w:szCs w:val="26"/>
                <w:rtl/>
              </w:rPr>
              <w:t>16206-07-13</w:t>
            </w:r>
            <w:r w:rsidRPr="00A428CF">
              <w:rPr>
                <w:rFonts w:hint="cs"/>
                <w:b/>
                <w:bCs/>
                <w:sz w:val="26"/>
                <w:szCs w:val="26"/>
                <w:rtl/>
              </w:rPr>
              <w:t xml:space="preserve"> </w:t>
            </w:r>
            <w:r w:rsidRPr="00A428CF">
              <w:rPr>
                <w:b/>
                <w:bCs/>
                <w:sz w:val="26"/>
                <w:szCs w:val="26"/>
                <w:rtl/>
              </w:rPr>
              <w:t>מדינת ישראל נ' אגבאריה(עציר)</w:t>
            </w:r>
          </w:p>
          <w:p w14:paraId="23FD0033" w14:textId="77777777" w:rsidR="00E51DD6" w:rsidRPr="00A428CF" w:rsidRDefault="00E51DD6" w:rsidP="00A428CF">
            <w:pPr>
              <w:rPr>
                <w:b/>
                <w:bCs/>
                <w:sz w:val="26"/>
                <w:szCs w:val="26"/>
                <w:rtl/>
              </w:rPr>
            </w:pPr>
          </w:p>
        </w:tc>
        <w:tc>
          <w:tcPr>
            <w:tcW w:w="1068" w:type="dxa"/>
          </w:tcPr>
          <w:p w14:paraId="3BFD6D95" w14:textId="77777777" w:rsidR="00E51DD6" w:rsidRPr="00A428CF" w:rsidRDefault="00E51DD6" w:rsidP="00A428CF">
            <w:pPr>
              <w:pStyle w:val="a4"/>
              <w:jc w:val="right"/>
              <w:rPr>
                <w:b/>
                <w:bCs/>
                <w:sz w:val="26"/>
                <w:szCs w:val="26"/>
                <w:rtl/>
              </w:rPr>
            </w:pPr>
          </w:p>
        </w:tc>
        <w:tc>
          <w:tcPr>
            <w:tcW w:w="3679" w:type="dxa"/>
          </w:tcPr>
          <w:p w14:paraId="0461CACB" w14:textId="77777777" w:rsidR="00E51DD6" w:rsidRPr="00A428CF" w:rsidRDefault="00E51DD6" w:rsidP="00A428CF">
            <w:pPr>
              <w:pStyle w:val="a4"/>
              <w:tabs>
                <w:tab w:val="clear" w:pos="4153"/>
              </w:tabs>
              <w:jc w:val="right"/>
              <w:rPr>
                <w:b/>
                <w:bCs/>
                <w:sz w:val="26"/>
                <w:szCs w:val="26"/>
                <w:rtl/>
              </w:rPr>
            </w:pPr>
            <w:r w:rsidRPr="00A428CF">
              <w:rPr>
                <w:b/>
                <w:bCs/>
                <w:sz w:val="26"/>
                <w:szCs w:val="26"/>
                <w:rtl/>
              </w:rPr>
              <w:t>17 פברואר 2016</w:t>
            </w:r>
          </w:p>
        </w:tc>
      </w:tr>
    </w:tbl>
    <w:p w14:paraId="398DF604" w14:textId="77777777" w:rsidR="00E51DD6" w:rsidRPr="00A428CF" w:rsidRDefault="00E51DD6" w:rsidP="00E51DD6">
      <w:pPr>
        <w:pStyle w:val="a4"/>
        <w:jc w:val="center"/>
        <w:rPr>
          <w:rFonts w:ascii="Tahoma" w:hAnsi="Tahoma" w:cs="Tahoma"/>
          <w:b/>
          <w:bCs/>
          <w:color w:val="000080"/>
          <w:sz w:val="20"/>
          <w:szCs w:val="20"/>
          <w:rtl/>
        </w:rPr>
      </w:pPr>
    </w:p>
    <w:p w14:paraId="1623D8CA" w14:textId="77777777" w:rsidR="00E51DD6" w:rsidRPr="00A428CF" w:rsidRDefault="00E51DD6" w:rsidP="00E51DD6">
      <w:pPr>
        <w:suppressLineNumbers/>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E51DD6" w:rsidRPr="00A428CF" w14:paraId="0F033E6B" w14:textId="77777777">
        <w:trPr>
          <w:gridAfter w:val="1"/>
          <w:wAfter w:w="55" w:type="dxa"/>
        </w:trPr>
        <w:tc>
          <w:tcPr>
            <w:tcW w:w="8719" w:type="dxa"/>
            <w:gridSpan w:val="2"/>
            <w:shd w:val="clear" w:color="auto" w:fill="auto"/>
          </w:tcPr>
          <w:p w14:paraId="78406EFB" w14:textId="77777777" w:rsidR="00E51DD6" w:rsidRPr="00A428CF" w:rsidRDefault="00E51DD6" w:rsidP="00A428CF">
            <w:pPr>
              <w:rPr>
                <w:rFonts w:ascii="Arial" w:eastAsia="Times New Roman" w:hAnsi="Arial"/>
                <w:sz w:val="26"/>
                <w:szCs w:val="26"/>
                <w:highlight w:val="yellow"/>
              </w:rPr>
            </w:pPr>
            <w:r w:rsidRPr="00A428CF">
              <w:rPr>
                <w:rFonts w:ascii="Times New Roman" w:eastAsia="Times New Roman" w:hAnsi="Times New Roman" w:hint="cs"/>
                <w:b/>
                <w:bCs/>
                <w:sz w:val="26"/>
                <w:szCs w:val="26"/>
                <w:rtl/>
              </w:rPr>
              <w:t xml:space="preserve">בפני </w:t>
            </w:r>
            <w:r w:rsidRPr="00A428CF">
              <w:rPr>
                <w:rFonts w:ascii="Arial" w:eastAsia="Times New Roman" w:hAnsi="Arial" w:hint="cs"/>
                <w:b/>
                <w:bCs/>
                <w:sz w:val="26"/>
                <w:szCs w:val="26"/>
                <w:rtl/>
              </w:rPr>
              <w:t>כב' השופטת הבכירה איטה נחמן</w:t>
            </w:r>
          </w:p>
          <w:p w14:paraId="5AEE9CD3" w14:textId="77777777" w:rsidR="00E51DD6" w:rsidRPr="00A428CF" w:rsidRDefault="00E51DD6" w:rsidP="00A428CF">
            <w:pPr>
              <w:spacing w:line="360" w:lineRule="auto"/>
              <w:jc w:val="both"/>
              <w:rPr>
                <w:rFonts w:ascii="Arial" w:eastAsia="Times New Roman" w:hAnsi="Arial" w:cs="Times New Roman"/>
                <w:rtl/>
              </w:rPr>
            </w:pPr>
          </w:p>
        </w:tc>
      </w:tr>
      <w:tr w:rsidR="00E51DD6" w:rsidRPr="00A428CF" w14:paraId="06BDC839" w14:textId="77777777">
        <w:tc>
          <w:tcPr>
            <w:tcW w:w="2880" w:type="dxa"/>
            <w:shd w:val="clear" w:color="auto" w:fill="auto"/>
          </w:tcPr>
          <w:p w14:paraId="0A7E5AB4" w14:textId="77777777" w:rsidR="00E51DD6" w:rsidRPr="00A428CF" w:rsidRDefault="00E51DD6" w:rsidP="00A428CF">
            <w:pPr>
              <w:ind w:left="26"/>
              <w:rPr>
                <w:rFonts w:ascii="Times New Roman" w:eastAsia="Times New Roman" w:hAnsi="Times New Roman"/>
                <w:b/>
                <w:bCs/>
                <w:sz w:val="26"/>
                <w:szCs w:val="26"/>
                <w:rtl/>
              </w:rPr>
            </w:pPr>
            <w:bookmarkStart w:id="1" w:name="FirstAppellant"/>
            <w:r w:rsidRPr="00A428CF">
              <w:rPr>
                <w:rFonts w:ascii="Times New Roman" w:eastAsia="Times New Roman" w:hAnsi="Times New Roman" w:hint="cs"/>
                <w:b/>
                <w:bCs/>
                <w:sz w:val="26"/>
                <w:szCs w:val="26"/>
                <w:rtl/>
              </w:rPr>
              <w:t>ה</w:t>
            </w:r>
            <w:r w:rsidRPr="00A428CF">
              <w:rPr>
                <w:rFonts w:ascii="Times New Roman" w:eastAsia="Times New Roman" w:hAnsi="Times New Roman" w:hint="cs"/>
                <w:rtl/>
              </w:rPr>
              <w:t>מאשימה</w:t>
            </w:r>
          </w:p>
        </w:tc>
        <w:tc>
          <w:tcPr>
            <w:tcW w:w="5922" w:type="dxa"/>
            <w:gridSpan w:val="2"/>
            <w:shd w:val="clear" w:color="auto" w:fill="auto"/>
          </w:tcPr>
          <w:p w14:paraId="2C6A57F9" w14:textId="77777777" w:rsidR="00E51DD6" w:rsidRPr="00A428CF" w:rsidRDefault="00E51DD6" w:rsidP="00A428CF">
            <w:pPr>
              <w:rPr>
                <w:rFonts w:ascii="Times New Roman" w:eastAsia="Times New Roman" w:hAnsi="Times New Roman"/>
                <w:b/>
                <w:bCs/>
                <w:sz w:val="26"/>
                <w:szCs w:val="26"/>
                <w:rtl/>
              </w:rPr>
            </w:pPr>
            <w:r w:rsidRPr="00A428CF">
              <w:rPr>
                <w:rFonts w:ascii="Times New Roman" w:eastAsia="Times New Roman" w:hAnsi="Times New Roman" w:hint="cs"/>
                <w:b/>
                <w:bCs/>
                <w:sz w:val="26"/>
                <w:szCs w:val="26"/>
                <w:rtl/>
              </w:rPr>
              <w:t xml:space="preserve"> </w:t>
            </w:r>
            <w:r w:rsidRPr="00A428CF">
              <w:rPr>
                <w:rFonts w:ascii="Times New Roman" w:eastAsia="Times New Roman" w:hAnsi="Times New Roman" w:hint="cs"/>
                <w:rtl/>
              </w:rPr>
              <w:t>מדינת ישראל</w:t>
            </w:r>
          </w:p>
        </w:tc>
      </w:tr>
      <w:bookmarkEnd w:id="1"/>
      <w:tr w:rsidR="00E51DD6" w:rsidRPr="00A428CF" w14:paraId="6DA4C522" w14:textId="77777777">
        <w:tc>
          <w:tcPr>
            <w:tcW w:w="8802" w:type="dxa"/>
            <w:gridSpan w:val="3"/>
            <w:shd w:val="clear" w:color="auto" w:fill="auto"/>
          </w:tcPr>
          <w:p w14:paraId="39B6E13D" w14:textId="77777777" w:rsidR="00E51DD6" w:rsidRPr="00A428CF" w:rsidRDefault="00E51DD6" w:rsidP="00A428CF">
            <w:pPr>
              <w:jc w:val="both"/>
              <w:rPr>
                <w:rFonts w:ascii="Arial" w:eastAsia="Times New Roman" w:hAnsi="Arial"/>
                <w:b/>
                <w:bCs/>
                <w:sz w:val="26"/>
                <w:szCs w:val="26"/>
                <w:rtl/>
              </w:rPr>
            </w:pPr>
          </w:p>
          <w:p w14:paraId="37EBB348" w14:textId="77777777" w:rsidR="00E51DD6" w:rsidRPr="00A428CF" w:rsidRDefault="00E51DD6" w:rsidP="00A428CF">
            <w:pPr>
              <w:jc w:val="center"/>
              <w:rPr>
                <w:rFonts w:ascii="Arial" w:eastAsia="Times New Roman" w:hAnsi="Arial"/>
                <w:b/>
                <w:bCs/>
                <w:sz w:val="26"/>
                <w:szCs w:val="26"/>
                <w:rtl/>
              </w:rPr>
            </w:pPr>
            <w:r w:rsidRPr="00A428CF">
              <w:rPr>
                <w:rFonts w:ascii="Arial" w:eastAsia="Times New Roman" w:hAnsi="Arial"/>
                <w:b/>
                <w:bCs/>
                <w:sz w:val="26"/>
                <w:szCs w:val="26"/>
                <w:rtl/>
              </w:rPr>
              <w:t>נגד</w:t>
            </w:r>
          </w:p>
          <w:p w14:paraId="6849ADFE" w14:textId="77777777" w:rsidR="00E51DD6" w:rsidRPr="00A428CF" w:rsidRDefault="00E51DD6" w:rsidP="00A428CF">
            <w:pPr>
              <w:jc w:val="center"/>
              <w:rPr>
                <w:rFonts w:ascii="Arial" w:eastAsia="Times New Roman" w:hAnsi="Arial"/>
                <w:b/>
                <w:bCs/>
                <w:sz w:val="26"/>
                <w:szCs w:val="26"/>
              </w:rPr>
            </w:pPr>
          </w:p>
        </w:tc>
      </w:tr>
      <w:tr w:rsidR="00E51DD6" w:rsidRPr="00A428CF" w14:paraId="38CA0883" w14:textId="77777777">
        <w:tc>
          <w:tcPr>
            <w:tcW w:w="2880" w:type="dxa"/>
            <w:shd w:val="clear" w:color="auto" w:fill="auto"/>
          </w:tcPr>
          <w:p w14:paraId="652B9DB7" w14:textId="77777777" w:rsidR="00E51DD6" w:rsidRPr="00A428CF" w:rsidRDefault="00E51DD6" w:rsidP="00A428CF">
            <w:pPr>
              <w:ind w:left="26"/>
              <w:rPr>
                <w:rFonts w:ascii="Times New Roman" w:eastAsia="Times New Roman" w:hAnsi="Times New Roman"/>
                <w:b/>
                <w:bCs/>
                <w:sz w:val="26"/>
                <w:szCs w:val="26"/>
                <w:rtl/>
              </w:rPr>
            </w:pPr>
            <w:r w:rsidRPr="00A428CF">
              <w:rPr>
                <w:rFonts w:ascii="Times New Roman" w:eastAsia="Times New Roman" w:hAnsi="Times New Roman" w:hint="cs"/>
                <w:b/>
                <w:bCs/>
                <w:sz w:val="26"/>
                <w:szCs w:val="26"/>
                <w:rtl/>
              </w:rPr>
              <w:t>ה</w:t>
            </w:r>
            <w:r w:rsidRPr="00A428CF">
              <w:rPr>
                <w:rFonts w:ascii="Times New Roman" w:eastAsia="Times New Roman" w:hAnsi="Times New Roman" w:hint="cs"/>
                <w:rtl/>
              </w:rPr>
              <w:t>נאשם</w:t>
            </w:r>
          </w:p>
        </w:tc>
        <w:tc>
          <w:tcPr>
            <w:tcW w:w="5922" w:type="dxa"/>
            <w:gridSpan w:val="2"/>
            <w:shd w:val="clear" w:color="auto" w:fill="auto"/>
          </w:tcPr>
          <w:p w14:paraId="554E52C4" w14:textId="77777777" w:rsidR="00E51DD6" w:rsidRPr="00A428CF" w:rsidRDefault="00E51DD6" w:rsidP="00A428CF">
            <w:pPr>
              <w:rPr>
                <w:rFonts w:ascii="Times New Roman" w:eastAsia="Times New Roman" w:hAnsi="Times New Roman"/>
                <w:b/>
                <w:bCs/>
                <w:sz w:val="26"/>
                <w:szCs w:val="26"/>
                <w:rtl/>
              </w:rPr>
            </w:pPr>
            <w:r w:rsidRPr="00A428CF">
              <w:rPr>
                <w:rFonts w:ascii="Times New Roman" w:eastAsia="Times New Roman" w:hAnsi="Times New Roman" w:hint="cs"/>
                <w:rtl/>
              </w:rPr>
              <w:t>חאכם אגבאריה (עציר)</w:t>
            </w:r>
          </w:p>
        </w:tc>
      </w:tr>
    </w:tbl>
    <w:p w14:paraId="39B5653A" w14:textId="77777777" w:rsidR="00E51DD6" w:rsidRPr="00A428CF" w:rsidRDefault="00E51DD6" w:rsidP="00E51DD6">
      <w:pPr>
        <w:spacing w:line="360" w:lineRule="auto"/>
        <w:jc w:val="both"/>
        <w:rPr>
          <w:rtl/>
        </w:rPr>
      </w:pPr>
    </w:p>
    <w:p w14:paraId="7EF94187" w14:textId="77777777" w:rsidR="00E51DD6" w:rsidRPr="00A428CF" w:rsidRDefault="00E51DD6" w:rsidP="00E51DD6">
      <w:pPr>
        <w:spacing w:line="360" w:lineRule="auto"/>
        <w:jc w:val="both"/>
        <w:rPr>
          <w:sz w:val="6"/>
          <w:szCs w:val="6"/>
          <w:rtl/>
        </w:rPr>
      </w:pPr>
      <w:r w:rsidRPr="00A428CF">
        <w:rPr>
          <w:sz w:val="6"/>
          <w:szCs w:val="6"/>
          <w:rtl/>
        </w:rPr>
        <w:t>&lt;#2#&gt;</w:t>
      </w:r>
    </w:p>
    <w:p w14:paraId="3B53C19E" w14:textId="77777777" w:rsidR="00E51DD6" w:rsidRPr="00A428CF" w:rsidRDefault="00E51DD6" w:rsidP="00E51DD6">
      <w:pPr>
        <w:pStyle w:val="12"/>
        <w:rPr>
          <w:u w:val="none"/>
          <w:rtl/>
        </w:rPr>
      </w:pPr>
      <w:r w:rsidRPr="00A428CF">
        <w:rPr>
          <w:rFonts w:hint="cs"/>
          <w:u w:val="none"/>
          <w:rtl/>
        </w:rPr>
        <w:t>נוכחים:</w:t>
      </w:r>
    </w:p>
    <w:p w14:paraId="1737A1B1" w14:textId="77777777" w:rsidR="00E51DD6" w:rsidRPr="00A428CF" w:rsidRDefault="00E51DD6" w:rsidP="00E51DD6">
      <w:pPr>
        <w:spacing w:after="160" w:line="259" w:lineRule="auto"/>
        <w:rPr>
          <w:rFonts w:ascii="Calibri" w:eastAsia="Times New Roman" w:hAnsi="Calibri"/>
          <w:rtl/>
        </w:rPr>
      </w:pPr>
      <w:bookmarkStart w:id="2" w:name="FirstLawyer"/>
      <w:r w:rsidRPr="00A428CF">
        <w:rPr>
          <w:rFonts w:ascii="Calibri" w:eastAsia="Times New Roman" w:hAnsi="Calibri" w:hint="eastAsia"/>
          <w:rtl/>
        </w:rPr>
        <w:t>ב</w:t>
      </w:r>
      <w:r w:rsidRPr="00A428CF">
        <w:rPr>
          <w:rFonts w:ascii="Calibri" w:eastAsia="Times New Roman" w:hAnsi="Calibri"/>
          <w:rtl/>
        </w:rPr>
        <w:t>"</w:t>
      </w:r>
      <w:r w:rsidRPr="00A428CF">
        <w:rPr>
          <w:rFonts w:ascii="Calibri" w:eastAsia="Times New Roman" w:hAnsi="Calibri" w:hint="eastAsia"/>
          <w:rtl/>
        </w:rPr>
        <w:t>כ</w:t>
      </w:r>
      <w:bookmarkEnd w:id="2"/>
      <w:r w:rsidRPr="00A428CF">
        <w:rPr>
          <w:rFonts w:ascii="Calibri" w:eastAsia="Times New Roman" w:hAnsi="Calibri"/>
          <w:rtl/>
        </w:rPr>
        <w:t xml:space="preserve"> </w:t>
      </w:r>
      <w:r w:rsidRPr="00A428CF">
        <w:rPr>
          <w:rFonts w:ascii="Calibri" w:eastAsia="Times New Roman" w:hAnsi="Calibri" w:hint="eastAsia"/>
          <w:rtl/>
        </w:rPr>
        <w:t>המאשימה</w:t>
      </w:r>
      <w:r w:rsidRPr="00A428CF">
        <w:rPr>
          <w:rFonts w:ascii="Calibri" w:eastAsia="Times New Roman" w:hAnsi="Calibri"/>
          <w:rtl/>
        </w:rPr>
        <w:t xml:space="preserve"> </w:t>
      </w:r>
      <w:r w:rsidRPr="00A428CF">
        <w:rPr>
          <w:rFonts w:ascii="Calibri" w:eastAsia="Times New Roman" w:hAnsi="Calibri" w:hint="eastAsia"/>
          <w:rtl/>
        </w:rPr>
        <w:t>עו</w:t>
      </w:r>
      <w:r w:rsidRPr="00A428CF">
        <w:rPr>
          <w:rFonts w:ascii="Calibri" w:eastAsia="Times New Roman" w:hAnsi="Calibri"/>
          <w:rtl/>
        </w:rPr>
        <w:t>"</w:t>
      </w:r>
      <w:r w:rsidRPr="00A428CF">
        <w:rPr>
          <w:rFonts w:ascii="Calibri" w:eastAsia="Times New Roman" w:hAnsi="Calibri" w:hint="eastAsia"/>
          <w:rtl/>
        </w:rPr>
        <w:t>ד</w:t>
      </w:r>
      <w:r w:rsidRPr="00A428CF">
        <w:rPr>
          <w:rFonts w:ascii="Calibri" w:eastAsia="Times New Roman" w:hAnsi="Calibri"/>
          <w:rtl/>
        </w:rPr>
        <w:t xml:space="preserve"> </w:t>
      </w:r>
      <w:r w:rsidRPr="00A428CF">
        <w:rPr>
          <w:rFonts w:ascii="Calibri" w:eastAsia="Times New Roman" w:hAnsi="Calibri" w:hint="eastAsia"/>
          <w:rtl/>
        </w:rPr>
        <w:t>אלמוג</w:t>
      </w:r>
      <w:r w:rsidRPr="00A428CF">
        <w:rPr>
          <w:rFonts w:ascii="Calibri" w:eastAsia="Times New Roman" w:hAnsi="Calibri"/>
          <w:rtl/>
        </w:rPr>
        <w:t xml:space="preserve"> </w:t>
      </w:r>
      <w:r w:rsidRPr="00A428CF">
        <w:rPr>
          <w:rFonts w:ascii="Calibri" w:eastAsia="Times New Roman" w:hAnsi="Calibri" w:hint="eastAsia"/>
          <w:rtl/>
        </w:rPr>
        <w:t>בן</w:t>
      </w:r>
      <w:r w:rsidRPr="00A428CF">
        <w:rPr>
          <w:rFonts w:ascii="Calibri" w:eastAsia="Times New Roman" w:hAnsi="Calibri"/>
          <w:rtl/>
        </w:rPr>
        <w:t xml:space="preserve"> </w:t>
      </w:r>
      <w:r w:rsidRPr="00A428CF">
        <w:rPr>
          <w:rFonts w:ascii="Calibri" w:eastAsia="Times New Roman" w:hAnsi="Calibri" w:hint="eastAsia"/>
          <w:rtl/>
        </w:rPr>
        <w:t>חמו</w:t>
      </w:r>
    </w:p>
    <w:p w14:paraId="4C42CE3B" w14:textId="77777777" w:rsidR="00E51DD6" w:rsidRPr="00A428CF" w:rsidRDefault="00E51DD6" w:rsidP="00E51DD6">
      <w:pPr>
        <w:spacing w:after="160" w:line="259" w:lineRule="auto"/>
        <w:rPr>
          <w:rFonts w:ascii="Calibri" w:eastAsia="Times New Roman" w:hAnsi="Calibri"/>
        </w:rPr>
      </w:pPr>
      <w:r w:rsidRPr="00A428CF">
        <w:rPr>
          <w:rFonts w:ascii="Calibri" w:eastAsia="Times New Roman" w:hAnsi="Calibri" w:hint="eastAsia"/>
          <w:rtl/>
        </w:rPr>
        <w:t>הנאשם</w:t>
      </w:r>
      <w:r w:rsidRPr="00A428CF">
        <w:rPr>
          <w:rFonts w:ascii="Calibri" w:eastAsia="Times New Roman" w:hAnsi="Calibri"/>
          <w:rtl/>
        </w:rPr>
        <w:t xml:space="preserve"> </w:t>
      </w:r>
      <w:r w:rsidRPr="00A428CF">
        <w:rPr>
          <w:rFonts w:ascii="Calibri" w:eastAsia="Times New Roman" w:hAnsi="Calibri" w:hint="cs"/>
          <w:rtl/>
        </w:rPr>
        <w:t xml:space="preserve">הובא באמצעות שב"ס </w:t>
      </w:r>
      <w:r w:rsidRPr="00A428CF">
        <w:rPr>
          <w:rFonts w:ascii="Calibri" w:eastAsia="Times New Roman" w:hAnsi="Calibri" w:hint="eastAsia"/>
          <w:rtl/>
        </w:rPr>
        <w:t>וב</w:t>
      </w:r>
      <w:r w:rsidRPr="00A428CF">
        <w:rPr>
          <w:rFonts w:ascii="Calibri" w:eastAsia="Times New Roman" w:hAnsi="Calibri"/>
          <w:rtl/>
        </w:rPr>
        <w:t>"</w:t>
      </w:r>
      <w:r w:rsidRPr="00A428CF">
        <w:rPr>
          <w:rFonts w:ascii="Calibri" w:eastAsia="Times New Roman" w:hAnsi="Calibri" w:hint="eastAsia"/>
          <w:rtl/>
        </w:rPr>
        <w:t>כ</w:t>
      </w:r>
      <w:r w:rsidRPr="00A428CF">
        <w:rPr>
          <w:rFonts w:ascii="Calibri" w:eastAsia="Times New Roman" w:hAnsi="Calibri"/>
          <w:rtl/>
        </w:rPr>
        <w:t xml:space="preserve"> </w:t>
      </w:r>
      <w:r w:rsidRPr="00A428CF">
        <w:rPr>
          <w:rFonts w:ascii="Calibri" w:eastAsia="Times New Roman" w:hAnsi="Calibri" w:hint="eastAsia"/>
          <w:rtl/>
        </w:rPr>
        <w:t>עו</w:t>
      </w:r>
      <w:r w:rsidRPr="00A428CF">
        <w:rPr>
          <w:rFonts w:ascii="Calibri" w:eastAsia="Times New Roman" w:hAnsi="Calibri"/>
          <w:rtl/>
        </w:rPr>
        <w:t>"</w:t>
      </w:r>
      <w:r w:rsidRPr="00A428CF">
        <w:rPr>
          <w:rFonts w:ascii="Calibri" w:eastAsia="Times New Roman" w:hAnsi="Calibri" w:hint="eastAsia"/>
          <w:rtl/>
        </w:rPr>
        <w:t>ד</w:t>
      </w:r>
      <w:r w:rsidRPr="00A428CF">
        <w:rPr>
          <w:rFonts w:ascii="Calibri" w:eastAsia="Times New Roman" w:hAnsi="Calibri"/>
          <w:rtl/>
        </w:rPr>
        <w:t xml:space="preserve"> </w:t>
      </w:r>
      <w:r w:rsidRPr="00A428CF">
        <w:rPr>
          <w:rFonts w:ascii="Calibri" w:eastAsia="Times New Roman" w:hAnsi="Calibri" w:hint="cs"/>
          <w:rtl/>
        </w:rPr>
        <w:t>אחמד יונס ועו"ד מוניס יונס</w:t>
      </w:r>
    </w:p>
    <w:p w14:paraId="39EE797D" w14:textId="77777777" w:rsidR="00E628AA" w:rsidRDefault="00E51DD6" w:rsidP="00E51DD6">
      <w:pPr>
        <w:pStyle w:val="David"/>
        <w:rPr>
          <w:sz w:val="6"/>
          <w:szCs w:val="6"/>
          <w:rtl/>
        </w:rPr>
      </w:pPr>
      <w:r w:rsidRPr="00A428CF">
        <w:rPr>
          <w:sz w:val="6"/>
          <w:szCs w:val="6"/>
          <w:rtl/>
        </w:rPr>
        <w:t>&lt;#3#&gt;</w:t>
      </w:r>
      <w:bookmarkStart w:id="3" w:name="LawTable"/>
      <w:bookmarkEnd w:id="3"/>
    </w:p>
    <w:p w14:paraId="0CB771E7" w14:textId="77777777" w:rsidR="00E628AA" w:rsidRPr="00E628AA" w:rsidRDefault="00E628AA" w:rsidP="00E628AA">
      <w:pPr>
        <w:pStyle w:val="David"/>
        <w:spacing w:after="120" w:line="240" w:lineRule="exact"/>
        <w:ind w:left="283" w:hanging="283"/>
        <w:rPr>
          <w:rFonts w:ascii="FrankRuehl" w:hAnsi="FrankRuehl" w:cs="FrankRuehl"/>
          <w:rtl/>
        </w:rPr>
      </w:pPr>
    </w:p>
    <w:p w14:paraId="749954F3" w14:textId="77777777" w:rsidR="00E628AA" w:rsidRPr="00E628AA" w:rsidRDefault="00E628AA" w:rsidP="00E628AA">
      <w:pPr>
        <w:pStyle w:val="David"/>
        <w:spacing w:after="120" w:line="240" w:lineRule="exact"/>
        <w:ind w:left="283" w:hanging="283"/>
        <w:rPr>
          <w:rFonts w:ascii="FrankRuehl" w:hAnsi="FrankRuehl" w:cs="FrankRuehl"/>
          <w:rtl/>
        </w:rPr>
      </w:pPr>
      <w:r w:rsidRPr="00E628AA">
        <w:rPr>
          <w:rFonts w:ascii="FrankRuehl" w:hAnsi="FrankRuehl" w:cs="FrankRuehl"/>
          <w:rtl/>
        </w:rPr>
        <w:t xml:space="preserve">חקיקה שאוזכרה: </w:t>
      </w:r>
    </w:p>
    <w:p w14:paraId="395CEAA9" w14:textId="77777777" w:rsidR="00E628AA" w:rsidRPr="00E628AA" w:rsidRDefault="00E628AA" w:rsidP="00E628AA">
      <w:pPr>
        <w:pStyle w:val="David"/>
        <w:spacing w:after="120" w:line="240" w:lineRule="exact"/>
        <w:ind w:left="283" w:hanging="283"/>
        <w:rPr>
          <w:rFonts w:ascii="FrankRuehl" w:hAnsi="FrankRuehl" w:cs="FrankRuehl"/>
          <w:rtl/>
        </w:rPr>
      </w:pPr>
      <w:hyperlink r:id="rId7" w:history="1">
        <w:r w:rsidRPr="00E628AA">
          <w:rPr>
            <w:rFonts w:ascii="FrankRuehl" w:hAnsi="FrankRuehl" w:cs="FrankRuehl"/>
            <w:color w:val="0000FF"/>
            <w:u w:val="single"/>
            <w:rtl/>
          </w:rPr>
          <w:t>חוק העונשין, תשל"ז-1977</w:t>
        </w:r>
      </w:hyperlink>
      <w:r w:rsidRPr="00E628AA">
        <w:rPr>
          <w:rFonts w:ascii="FrankRuehl" w:hAnsi="FrankRuehl" w:cs="FrankRuehl"/>
          <w:rtl/>
        </w:rPr>
        <w:t xml:space="preserve">: סע'  </w:t>
      </w:r>
      <w:hyperlink r:id="rId8" w:history="1">
        <w:r w:rsidRPr="00E628AA">
          <w:rPr>
            <w:rFonts w:ascii="FrankRuehl" w:hAnsi="FrankRuehl" w:cs="FrankRuehl"/>
            <w:color w:val="0000FF"/>
            <w:u w:val="single"/>
            <w:rtl/>
          </w:rPr>
          <w:t>40 ב'</w:t>
        </w:r>
      </w:hyperlink>
      <w:r w:rsidRPr="00E628AA">
        <w:rPr>
          <w:rFonts w:ascii="FrankRuehl" w:hAnsi="FrankRuehl" w:cs="FrankRuehl"/>
          <w:rtl/>
        </w:rPr>
        <w:t xml:space="preserve">, </w:t>
      </w:r>
      <w:hyperlink r:id="rId9" w:history="1">
        <w:r w:rsidRPr="00E628AA">
          <w:rPr>
            <w:rFonts w:ascii="FrankRuehl" w:hAnsi="FrankRuehl" w:cs="FrankRuehl"/>
            <w:color w:val="0000FF"/>
            <w:u w:val="single"/>
            <w:rtl/>
          </w:rPr>
          <w:t>40 ג' (א)</w:t>
        </w:r>
      </w:hyperlink>
      <w:r w:rsidRPr="00E628AA">
        <w:rPr>
          <w:rFonts w:ascii="FrankRuehl" w:hAnsi="FrankRuehl" w:cs="FrankRuehl"/>
          <w:rtl/>
        </w:rPr>
        <w:t xml:space="preserve">, </w:t>
      </w:r>
      <w:hyperlink r:id="rId10" w:history="1">
        <w:r w:rsidRPr="00E628AA">
          <w:rPr>
            <w:rFonts w:ascii="FrankRuehl" w:hAnsi="FrankRuehl" w:cs="FrankRuehl"/>
            <w:color w:val="0000FF"/>
            <w:u w:val="single"/>
            <w:rtl/>
          </w:rPr>
          <w:t>40ד(א)</w:t>
        </w:r>
      </w:hyperlink>
      <w:r w:rsidRPr="00E628AA">
        <w:rPr>
          <w:rFonts w:ascii="FrankRuehl" w:hAnsi="FrankRuehl" w:cs="FrankRuehl"/>
          <w:rtl/>
        </w:rPr>
        <w:t xml:space="preserve">, </w:t>
      </w:r>
      <w:hyperlink r:id="rId11" w:history="1">
        <w:r w:rsidRPr="00E628AA">
          <w:rPr>
            <w:rFonts w:ascii="FrankRuehl" w:hAnsi="FrankRuehl" w:cs="FrankRuehl"/>
            <w:color w:val="0000FF"/>
            <w:u w:val="single"/>
            <w:rtl/>
          </w:rPr>
          <w:t>192</w:t>
        </w:r>
      </w:hyperlink>
      <w:r w:rsidRPr="00E628AA">
        <w:rPr>
          <w:rFonts w:ascii="FrankRuehl" w:hAnsi="FrankRuehl" w:cs="FrankRuehl"/>
          <w:rtl/>
        </w:rPr>
        <w:t xml:space="preserve">, </w:t>
      </w:r>
      <w:hyperlink r:id="rId12" w:history="1">
        <w:r w:rsidRPr="00E628AA">
          <w:rPr>
            <w:rFonts w:ascii="FrankRuehl" w:hAnsi="FrankRuehl" w:cs="FrankRuehl"/>
            <w:color w:val="0000FF"/>
            <w:u w:val="single"/>
            <w:rtl/>
          </w:rPr>
          <w:t>273</w:t>
        </w:r>
      </w:hyperlink>
      <w:r w:rsidRPr="00E628AA">
        <w:rPr>
          <w:rFonts w:ascii="FrankRuehl" w:hAnsi="FrankRuehl" w:cs="FrankRuehl"/>
          <w:rtl/>
        </w:rPr>
        <w:t xml:space="preserve">, </w:t>
      </w:r>
      <w:hyperlink r:id="rId13" w:history="1">
        <w:r w:rsidRPr="00E628AA">
          <w:rPr>
            <w:rFonts w:ascii="FrankRuehl" w:hAnsi="FrankRuehl" w:cs="FrankRuehl"/>
            <w:color w:val="0000FF"/>
            <w:u w:val="single"/>
            <w:rtl/>
          </w:rPr>
          <w:t>275</w:t>
        </w:r>
      </w:hyperlink>
      <w:r w:rsidRPr="00E628AA">
        <w:rPr>
          <w:rFonts w:ascii="FrankRuehl" w:hAnsi="FrankRuehl" w:cs="FrankRuehl"/>
          <w:rtl/>
        </w:rPr>
        <w:t xml:space="preserve">, </w:t>
      </w:r>
      <w:hyperlink r:id="rId14" w:history="1">
        <w:r w:rsidRPr="00E628AA">
          <w:rPr>
            <w:rFonts w:ascii="FrankRuehl" w:hAnsi="FrankRuehl" w:cs="FrankRuehl"/>
            <w:color w:val="0000FF"/>
            <w:u w:val="single"/>
            <w:rtl/>
          </w:rPr>
          <w:t>384</w:t>
        </w:r>
      </w:hyperlink>
      <w:r w:rsidRPr="00E628AA">
        <w:rPr>
          <w:rFonts w:ascii="FrankRuehl" w:hAnsi="FrankRuehl" w:cs="FrankRuehl"/>
          <w:rtl/>
        </w:rPr>
        <w:t xml:space="preserve">, </w:t>
      </w:r>
      <w:hyperlink r:id="rId15" w:history="1">
        <w:r w:rsidRPr="00E628AA">
          <w:rPr>
            <w:rFonts w:ascii="FrankRuehl" w:hAnsi="FrankRuehl" w:cs="FrankRuehl"/>
            <w:color w:val="0000FF"/>
            <w:u w:val="single"/>
            <w:rtl/>
          </w:rPr>
          <w:t>407(ב)</w:t>
        </w:r>
      </w:hyperlink>
      <w:r w:rsidRPr="00E628AA">
        <w:rPr>
          <w:rFonts w:ascii="FrankRuehl" w:hAnsi="FrankRuehl" w:cs="FrankRuehl"/>
          <w:rtl/>
        </w:rPr>
        <w:t xml:space="preserve">, </w:t>
      </w:r>
      <w:hyperlink r:id="rId16" w:history="1">
        <w:r w:rsidRPr="00E628AA">
          <w:rPr>
            <w:rFonts w:ascii="FrankRuehl" w:hAnsi="FrankRuehl" w:cs="FrankRuehl"/>
            <w:color w:val="0000FF"/>
            <w:u w:val="single"/>
            <w:rtl/>
          </w:rPr>
          <w:t>40יא</w:t>
        </w:r>
      </w:hyperlink>
      <w:r w:rsidRPr="00E628AA">
        <w:rPr>
          <w:rFonts w:ascii="FrankRuehl" w:hAnsi="FrankRuehl" w:cs="FrankRuehl"/>
          <w:rtl/>
        </w:rPr>
        <w:t xml:space="preserve">, </w:t>
      </w:r>
      <w:hyperlink r:id="rId17" w:history="1">
        <w:r w:rsidRPr="00E628AA">
          <w:rPr>
            <w:rFonts w:ascii="FrankRuehl" w:hAnsi="FrankRuehl" w:cs="FrankRuehl"/>
            <w:color w:val="0000FF"/>
            <w:u w:val="single"/>
            <w:rtl/>
          </w:rPr>
          <w:t>452</w:t>
        </w:r>
      </w:hyperlink>
    </w:p>
    <w:p w14:paraId="3CA31CF4" w14:textId="77777777" w:rsidR="00E628AA" w:rsidRPr="00E628AA" w:rsidRDefault="00E628AA" w:rsidP="00E628AA">
      <w:pPr>
        <w:pStyle w:val="David"/>
        <w:spacing w:after="120" w:line="240" w:lineRule="exact"/>
        <w:ind w:left="283" w:hanging="283"/>
        <w:rPr>
          <w:rFonts w:ascii="FrankRuehl" w:hAnsi="FrankRuehl" w:cs="FrankRuehl"/>
          <w:rtl/>
        </w:rPr>
      </w:pPr>
      <w:hyperlink r:id="rId18" w:history="1">
        <w:r w:rsidRPr="00E628AA">
          <w:rPr>
            <w:rFonts w:ascii="FrankRuehl" w:hAnsi="FrankRuehl" w:cs="FrankRuehl"/>
            <w:color w:val="0000FF"/>
            <w:u w:val="single"/>
            <w:rtl/>
          </w:rPr>
          <w:t>פקודת הסמים המסוכנים [נוסח חדש], תשל"ג-1973</w:t>
        </w:r>
      </w:hyperlink>
      <w:r w:rsidRPr="00E628AA">
        <w:rPr>
          <w:rFonts w:ascii="FrankRuehl" w:hAnsi="FrankRuehl" w:cs="FrankRuehl"/>
          <w:rtl/>
        </w:rPr>
        <w:t xml:space="preserve">: סע'  </w:t>
      </w:r>
      <w:hyperlink r:id="rId19" w:history="1">
        <w:r w:rsidRPr="00E628AA">
          <w:rPr>
            <w:rFonts w:ascii="FrankRuehl" w:hAnsi="FrankRuehl" w:cs="FrankRuehl"/>
            <w:color w:val="0000FF"/>
            <w:u w:val="single"/>
            <w:rtl/>
          </w:rPr>
          <w:t>7(א)</w:t>
        </w:r>
      </w:hyperlink>
      <w:r w:rsidRPr="00E628AA">
        <w:rPr>
          <w:rFonts w:ascii="FrankRuehl" w:hAnsi="FrankRuehl" w:cs="FrankRuehl"/>
          <w:rtl/>
        </w:rPr>
        <w:t xml:space="preserve">, </w:t>
      </w:r>
      <w:hyperlink r:id="rId20" w:history="1">
        <w:r w:rsidRPr="00E628AA">
          <w:rPr>
            <w:rFonts w:ascii="FrankRuehl" w:hAnsi="FrankRuehl" w:cs="FrankRuehl"/>
            <w:color w:val="0000FF"/>
            <w:u w:val="single"/>
            <w:rtl/>
          </w:rPr>
          <w:t>7(ג)</w:t>
        </w:r>
      </w:hyperlink>
    </w:p>
    <w:p w14:paraId="589A8206" w14:textId="77777777" w:rsidR="00E628AA" w:rsidRPr="00E628AA" w:rsidRDefault="00E628AA" w:rsidP="00E628AA">
      <w:pPr>
        <w:pStyle w:val="David"/>
        <w:spacing w:after="120" w:line="240" w:lineRule="exact"/>
        <w:ind w:left="283" w:hanging="283"/>
        <w:rPr>
          <w:rFonts w:ascii="FrankRuehl" w:hAnsi="FrankRuehl" w:cs="FrankRuehl"/>
          <w:rtl/>
        </w:rPr>
      </w:pPr>
    </w:p>
    <w:p w14:paraId="3A7B01A9" w14:textId="77777777" w:rsidR="00A428CF" w:rsidRPr="00A428CF" w:rsidRDefault="00A428CF" w:rsidP="00E51DD6">
      <w:pPr>
        <w:spacing w:line="360" w:lineRule="auto"/>
        <w:jc w:val="center"/>
        <w:rPr>
          <w:rFonts w:ascii="Arial" w:hAnsi="Arial"/>
          <w:b/>
          <w:bCs/>
          <w:sz w:val="28"/>
          <w:szCs w:val="28"/>
          <w:rtl/>
        </w:rPr>
      </w:pPr>
      <w:bookmarkStart w:id="4" w:name="LawTable_End"/>
      <w:bookmarkEnd w:id="4"/>
    </w:p>
    <w:p w14:paraId="1BFB964D" w14:textId="77777777" w:rsidR="00A428CF" w:rsidRPr="00A428CF" w:rsidRDefault="00A428CF" w:rsidP="00A428CF">
      <w:pPr>
        <w:spacing w:line="360" w:lineRule="auto"/>
        <w:jc w:val="center"/>
        <w:rPr>
          <w:rFonts w:ascii="Arial" w:hAnsi="Arial"/>
          <w:b/>
          <w:bCs/>
          <w:sz w:val="28"/>
          <w:szCs w:val="28"/>
          <w:u w:val="single"/>
          <w:rtl/>
        </w:rPr>
      </w:pPr>
      <w:bookmarkStart w:id="5" w:name="PsakDin"/>
      <w:bookmarkEnd w:id="0"/>
      <w:r w:rsidRPr="00A428CF">
        <w:rPr>
          <w:rFonts w:ascii="Arial" w:hAnsi="Arial"/>
          <w:b/>
          <w:bCs/>
          <w:sz w:val="28"/>
          <w:szCs w:val="28"/>
          <w:u w:val="single"/>
          <w:rtl/>
        </w:rPr>
        <w:t>גזר דין</w:t>
      </w:r>
    </w:p>
    <w:bookmarkEnd w:id="5"/>
    <w:p w14:paraId="1DC1BCA6" w14:textId="77777777" w:rsidR="00E51DD6" w:rsidRDefault="00E51DD6" w:rsidP="00E51DD6">
      <w:pPr>
        <w:spacing w:line="360" w:lineRule="auto"/>
        <w:jc w:val="both"/>
        <w:rPr>
          <w:rFonts w:ascii="Arial" w:hAnsi="Arial"/>
        </w:rPr>
      </w:pPr>
    </w:p>
    <w:p w14:paraId="2C6EFA62" w14:textId="77777777" w:rsidR="00E51DD6" w:rsidRDefault="00E51DD6" w:rsidP="00E51DD6">
      <w:pPr>
        <w:spacing w:line="360" w:lineRule="auto"/>
        <w:ind w:left="720" w:hanging="720"/>
        <w:jc w:val="both"/>
      </w:pPr>
      <w:r>
        <w:rPr>
          <w:rFonts w:hint="cs"/>
          <w:rtl/>
        </w:rPr>
        <w:t>1.</w:t>
      </w:r>
      <w:r>
        <w:rPr>
          <w:rFonts w:hint="cs"/>
          <w:rtl/>
        </w:rPr>
        <w:tab/>
      </w:r>
      <w:bookmarkStart w:id="6" w:name="ABSTRACT_START"/>
      <w:bookmarkEnd w:id="6"/>
      <w:r>
        <w:rPr>
          <w:rFonts w:hint="cs"/>
          <w:rtl/>
        </w:rPr>
        <w:t xml:space="preserve">הנאשם הורשע, על פי הודאתו, בעובדות כתב האישום, המייחס לו עבירות של גניבה, עבירה על </w:t>
      </w:r>
      <w:hyperlink r:id="rId21" w:history="1">
        <w:r w:rsidR="00E628AA" w:rsidRPr="00E628AA">
          <w:rPr>
            <w:color w:val="0000FF"/>
            <w:u w:val="single"/>
            <w:rtl/>
          </w:rPr>
          <w:t>סעיף 384</w:t>
        </w:r>
      </w:hyperlink>
      <w:r>
        <w:rPr>
          <w:rFonts w:hint="cs"/>
          <w:rtl/>
        </w:rPr>
        <w:t xml:space="preserve"> ב</w:t>
      </w:r>
      <w:hyperlink r:id="rId22" w:history="1">
        <w:r w:rsidR="00A428CF" w:rsidRPr="00A428CF">
          <w:rPr>
            <w:color w:val="0000FF"/>
            <w:u w:val="single"/>
            <w:rtl/>
          </w:rPr>
          <w:t>חוק העונשין</w:t>
        </w:r>
      </w:hyperlink>
      <w:r>
        <w:rPr>
          <w:rFonts w:hint="cs"/>
          <w:rtl/>
        </w:rPr>
        <w:t xml:space="preserve">, התשל"ז-1977 (להלן: "החוק"); היזק לרכוש במזיד, עבירה על </w:t>
      </w:r>
      <w:hyperlink r:id="rId23" w:history="1">
        <w:r w:rsidR="00E628AA" w:rsidRPr="00E628AA">
          <w:rPr>
            <w:color w:val="0000FF"/>
            <w:u w:val="single"/>
            <w:rtl/>
          </w:rPr>
          <w:t>סעיף 452</w:t>
        </w:r>
      </w:hyperlink>
      <w:r>
        <w:rPr>
          <w:rFonts w:hint="cs"/>
          <w:rtl/>
        </w:rPr>
        <w:t xml:space="preserve"> בחוק והתפרצות למקום שאינו דירת מגורים, עבירה על </w:t>
      </w:r>
      <w:hyperlink r:id="rId24" w:history="1">
        <w:r w:rsidR="00E628AA" w:rsidRPr="00E628AA">
          <w:rPr>
            <w:color w:val="0000FF"/>
            <w:u w:val="single"/>
            <w:rtl/>
          </w:rPr>
          <w:t>סעיף 407(ב)</w:t>
        </w:r>
      </w:hyperlink>
      <w:r>
        <w:rPr>
          <w:rFonts w:hint="cs"/>
          <w:rtl/>
        </w:rPr>
        <w:t xml:space="preserve"> בחוק.</w:t>
      </w:r>
    </w:p>
    <w:p w14:paraId="38883F6B" w14:textId="77777777" w:rsidR="00E51DD6" w:rsidRDefault="00E51DD6" w:rsidP="00E51DD6">
      <w:pPr>
        <w:spacing w:line="360" w:lineRule="auto"/>
        <w:ind w:left="720"/>
        <w:jc w:val="both"/>
        <w:rPr>
          <w:rtl/>
        </w:rPr>
      </w:pPr>
      <w:r>
        <w:rPr>
          <w:rFonts w:hint="cs"/>
          <w:rtl/>
        </w:rPr>
        <w:t xml:space="preserve">הנאשם צירף </w:t>
      </w:r>
      <w:hyperlink r:id="rId25" w:history="1">
        <w:r w:rsidR="00A428CF" w:rsidRPr="00A428CF">
          <w:rPr>
            <w:color w:val="0000FF"/>
            <w:u w:val="single"/>
            <w:rtl/>
          </w:rPr>
          <w:t>ת.פ. 3819-08-12</w:t>
        </w:r>
      </w:hyperlink>
      <w:r>
        <w:rPr>
          <w:rFonts w:hint="cs"/>
          <w:rtl/>
        </w:rPr>
        <w:t xml:space="preserve"> מבית המשפט השלום בכפר סבא (להלן: "התיק שצורף"), שם הוא הודה בכתב האישום המייחס לו עבירות של תקיפת שוטר בעת מילוי תפקידו, עבירה על </w:t>
      </w:r>
      <w:hyperlink r:id="rId26" w:history="1">
        <w:r w:rsidR="00E628AA" w:rsidRPr="00E628AA">
          <w:rPr>
            <w:color w:val="0000FF"/>
            <w:u w:val="single"/>
            <w:rtl/>
          </w:rPr>
          <w:t>סעיף 273</w:t>
        </w:r>
      </w:hyperlink>
      <w:r>
        <w:rPr>
          <w:rFonts w:hint="cs"/>
          <w:rtl/>
        </w:rPr>
        <w:t xml:space="preserve"> בחוק; הפרעה לשוטר במילוי תפקידו, עבירה על </w:t>
      </w:r>
      <w:hyperlink r:id="rId27" w:history="1">
        <w:r w:rsidR="00E628AA" w:rsidRPr="00E628AA">
          <w:rPr>
            <w:color w:val="0000FF"/>
            <w:u w:val="single"/>
            <w:rtl/>
          </w:rPr>
          <w:t>סעיף 275</w:t>
        </w:r>
      </w:hyperlink>
      <w:r>
        <w:rPr>
          <w:rFonts w:hint="cs"/>
          <w:rtl/>
        </w:rPr>
        <w:t xml:space="preserve"> בחוק; החזקת סמים לצריכה עצמית, עבירה על </w:t>
      </w:r>
      <w:hyperlink r:id="rId28" w:history="1">
        <w:r w:rsidR="00E628AA" w:rsidRPr="00E628AA">
          <w:rPr>
            <w:color w:val="0000FF"/>
            <w:u w:val="single"/>
            <w:rtl/>
          </w:rPr>
          <w:t>סעיף 7(א)</w:t>
        </w:r>
      </w:hyperlink>
      <w:r>
        <w:rPr>
          <w:rFonts w:hint="cs"/>
          <w:rtl/>
        </w:rPr>
        <w:t>+</w:t>
      </w:r>
      <w:hyperlink r:id="rId29" w:history="1">
        <w:r w:rsidR="00E628AA" w:rsidRPr="00E628AA">
          <w:rPr>
            <w:color w:val="0000FF"/>
            <w:u w:val="single"/>
            <w:rtl/>
          </w:rPr>
          <w:t>7(ג)</w:t>
        </w:r>
      </w:hyperlink>
      <w:r>
        <w:rPr>
          <w:rFonts w:hint="cs"/>
          <w:rtl/>
        </w:rPr>
        <w:t xml:space="preserve"> סיפא ב</w:t>
      </w:r>
      <w:hyperlink r:id="rId30" w:history="1">
        <w:r w:rsidR="00A428CF" w:rsidRPr="00A428CF">
          <w:rPr>
            <w:color w:val="0000FF"/>
            <w:u w:val="single"/>
            <w:rtl/>
          </w:rPr>
          <w:t>פקודת הסמים המסוכנים</w:t>
        </w:r>
      </w:hyperlink>
      <w:r>
        <w:rPr>
          <w:rFonts w:hint="cs"/>
          <w:rtl/>
        </w:rPr>
        <w:t xml:space="preserve"> (נוסח חדש) תשל"ג-1973 (להלן: "פקודת הסמים") ואיומים, עבירה על </w:t>
      </w:r>
      <w:hyperlink r:id="rId31" w:history="1">
        <w:r w:rsidR="00E628AA" w:rsidRPr="00E628AA">
          <w:rPr>
            <w:color w:val="0000FF"/>
            <w:u w:val="single"/>
            <w:rtl/>
          </w:rPr>
          <w:t>סעיף 192</w:t>
        </w:r>
      </w:hyperlink>
      <w:r>
        <w:rPr>
          <w:rFonts w:hint="cs"/>
          <w:rtl/>
        </w:rPr>
        <w:t xml:space="preserve"> בחוק. </w:t>
      </w:r>
    </w:p>
    <w:p w14:paraId="5DF5C017" w14:textId="77777777" w:rsidR="00E51DD6" w:rsidRDefault="00E51DD6" w:rsidP="00E51DD6">
      <w:pPr>
        <w:spacing w:line="360" w:lineRule="auto"/>
        <w:jc w:val="both"/>
        <w:rPr>
          <w:rtl/>
        </w:rPr>
      </w:pPr>
      <w:bookmarkStart w:id="7" w:name="ABSTRACT_END"/>
      <w:bookmarkEnd w:id="7"/>
    </w:p>
    <w:p w14:paraId="37D7127D" w14:textId="77777777" w:rsidR="00E51DD6" w:rsidRDefault="00E51DD6" w:rsidP="00E51DD6">
      <w:pPr>
        <w:spacing w:line="360" w:lineRule="auto"/>
        <w:ind w:left="720" w:hanging="720"/>
        <w:jc w:val="both"/>
        <w:rPr>
          <w:rtl/>
        </w:rPr>
      </w:pPr>
      <w:r>
        <w:rPr>
          <w:rFonts w:hint="cs"/>
          <w:rtl/>
        </w:rPr>
        <w:t>2.</w:t>
      </w:r>
      <w:r>
        <w:rPr>
          <w:rFonts w:hint="cs"/>
          <w:rtl/>
        </w:rPr>
        <w:tab/>
        <w:t xml:space="preserve">מעובדות כתב האישום עולה כי בין 22.9.11 בשעה 22:00 לתאריך 23.9.11 בשעה 06:30, התפרץ הנאשם למעדנייה בשד' ניצה 8 בנתניה (להלן: "המעדנייה") בכך שניפץ את שמשת דלת הכניסה למעדנייה ונכנס אליה בכדי לבצע גניבה או פשע. </w:t>
      </w:r>
    </w:p>
    <w:p w14:paraId="50ED20F9" w14:textId="77777777" w:rsidR="00E51DD6" w:rsidRDefault="00E51DD6" w:rsidP="00E51DD6">
      <w:pPr>
        <w:spacing w:line="360" w:lineRule="auto"/>
        <w:ind w:left="720" w:hanging="720"/>
        <w:jc w:val="both"/>
        <w:rPr>
          <w:rtl/>
        </w:rPr>
      </w:pPr>
      <w:r>
        <w:rPr>
          <w:rFonts w:hint="cs"/>
          <w:rtl/>
        </w:rPr>
        <w:tab/>
        <w:t>באותן הנסיבות, גנב הנאשם סכום כסף שאינו ידוע במדויק למאשימה.</w:t>
      </w:r>
    </w:p>
    <w:p w14:paraId="3416C8F3" w14:textId="77777777" w:rsidR="00E51DD6" w:rsidRDefault="00E51DD6" w:rsidP="00E51DD6">
      <w:pPr>
        <w:spacing w:line="360" w:lineRule="auto"/>
        <w:jc w:val="both"/>
        <w:rPr>
          <w:rtl/>
        </w:rPr>
      </w:pPr>
    </w:p>
    <w:p w14:paraId="6927D99B" w14:textId="77777777" w:rsidR="00E51DD6" w:rsidRDefault="00E51DD6" w:rsidP="00E51DD6">
      <w:pPr>
        <w:spacing w:line="360" w:lineRule="auto"/>
        <w:ind w:left="720" w:hanging="720"/>
        <w:jc w:val="both"/>
        <w:rPr>
          <w:rtl/>
        </w:rPr>
      </w:pPr>
      <w:r>
        <w:rPr>
          <w:rFonts w:hint="cs"/>
          <w:rtl/>
        </w:rPr>
        <w:lastRenderedPageBreak/>
        <w:t>3.</w:t>
      </w:r>
      <w:r>
        <w:rPr>
          <w:rFonts w:hint="cs"/>
          <w:rtl/>
        </w:rPr>
        <w:tab/>
        <w:t xml:space="preserve">מכתב האישום בתיק שצורף עולה כי ביום 9.11.11 בסמוך לשעה 15:40, הגיעו השוטרים יוסי דוקרקר, גולן דהן ואבי אביקסיס (להלן: "השוטרים") שמילאו תפקידם כחוק, לאזור המסגד הישן שבקלנסווה (להלן: "המקום"), לשם אכיפת סחר בסמים. </w:t>
      </w:r>
    </w:p>
    <w:p w14:paraId="38D40C84" w14:textId="77777777" w:rsidR="00E51DD6" w:rsidRDefault="00E51DD6" w:rsidP="00E51DD6">
      <w:pPr>
        <w:spacing w:line="360" w:lineRule="auto"/>
        <w:jc w:val="both"/>
        <w:rPr>
          <w:rtl/>
        </w:rPr>
      </w:pPr>
      <w:r>
        <w:rPr>
          <w:rFonts w:hint="cs"/>
          <w:rtl/>
        </w:rPr>
        <w:tab/>
        <w:t>במקום הבחינו השוטרים בנאשם וערכו חיפוש כדין על גופו בתוך ניידת משטרה.</w:t>
      </w:r>
    </w:p>
    <w:p w14:paraId="39F0EB6F" w14:textId="77777777" w:rsidR="00E51DD6" w:rsidRDefault="00E51DD6" w:rsidP="00E51DD6">
      <w:pPr>
        <w:spacing w:line="360" w:lineRule="auto"/>
        <w:ind w:left="720"/>
        <w:jc w:val="both"/>
        <w:rPr>
          <w:rtl/>
        </w:rPr>
      </w:pPr>
      <w:r>
        <w:rPr>
          <w:rFonts w:hint="cs"/>
          <w:rtl/>
        </w:rPr>
        <w:t xml:space="preserve">בנסיבות המתוארות לעיל, החזיק הנאשם בתחתוניו סם מסוכן מסוג חשיש במשקל </w:t>
      </w:r>
      <w:smartTag w:uri="urn:schemas-microsoft-com:office:smarttags" w:element="metricconverter">
        <w:smartTagPr>
          <w:attr w:name="ProductID" w:val="6.02 גרם"/>
        </w:smartTagPr>
        <w:r>
          <w:rPr>
            <w:rFonts w:hint="cs"/>
            <w:rtl/>
          </w:rPr>
          <w:t>6.02 גרם</w:t>
        </w:r>
      </w:smartTag>
      <w:r>
        <w:rPr>
          <w:rFonts w:hint="cs"/>
          <w:rtl/>
        </w:rPr>
        <w:t xml:space="preserve"> נטו, ללא היתר, ללא רישיון מאת המנהל ולצריכתו העצמית. בנוסף, נתפסו על גופו 216 ₪.</w:t>
      </w:r>
    </w:p>
    <w:p w14:paraId="6A84E61A" w14:textId="77777777" w:rsidR="00E51DD6" w:rsidRDefault="00E51DD6" w:rsidP="00E51DD6">
      <w:pPr>
        <w:spacing w:line="360" w:lineRule="auto"/>
        <w:ind w:left="720"/>
        <w:jc w:val="both"/>
        <w:rPr>
          <w:rtl/>
        </w:rPr>
      </w:pPr>
      <w:r>
        <w:rPr>
          <w:rFonts w:hint="cs"/>
          <w:rtl/>
        </w:rPr>
        <w:t>מיד ובסמוך לתפיסת הסם, החל הנאשם להשתולל, תוך שניסה לצאת מניידת המשטרה ותוך שגידף את השוטרים באומרו "יא בני זונות".</w:t>
      </w:r>
    </w:p>
    <w:p w14:paraId="077C590D" w14:textId="77777777" w:rsidR="00E51DD6" w:rsidRDefault="00E51DD6" w:rsidP="00E51DD6">
      <w:pPr>
        <w:spacing w:line="360" w:lineRule="auto"/>
        <w:ind w:left="720"/>
        <w:jc w:val="both"/>
        <w:rPr>
          <w:rtl/>
        </w:rPr>
      </w:pPr>
      <w:r>
        <w:rPr>
          <w:rFonts w:hint="cs"/>
          <w:rtl/>
        </w:rPr>
        <w:t>בנסיבות דלעיל, תקף הנאשם שלא כדין את השוטרים, בכך שבעט בגופו של השוטר יוסי דוקרקר וגרם לנפיחות בלחיו השמאלית.</w:t>
      </w:r>
    </w:p>
    <w:p w14:paraId="487106E3" w14:textId="77777777" w:rsidR="00E51DD6" w:rsidRDefault="00E51DD6" w:rsidP="00E51DD6">
      <w:pPr>
        <w:spacing w:line="360" w:lineRule="auto"/>
        <w:ind w:left="720"/>
        <w:jc w:val="both"/>
        <w:rPr>
          <w:rtl/>
        </w:rPr>
      </w:pPr>
      <w:r>
        <w:rPr>
          <w:rFonts w:hint="cs"/>
          <w:rtl/>
        </w:rPr>
        <w:t>מיד ובסמוך, היכה הנאשם באגרופיו בפניו ובראשו של השוטר גולן דהן ובעט בחזהו וגרם לו לסימני שפשוף בפנים, נפיחות בקרקפת, סימני שפשוף על נפי שתי הכתפיים ונפיחות על פני חזה שמאל, נפיחות באמה ימנית ורגישות ברגל שמאל.</w:t>
      </w:r>
    </w:p>
    <w:p w14:paraId="33221107" w14:textId="77777777" w:rsidR="00E51DD6" w:rsidRDefault="00E51DD6" w:rsidP="00E51DD6">
      <w:pPr>
        <w:spacing w:line="360" w:lineRule="auto"/>
        <w:jc w:val="both"/>
        <w:rPr>
          <w:rtl/>
        </w:rPr>
      </w:pPr>
      <w:r>
        <w:rPr>
          <w:rFonts w:hint="cs"/>
          <w:rtl/>
        </w:rPr>
        <w:tab/>
        <w:t>מיד ובסמוך, בעט בחזהו של השוטר אבי אביקסיס וגרם לו בכך לרגישות בבית החזה.</w:t>
      </w:r>
    </w:p>
    <w:p w14:paraId="3CF3F5DC" w14:textId="77777777" w:rsidR="00E51DD6" w:rsidRDefault="00E51DD6" w:rsidP="00E51DD6">
      <w:pPr>
        <w:spacing w:line="360" w:lineRule="auto"/>
        <w:ind w:left="720"/>
        <w:jc w:val="both"/>
        <w:rPr>
          <w:rtl/>
        </w:rPr>
      </w:pPr>
      <w:r>
        <w:rPr>
          <w:rFonts w:hint="cs"/>
          <w:rtl/>
        </w:rPr>
        <w:t>בנסיבות אלו, איים הנאשם על השוטר גולן דהן בפגיעה שלא כדין בגופו באומרו "אני ארצח אותך יא בן זונה, אני ממשפחת חרירי אני אשלח לך שני אנשים שירצחו אותך ואת המשפחה שלך".</w:t>
      </w:r>
    </w:p>
    <w:p w14:paraId="762BDB3A" w14:textId="77777777" w:rsidR="00E51DD6" w:rsidRDefault="00E51DD6" w:rsidP="00E51DD6">
      <w:pPr>
        <w:spacing w:line="360" w:lineRule="auto"/>
        <w:jc w:val="both"/>
        <w:rPr>
          <w:rtl/>
        </w:rPr>
      </w:pPr>
      <w:r>
        <w:rPr>
          <w:rFonts w:hint="cs"/>
          <w:rtl/>
        </w:rPr>
        <w:tab/>
      </w:r>
    </w:p>
    <w:p w14:paraId="0B8625E7" w14:textId="77777777" w:rsidR="00E51DD6" w:rsidRDefault="00E51DD6" w:rsidP="00E51DD6">
      <w:pPr>
        <w:spacing w:line="360" w:lineRule="auto"/>
        <w:ind w:left="720" w:hanging="720"/>
        <w:jc w:val="both"/>
        <w:rPr>
          <w:rtl/>
        </w:rPr>
      </w:pPr>
      <w:r>
        <w:rPr>
          <w:rFonts w:hint="cs"/>
          <w:rtl/>
        </w:rPr>
        <w:t>4.</w:t>
      </w:r>
      <w:r>
        <w:rPr>
          <w:rFonts w:hint="cs"/>
          <w:rtl/>
        </w:rPr>
        <w:tab/>
        <w:t>הנאשם הודה במיוחס לו בכתב האישום במסגרת הסדר דיוני, נשלח לקבלת תסקיר שירות המבחן בעניינו והמאשימה הצהירה כי עמדתה היא למאסר בפועל. טרם קבלת התסקיר, הנאשם צירף את התיק הנוסף, הודה והורשע במיוחס לו בכתב האישום הנוסף.</w:t>
      </w:r>
    </w:p>
    <w:p w14:paraId="3468BCB3" w14:textId="77777777" w:rsidR="00E51DD6" w:rsidRDefault="00E51DD6" w:rsidP="00E51DD6">
      <w:pPr>
        <w:spacing w:line="360" w:lineRule="auto"/>
        <w:jc w:val="both"/>
        <w:rPr>
          <w:rtl/>
        </w:rPr>
      </w:pPr>
    </w:p>
    <w:p w14:paraId="311BF831" w14:textId="77777777" w:rsidR="00E51DD6" w:rsidRDefault="00E51DD6" w:rsidP="00E51DD6">
      <w:pPr>
        <w:spacing w:line="360" w:lineRule="auto"/>
        <w:ind w:left="720" w:hanging="720"/>
        <w:jc w:val="both"/>
        <w:rPr>
          <w:rtl/>
        </w:rPr>
      </w:pPr>
      <w:r>
        <w:rPr>
          <w:rFonts w:hint="cs"/>
          <w:rtl/>
        </w:rPr>
        <w:t>5.</w:t>
      </w:r>
      <w:r>
        <w:rPr>
          <w:rFonts w:hint="cs"/>
          <w:rtl/>
        </w:rPr>
        <w:tab/>
        <w:t xml:space="preserve">אציין כי בעקבות אי התייצבותו של הנאשם למספר דיונים בטיעונים לעונש, הוצאו נגדו צווי הבאה, ועל אף שהפקיד כספים להבטחת התייצבותו, הוא לא התייצב. ביום 23.12.15 הוצא נגדו צו הבאה ללא שחרור וביום 21.1.16 הוא נעצר במסגרת אותו צו הבאה, נקבעו תנאי שחרור ומשלא עמד בהם הנאשם, הוא נעצר עד החלטה אחרת. </w:t>
      </w:r>
    </w:p>
    <w:p w14:paraId="190D4F7D" w14:textId="77777777" w:rsidR="00E51DD6" w:rsidRDefault="00E51DD6" w:rsidP="00E51DD6">
      <w:pPr>
        <w:spacing w:line="360" w:lineRule="auto"/>
        <w:jc w:val="both"/>
        <w:rPr>
          <w:rtl/>
        </w:rPr>
      </w:pPr>
    </w:p>
    <w:p w14:paraId="2EAF202A" w14:textId="77777777" w:rsidR="00E51DD6" w:rsidRDefault="00E51DD6" w:rsidP="00E51DD6">
      <w:pPr>
        <w:spacing w:line="360" w:lineRule="auto"/>
        <w:ind w:left="720" w:hanging="720"/>
        <w:jc w:val="both"/>
        <w:rPr>
          <w:rtl/>
        </w:rPr>
      </w:pPr>
      <w:r>
        <w:rPr>
          <w:rFonts w:hint="cs"/>
          <w:rtl/>
        </w:rPr>
        <w:t>6.</w:t>
      </w:r>
      <w:r>
        <w:rPr>
          <w:rFonts w:hint="cs"/>
          <w:rtl/>
        </w:rPr>
        <w:tab/>
        <w:t>לתיק בית המשפט הוגש תסקיר שירות המבחן ממנו עלה כי הנאשם כבן 23, נשוי ללא ילדים ונמצא בתהליך גירושין מאשתו ממנה הוא כבר פרוד מזה כשלוש שנים.</w:t>
      </w:r>
    </w:p>
    <w:p w14:paraId="0F71B61D" w14:textId="77777777" w:rsidR="00E51DD6" w:rsidRDefault="00E51DD6" w:rsidP="00E51DD6">
      <w:pPr>
        <w:spacing w:line="360" w:lineRule="auto"/>
        <w:ind w:left="720"/>
        <w:jc w:val="both"/>
        <w:rPr>
          <w:rtl/>
        </w:rPr>
      </w:pPr>
      <w:r>
        <w:rPr>
          <w:rFonts w:hint="cs"/>
          <w:rtl/>
        </w:rPr>
        <w:t>הנאשם הוא בן יחיד שמתגורר עם אמו, הוריו גרושים ונסיבות חייהם לא פשוטות, אך לא אפרט אותן מחמת צנעת הפרט.</w:t>
      </w:r>
    </w:p>
    <w:p w14:paraId="18643B9F" w14:textId="77777777" w:rsidR="00E51DD6" w:rsidRDefault="00E51DD6" w:rsidP="00E51DD6">
      <w:pPr>
        <w:spacing w:line="360" w:lineRule="auto"/>
        <w:ind w:left="720"/>
        <w:jc w:val="both"/>
        <w:rPr>
          <w:rtl/>
        </w:rPr>
      </w:pPr>
      <w:r>
        <w:rPr>
          <w:rFonts w:hint="cs"/>
          <w:rtl/>
        </w:rPr>
        <w:t>הנאשם הוצא מחזקת אמו בצו בית משפט, בהיותו בן 5 והועבר לפנימייה, שם שהה במשך כ-5 שנים ולאחר סיוע בני משפחה ואביו החורג שב הנאשם להתגורר עם אמו.</w:t>
      </w:r>
    </w:p>
    <w:p w14:paraId="5850085E" w14:textId="77777777" w:rsidR="00E51DD6" w:rsidRDefault="00E51DD6" w:rsidP="00E51DD6">
      <w:pPr>
        <w:spacing w:line="360" w:lineRule="auto"/>
        <w:ind w:left="720"/>
        <w:jc w:val="both"/>
        <w:rPr>
          <w:rtl/>
        </w:rPr>
      </w:pPr>
      <w:r>
        <w:rPr>
          <w:rFonts w:hint="cs"/>
          <w:rtl/>
        </w:rPr>
        <w:t>על רקע מעברי דירות וניתוקים ממסגרות, הנאשם חווה חוסר יציבות, הוא לא רכש מקצוע ועובד בעבודות מזדמנות.</w:t>
      </w:r>
    </w:p>
    <w:p w14:paraId="115DF48A" w14:textId="77777777" w:rsidR="00E51DD6" w:rsidRDefault="00E51DD6" w:rsidP="00E51DD6">
      <w:pPr>
        <w:spacing w:line="360" w:lineRule="auto"/>
        <w:ind w:left="720"/>
        <w:jc w:val="both"/>
        <w:rPr>
          <w:rtl/>
        </w:rPr>
      </w:pPr>
      <w:r>
        <w:rPr>
          <w:rFonts w:hint="cs"/>
          <w:rtl/>
        </w:rPr>
        <w:lastRenderedPageBreak/>
        <w:t xml:space="preserve">הנאשם שיתף את שירות המבחן כי הוא סובל ממחלת אסטמה, שבעונות מעבר גורמת לו לדלקת ראות שמקשה עליו לתפקד וזה פוגע בתעסוקתו. </w:t>
      </w:r>
    </w:p>
    <w:p w14:paraId="5C7B054F" w14:textId="77777777" w:rsidR="00E51DD6" w:rsidRDefault="00E51DD6" w:rsidP="00E51DD6">
      <w:pPr>
        <w:spacing w:line="360" w:lineRule="auto"/>
        <w:ind w:left="720"/>
        <w:jc w:val="both"/>
        <w:rPr>
          <w:rtl/>
        </w:rPr>
      </w:pPr>
      <w:r>
        <w:rPr>
          <w:rFonts w:hint="cs"/>
          <w:rtl/>
        </w:rPr>
        <w:t xml:space="preserve">שירות המבחן הוסיף כי במסגרת טיפול קודם בנאשם, במסגרת צו מבחן שהושת עליו, הוא שולב באשפוזית "מג"ל צעיר", בירושלים, ומשם עבר לקהילה לטיפול ולגמילה מסמים "אלפטאם", בטייבה, טופל כ- 3 חודשים, עד אשר עזב מיוזמתו, וצו המבחן הופקע. הנאשם התקשה להתחייב לטיפול אינטנסיבי הכרוך בהשתלבות בקהילה. שירות המבחן שוחח עם קצינת המבחן לנוער שטיפלה בנאשם, אשר מסרה כי הוא שיתף פעולה במהלך הקשר עמה, הצליח לשתף ולהיעזר בשיחות הטיפוליות, אך יחד עם זאת, על רקע התמכרותו לסמים, התרשמה כי הוא זקוק למסגרת טיפולית אינטנסיבית, אך נעדר בשלות ומוכנות לכך. </w:t>
      </w:r>
    </w:p>
    <w:p w14:paraId="768783DC" w14:textId="77777777" w:rsidR="00E51DD6" w:rsidRDefault="00E51DD6" w:rsidP="00E51DD6">
      <w:pPr>
        <w:spacing w:line="360" w:lineRule="auto"/>
        <w:ind w:left="720"/>
        <w:jc w:val="both"/>
        <w:rPr>
          <w:rtl/>
        </w:rPr>
      </w:pPr>
      <w:r>
        <w:rPr>
          <w:rFonts w:hint="cs"/>
          <w:rtl/>
        </w:rPr>
        <w:t>בהתייחסותו לעבירות דנן, הנאשם הודה בפני שירות המבחן בביצוען, אך השליך האחריות על השוטרים, שלדבריו לא הבינו את מצבו, ובמקום לעזור לו במצוקתו, הם תקפו אותו. הנאשם הוסיף כי הוא חש מותקף על ידי השוטרים והגיב מתוך תחושת בהלה, איום והגנה עצמית. יחד עם זאת, הוא הביע צער על שפגע בשוטר ואף ,לדבריו ,בהזדמנות כשראה אותו, הוא התנצל בפניו.</w:t>
      </w:r>
    </w:p>
    <w:p w14:paraId="47DA78CC" w14:textId="77777777" w:rsidR="00E51DD6" w:rsidRDefault="00E51DD6" w:rsidP="00E51DD6">
      <w:pPr>
        <w:spacing w:line="360" w:lineRule="auto"/>
        <w:ind w:left="720"/>
        <w:jc w:val="both"/>
        <w:rPr>
          <w:rtl/>
        </w:rPr>
      </w:pPr>
      <w:r>
        <w:rPr>
          <w:rFonts w:hint="cs"/>
          <w:rtl/>
        </w:rPr>
        <w:t xml:space="preserve">הנאשם שיתף את שירות המבחן כי בגיל 13  נשר ממסגרת הלימודים, והחל להשתמש שימוש אינטנסיבי בסמים מסוכנים מסוג חשיש, </w:t>
      </w:r>
      <w:r>
        <w:t>MDMA</w:t>
      </w:r>
      <w:r>
        <w:rPr>
          <w:rFonts w:hint="cs"/>
          <w:rtl/>
        </w:rPr>
        <w:t>, כאמצעי להתמודד עם מציאות חייו וטראומות ילדות קשות שחווה, כשלדבריו, כילד, הוא היה עד לסיטואציות משפחתיות מורכבות, כמו גם לשימוש של דודיו בסמים. הנאשם ציין בפני שירות המבחן כי הוא נקי זה תקופה ארוכה, נערכה לו בדיקת שתן בפתע, אשר העידה על ניקיון מסמים. עוד שיתף הנאשם את שירות המבחן בקשייו, תסכוליו, אורח חייו המורכב והקשה והביע רחמים עצמיים וחוסר אונים. הנאשם ביטא חשש כי שליחתו למאסר בפועל תביא להידרדרותו.</w:t>
      </w:r>
    </w:p>
    <w:p w14:paraId="2358F6EA" w14:textId="77777777" w:rsidR="00E51DD6" w:rsidRDefault="00E51DD6" w:rsidP="00E51DD6">
      <w:pPr>
        <w:spacing w:line="360" w:lineRule="auto"/>
        <w:ind w:left="720"/>
        <w:jc w:val="both"/>
        <w:rPr>
          <w:rtl/>
        </w:rPr>
      </w:pPr>
      <w:r>
        <w:rPr>
          <w:rFonts w:hint="cs"/>
          <w:rtl/>
        </w:rPr>
        <w:t>שירות המבחן התרשם כי הנאשם בחור צעיר, בודד, אשר גדל בסביבה משפחתית מורכבת, כשהוא נעדר תחושת ביטחון בחייו ואף נחשף מגיל צעיר לשימוש בסמים, כדפוס התנהגות לגיטימי.</w:t>
      </w:r>
    </w:p>
    <w:p w14:paraId="27052974" w14:textId="77777777" w:rsidR="00E51DD6" w:rsidRDefault="00E51DD6" w:rsidP="00E51DD6">
      <w:pPr>
        <w:spacing w:line="360" w:lineRule="auto"/>
        <w:ind w:left="720"/>
        <w:jc w:val="both"/>
        <w:rPr>
          <w:rtl/>
        </w:rPr>
      </w:pPr>
      <w:r>
        <w:rPr>
          <w:rFonts w:hint="cs"/>
          <w:rtl/>
        </w:rPr>
        <w:t>עוד התרשם שירות המבחן כי הנאשם נעדר דמויות סמכותיות מציבות גבולות, ועל אף ניקיונו מסמים, הוא סובל מבעיית התמכרות, כמו כן, מוסיף שירות המבחן כי לאורך שנות ילדותו והתבגרותו, הנאשם חווה מצוקות וחסכים רגשיים משמעותיים, ניתוקים מדמויות משמעותיות, חרדות ופחד נטישה. מציאות חייו הקשה עמדה ברקע לביצוע העבירות, כמו גם התמכרותו לסמים וההידרדרות במצבו.</w:t>
      </w:r>
    </w:p>
    <w:p w14:paraId="0C1414B2" w14:textId="77777777" w:rsidR="00E51DD6" w:rsidRDefault="00E51DD6" w:rsidP="00E51DD6">
      <w:pPr>
        <w:spacing w:line="360" w:lineRule="auto"/>
        <w:ind w:left="720"/>
        <w:jc w:val="both"/>
        <w:rPr>
          <w:rtl/>
        </w:rPr>
      </w:pPr>
      <w:r>
        <w:rPr>
          <w:rFonts w:hint="cs"/>
          <w:rtl/>
        </w:rPr>
        <w:t xml:space="preserve">שירות המבחן העריך כי הנאשם זקוק למעורבות טיפולית, אך היה ספקני באשר לבשלותו ונכונותו להיעזר ולהתחייב לקשר טיפולי לאורך זמן. מנגד, שירות המבחן ציין כי ניתן לראות בבדיקת השתן הנקייה שמסר, העדר תיקים פתוחים מאז ביצוע העבירות וכנות דבריו, מצביעים על יכולתו לשמור על עצמו. </w:t>
      </w:r>
    </w:p>
    <w:p w14:paraId="796AA410" w14:textId="77777777" w:rsidR="00E51DD6" w:rsidRDefault="00E51DD6" w:rsidP="00E51DD6">
      <w:pPr>
        <w:spacing w:line="360" w:lineRule="auto"/>
        <w:ind w:left="720"/>
        <w:jc w:val="both"/>
        <w:rPr>
          <w:rtl/>
        </w:rPr>
      </w:pPr>
      <w:r>
        <w:rPr>
          <w:rFonts w:hint="cs"/>
          <w:rtl/>
        </w:rPr>
        <w:t xml:space="preserve">נוכח אלו, המליץ שירות המבחן להעמיד הנאשם בפיקוחם למשך שנה, שבמהלכה יסייעו לו להשתלב בתוכנית להכוון תעסוקתי, משביטא רצון להתארגן לרכוש מקצוע.  </w:t>
      </w:r>
    </w:p>
    <w:p w14:paraId="0B24EAE2" w14:textId="77777777" w:rsidR="00E51DD6" w:rsidRDefault="00E51DD6" w:rsidP="00E51DD6">
      <w:pPr>
        <w:spacing w:line="360" w:lineRule="auto"/>
        <w:ind w:left="720"/>
        <w:jc w:val="both"/>
        <w:rPr>
          <w:rtl/>
        </w:rPr>
      </w:pPr>
    </w:p>
    <w:p w14:paraId="22539753" w14:textId="77777777" w:rsidR="00E51DD6" w:rsidRDefault="00E51DD6" w:rsidP="00E51DD6">
      <w:pPr>
        <w:spacing w:line="360" w:lineRule="auto"/>
        <w:ind w:left="720" w:hanging="720"/>
        <w:jc w:val="both"/>
        <w:rPr>
          <w:rtl/>
        </w:rPr>
      </w:pPr>
      <w:r>
        <w:rPr>
          <w:rFonts w:hint="cs"/>
          <w:rtl/>
        </w:rPr>
        <w:t>7.</w:t>
      </w:r>
      <w:r>
        <w:rPr>
          <w:rFonts w:hint="cs"/>
          <w:rtl/>
        </w:rPr>
        <w:tab/>
        <w:t xml:space="preserve">ב"כ המאשימה, בטיעוניו לעונש, הדגיש את חלוף הזמן ממועד הודאת הנאשם והרשעתו ועד לטיעונים לעונש, שכן חלפו שנתיים מאז, והנאשם לא התייצב לדיונים בעניינו. ב"כ המאשימה הפנה לחומרת מעשיו של הנאשם בשני כתבי האישום, לאיומים שנמצאים ברף הגבוה של החומרה ולאלימות שהפנה הנאשם כלפי השוטרים ולאמור בתסקיר שירות המבחן, שלגישתו, הינו שלילי, במובנים של שיקום ונטילת אחריות. הוסיף כי הנאשם לא התייצב למפגש עם שירות המבחן לצורך עריכת תסקיר נוסף. עוד הפנה ב"כ המאשימה לעברו הפלילי של הנאשם שמונה הרשעות מאותו סוג של העבירות דנן. </w:t>
      </w:r>
    </w:p>
    <w:p w14:paraId="7BE11FF8" w14:textId="77777777" w:rsidR="00E51DD6" w:rsidRDefault="00E51DD6" w:rsidP="00E51DD6">
      <w:pPr>
        <w:spacing w:line="360" w:lineRule="auto"/>
        <w:ind w:left="720" w:hanging="720"/>
        <w:jc w:val="both"/>
        <w:rPr>
          <w:rtl/>
        </w:rPr>
      </w:pPr>
      <w:r>
        <w:rPr>
          <w:rFonts w:hint="cs"/>
          <w:rtl/>
        </w:rPr>
        <w:tab/>
        <w:t>לגישת ב"כ המאשימה מתחם העונש ההולם את מעשי הנאשם בתיק העיקרי, נשוא עבירות הרכוש, נע בין 8 ל-18 חודשי מאסר בפועל, ואילו האישום בתיק שצורף, נשוא עבירות האלימות כלפי השוטרים, המתחם הוא למאסר לתקופה ממושכת.</w:t>
      </w:r>
    </w:p>
    <w:p w14:paraId="06945E9D" w14:textId="77777777" w:rsidR="00E51DD6" w:rsidRDefault="00E51DD6" w:rsidP="00E51DD6">
      <w:pPr>
        <w:spacing w:line="360" w:lineRule="auto"/>
        <w:jc w:val="both"/>
        <w:rPr>
          <w:rtl/>
        </w:rPr>
      </w:pPr>
    </w:p>
    <w:p w14:paraId="04FE67B5" w14:textId="77777777" w:rsidR="00E51DD6" w:rsidRDefault="00E51DD6" w:rsidP="00E51DD6">
      <w:pPr>
        <w:spacing w:line="360" w:lineRule="auto"/>
        <w:ind w:left="720" w:hanging="720"/>
        <w:jc w:val="both"/>
        <w:rPr>
          <w:rtl/>
        </w:rPr>
      </w:pPr>
      <w:r>
        <w:rPr>
          <w:rFonts w:hint="cs"/>
          <w:rtl/>
        </w:rPr>
        <w:t>8.</w:t>
      </w:r>
      <w:r>
        <w:rPr>
          <w:rFonts w:hint="cs"/>
          <w:rtl/>
        </w:rPr>
        <w:tab/>
        <w:t xml:space="preserve">ב"כ הנאשם, בטיעוניו לעונש, הפנה לגילו הצעיר של הנאשם, שהיה על גבול הקטינות בעת ביצוע העבירות לפני כ-5 שנים, להודאתו במיוחס לו בכתבי האישום בהזדמנות הראשונה, למצבו המשפחתי ונסיבות חייו הקשות. לגישת הסנגור אין מדובר בתסקיר שלילי, אלא בתסקיר שמפרט את נסיבות חייו הקשות של הנאשם. הסנגור טען לעניין האישום בתיק שצורף כי הנאשם הוכה על ידי השוטרים ותמונותיו המתעדות זאת נמצאות בתיק החקירה, הוסיף כי האיומים ואלימות מצד הנאשם היו תוך כדי התנגדותו למעצר, ולא הייתה בהם כל כוונה לפגוע. לגישת הסנגור, העבירות נשוא האישום שצורף הן ברף הנמוך של החומרה, משמדובר בהחזקת סמים לשימוש עצמי, וגם העבירות נשוא התיק העיקרי נמצאות ברף הנמוך, משבוצעו ללא תכנון מוקדם וללא כל תחכום. הסנגור הפנה לחלוף הזמן מאז ביצוע העבירות ללא שהוסיף הנאשם והסתבך בפלילים. לעניין אי התייצבותו של הנאשם לדיונים ובפני שירות המבחן, טען הסנגור כי הדבר נבע מנסיבות משפחתיות ובעיות שמנעו ממנו להיכנס לטייבה וכן על חלק מהדיונים לא ידע ולא היה ברשותו טלפון על מנת שישיגו. עוד הפנה הסנגור כי הנאשם פנה מיוזמתו לשירות המבחן ובדיקת פתע שבוצעה לו שם נמצאה נקייה משרידי סמים. ב"כ הנאשם ציין כי כיום הנאשם עובד במפעל קרטונים בכפר סבא, אך מצבו הכלכלי קשה ולא התאפשר לו לגייס את סכום הכסף שנקבע לשחרורו מצו ההבאה. </w:t>
      </w:r>
    </w:p>
    <w:p w14:paraId="2EDD46D9" w14:textId="77777777" w:rsidR="00E51DD6" w:rsidRDefault="00E51DD6" w:rsidP="00E51DD6">
      <w:pPr>
        <w:spacing w:line="360" w:lineRule="auto"/>
        <w:ind w:left="720" w:hanging="720"/>
        <w:jc w:val="both"/>
        <w:rPr>
          <w:rtl/>
        </w:rPr>
      </w:pPr>
      <w:r>
        <w:rPr>
          <w:rFonts w:hint="cs"/>
          <w:rtl/>
        </w:rPr>
        <w:tab/>
        <w:t>לגישת הסנגור, מתחם העונש ההולם כל אחד מכתבי האישום נע בין מאסר על תנאי למספר חודשי מאסר שניתן לרצות בעבודות שירות ועתר להשית על הנאשם עונש הנמצא ברף התחתון של המתחם. אשר לענישה כלכלית, הסנגור הדגיש את מצבו הכלכלי הקשה של הנאשם וביקש את התחשבות בית המשפט.</w:t>
      </w:r>
    </w:p>
    <w:p w14:paraId="79F3C03B" w14:textId="77777777" w:rsidR="00E51DD6" w:rsidRDefault="00E51DD6" w:rsidP="00E51DD6">
      <w:pPr>
        <w:spacing w:line="360" w:lineRule="auto"/>
        <w:jc w:val="both"/>
        <w:rPr>
          <w:rtl/>
        </w:rPr>
      </w:pPr>
    </w:p>
    <w:p w14:paraId="172289A1" w14:textId="77777777" w:rsidR="00E51DD6" w:rsidRDefault="00E51DD6" w:rsidP="00E51DD6">
      <w:pPr>
        <w:spacing w:line="360" w:lineRule="auto"/>
        <w:ind w:left="720" w:hanging="720"/>
        <w:jc w:val="both"/>
        <w:rPr>
          <w:rtl/>
        </w:rPr>
      </w:pPr>
      <w:r>
        <w:rPr>
          <w:rFonts w:hint="cs"/>
          <w:rtl/>
        </w:rPr>
        <w:t>9.</w:t>
      </w:r>
      <w:r>
        <w:rPr>
          <w:rFonts w:hint="cs"/>
          <w:rtl/>
        </w:rPr>
        <w:tab/>
        <w:t>הנאשם, בדבריו האחרונים, הביע צער על מעשיו, מסר כי היה "ילד קטן" שלא ידע מה הוא עושה.</w:t>
      </w:r>
    </w:p>
    <w:p w14:paraId="23069213" w14:textId="77777777" w:rsidR="00E51DD6" w:rsidRDefault="00E51DD6" w:rsidP="00E51DD6">
      <w:pPr>
        <w:spacing w:line="360" w:lineRule="auto"/>
        <w:jc w:val="both"/>
        <w:rPr>
          <w:b/>
          <w:bCs/>
          <w:u w:val="single"/>
          <w:rtl/>
        </w:rPr>
      </w:pPr>
    </w:p>
    <w:p w14:paraId="4E1E994D" w14:textId="77777777" w:rsidR="00E51DD6" w:rsidRDefault="00E51DD6" w:rsidP="00E51DD6">
      <w:pPr>
        <w:spacing w:line="360" w:lineRule="auto"/>
        <w:jc w:val="both"/>
        <w:rPr>
          <w:b/>
          <w:bCs/>
          <w:u w:val="single"/>
          <w:rtl/>
        </w:rPr>
      </w:pPr>
      <w:r>
        <w:rPr>
          <w:rFonts w:hint="cs"/>
          <w:b/>
          <w:bCs/>
          <w:u w:val="single"/>
          <w:rtl/>
        </w:rPr>
        <w:t>דיון</w:t>
      </w:r>
    </w:p>
    <w:p w14:paraId="06EBF3DF" w14:textId="77777777" w:rsidR="00E51DD6" w:rsidRDefault="00E51DD6" w:rsidP="00E51DD6">
      <w:pPr>
        <w:spacing w:line="360" w:lineRule="auto"/>
        <w:jc w:val="both"/>
        <w:rPr>
          <w:b/>
          <w:bCs/>
          <w:u w:val="single"/>
          <w:rtl/>
        </w:rPr>
      </w:pPr>
    </w:p>
    <w:p w14:paraId="24F75DC6" w14:textId="77777777" w:rsidR="00E51DD6" w:rsidRDefault="00E51DD6" w:rsidP="00E51DD6">
      <w:pPr>
        <w:spacing w:line="360" w:lineRule="auto"/>
        <w:ind w:left="720" w:hanging="720"/>
        <w:jc w:val="both"/>
        <w:rPr>
          <w:rtl/>
        </w:rPr>
      </w:pPr>
      <w:r>
        <w:rPr>
          <w:rFonts w:hint="cs"/>
          <w:rtl/>
        </w:rPr>
        <w:t>10.</w:t>
      </w:r>
      <w:r>
        <w:rPr>
          <w:rFonts w:hint="cs"/>
          <w:rtl/>
        </w:rPr>
        <w:tab/>
        <w:t xml:space="preserve">כמצוות המחוקק בסעיף </w:t>
      </w:r>
      <w:hyperlink r:id="rId32" w:history="1">
        <w:r w:rsidR="00E628AA" w:rsidRPr="00E628AA">
          <w:rPr>
            <w:color w:val="0000FF"/>
            <w:u w:val="single"/>
            <w:rtl/>
          </w:rPr>
          <w:t>40 ג' (א)</w:t>
        </w:r>
      </w:hyperlink>
      <w:r>
        <w:rPr>
          <w:rFonts w:hint="cs"/>
          <w:rtl/>
        </w:rPr>
        <w:t xml:space="preserve"> בחוק, בקביעת מתחם העונש ההולם את מעשי העבירות שביצע הנאשם, בהתאם לעיקרון המנחה הקבוע בסעיף </w:t>
      </w:r>
      <w:hyperlink r:id="rId33" w:history="1">
        <w:r w:rsidR="00E628AA" w:rsidRPr="00E628AA">
          <w:rPr>
            <w:color w:val="0000FF"/>
            <w:u w:val="single"/>
            <w:rtl/>
          </w:rPr>
          <w:t>40 ב'</w:t>
        </w:r>
      </w:hyperlink>
      <w:r>
        <w:rPr>
          <w:rFonts w:hint="cs"/>
          <w:rtl/>
        </w:rPr>
        <w:t xml:space="preserve"> בחוק, יש להתחשב בערכים החברתיים שנפגעו מביצוע העבירות, במידת הפגיעה בהם, במדיניות הענישה הנהוגה ובנסיבות הקשורות בביצוע העבירות. </w:t>
      </w:r>
    </w:p>
    <w:p w14:paraId="40D52B67" w14:textId="77777777" w:rsidR="00E51DD6" w:rsidRDefault="00E51DD6" w:rsidP="00E51DD6">
      <w:pPr>
        <w:spacing w:line="360" w:lineRule="auto"/>
        <w:jc w:val="both"/>
        <w:rPr>
          <w:rtl/>
        </w:rPr>
      </w:pPr>
    </w:p>
    <w:p w14:paraId="4CEEEA48" w14:textId="77777777" w:rsidR="00E51DD6" w:rsidRDefault="00E51DD6" w:rsidP="00E51DD6">
      <w:pPr>
        <w:spacing w:line="360" w:lineRule="auto"/>
        <w:jc w:val="both"/>
        <w:rPr>
          <w:b/>
          <w:bCs/>
          <w:u w:val="single"/>
          <w:rtl/>
        </w:rPr>
      </w:pPr>
      <w:r>
        <w:rPr>
          <w:rFonts w:hint="cs"/>
          <w:b/>
          <w:bCs/>
          <w:u w:val="single"/>
          <w:rtl/>
        </w:rPr>
        <w:t>הערך החברתי שנפגע</w:t>
      </w:r>
    </w:p>
    <w:p w14:paraId="049E9A29" w14:textId="77777777" w:rsidR="00E51DD6" w:rsidRDefault="00E51DD6" w:rsidP="00E51DD6">
      <w:pPr>
        <w:spacing w:line="360" w:lineRule="auto"/>
        <w:jc w:val="both"/>
        <w:rPr>
          <w:rtl/>
        </w:rPr>
      </w:pPr>
    </w:p>
    <w:p w14:paraId="538CCDBE" w14:textId="77777777" w:rsidR="00E51DD6" w:rsidRDefault="00E51DD6" w:rsidP="00E51DD6">
      <w:pPr>
        <w:spacing w:line="360" w:lineRule="auto"/>
        <w:ind w:left="720" w:hanging="720"/>
        <w:jc w:val="both"/>
        <w:rPr>
          <w:rtl/>
        </w:rPr>
      </w:pPr>
      <w:r>
        <w:rPr>
          <w:rFonts w:hint="cs"/>
          <w:rtl/>
        </w:rPr>
        <w:t>11.</w:t>
      </w:r>
      <w:r>
        <w:rPr>
          <w:rFonts w:hint="cs"/>
          <w:rtl/>
        </w:rPr>
        <w:tab/>
        <w:t>במעשיו פגע הנאשם בערכים חברתיים בדמות השמירה על זכות הקניין של המתלונן באישום העיקרי, וכן שלמות גופם, ביטחונם ושלוות נפשם של השוטרים, כמו גם שמירה על בריאותו הפיזית והנפשית של הציבור מפני נזקיהם של הסמים המסוכנים – באישום שצורף.</w:t>
      </w:r>
    </w:p>
    <w:p w14:paraId="5BBDCA5D" w14:textId="77777777" w:rsidR="00E51DD6" w:rsidRDefault="00E51DD6" w:rsidP="00E51DD6">
      <w:pPr>
        <w:spacing w:line="360" w:lineRule="auto"/>
        <w:jc w:val="both"/>
        <w:rPr>
          <w:rtl/>
        </w:rPr>
      </w:pPr>
    </w:p>
    <w:p w14:paraId="1B09318C" w14:textId="77777777" w:rsidR="00E51DD6" w:rsidRDefault="00E51DD6" w:rsidP="00E51DD6">
      <w:pPr>
        <w:spacing w:line="360" w:lineRule="auto"/>
        <w:jc w:val="both"/>
        <w:rPr>
          <w:b/>
          <w:bCs/>
          <w:u w:val="single"/>
          <w:rtl/>
        </w:rPr>
      </w:pPr>
      <w:r>
        <w:rPr>
          <w:rFonts w:hint="cs"/>
          <w:b/>
          <w:bCs/>
          <w:u w:val="single"/>
          <w:rtl/>
        </w:rPr>
        <w:t>מדיניות הענישה הנהוגה ומתחם העונש ההולם</w:t>
      </w:r>
    </w:p>
    <w:p w14:paraId="4ABE8094" w14:textId="77777777" w:rsidR="00E51DD6" w:rsidRDefault="00E51DD6" w:rsidP="00E51DD6">
      <w:pPr>
        <w:spacing w:line="360" w:lineRule="auto"/>
        <w:jc w:val="both"/>
        <w:rPr>
          <w:rtl/>
        </w:rPr>
      </w:pPr>
    </w:p>
    <w:p w14:paraId="09579ADD" w14:textId="77777777" w:rsidR="00E51DD6" w:rsidRDefault="00E51DD6" w:rsidP="00E51DD6">
      <w:pPr>
        <w:spacing w:line="360" w:lineRule="auto"/>
        <w:ind w:left="720" w:hanging="720"/>
        <w:jc w:val="both"/>
        <w:rPr>
          <w:rtl/>
        </w:rPr>
      </w:pPr>
      <w:r>
        <w:rPr>
          <w:rFonts w:hint="cs"/>
          <w:rtl/>
        </w:rPr>
        <w:t>12.</w:t>
      </w:r>
      <w:r>
        <w:rPr>
          <w:rFonts w:hint="cs"/>
          <w:rtl/>
        </w:rPr>
        <w:tab/>
        <w:t>בחינת מדיניות הענישה הנהוגה בעבירות בהן הורשע הנאשם, מלמדת על פגיעה חמורה בערכים המוגנים, כשבאישום אחד הנאשם פורץ לבית עסק לאחר שניפץ שמשת דלת הכניסה וגונב כספים מהמקום ואילו באישום השני, תוקף שוטרים, מאיים עליהם איומים הנמצאים ברף הגבוה של החומרה ומפריע להם במילוי תפקידם וזאת כשנודע לו שייעצר משנמצאו ברשותו סמים מסוכנים.</w:t>
      </w:r>
    </w:p>
    <w:p w14:paraId="00DCD5BF" w14:textId="77777777" w:rsidR="00E51DD6" w:rsidRDefault="00E51DD6" w:rsidP="00E51DD6">
      <w:pPr>
        <w:spacing w:line="360" w:lineRule="auto"/>
        <w:ind w:left="720"/>
        <w:jc w:val="both"/>
        <w:rPr>
          <w:rtl/>
        </w:rPr>
      </w:pPr>
    </w:p>
    <w:p w14:paraId="3300C279" w14:textId="77777777" w:rsidR="00E51DD6" w:rsidRDefault="00E51DD6" w:rsidP="00E51DD6">
      <w:pPr>
        <w:spacing w:line="360" w:lineRule="auto"/>
        <w:ind w:left="720" w:hanging="720"/>
        <w:jc w:val="both"/>
      </w:pPr>
      <w:r>
        <w:rPr>
          <w:rFonts w:hint="cs"/>
          <w:rtl/>
        </w:rPr>
        <w:t>13.</w:t>
      </w:r>
      <w:r>
        <w:rPr>
          <w:rFonts w:hint="cs"/>
          <w:rtl/>
        </w:rPr>
        <w:tab/>
        <w:t>לעניין מתחמי העונש ההולמים, מקובלים עלי המתחמים שנקבע על כב' השופט ד"ר עמי קובו ב</w:t>
      </w:r>
      <w:hyperlink r:id="rId34" w:history="1">
        <w:r w:rsidR="00A428CF" w:rsidRPr="00A428CF">
          <w:rPr>
            <w:color w:val="0000FF"/>
            <w:u w:val="single"/>
            <w:rtl/>
          </w:rPr>
          <w:t>ת.פ. 30433-04-11</w:t>
        </w:r>
      </w:hyperlink>
      <w:r>
        <w:rPr>
          <w:rFonts w:hint="cs"/>
          <w:rtl/>
        </w:rPr>
        <w:t xml:space="preserve"> </w:t>
      </w:r>
      <w:r>
        <w:rPr>
          <w:rFonts w:hint="cs"/>
          <w:b/>
          <w:bCs/>
          <w:rtl/>
        </w:rPr>
        <w:t>מ"י נ' רמתי</w:t>
      </w:r>
      <w:r>
        <w:rPr>
          <w:rFonts w:hint="cs"/>
          <w:rtl/>
        </w:rPr>
        <w:t>, מיום 22.12.14 – שם דובר בתיק דומה בנסיבותיו, (מלבד העובדה כי לחובת הנאשם דשם מאסר על תנאי שהופעל). נקבע בגין אירוע התפרצות למקום שאינו מקום מגורים, גניבה והחזקת מכשירי פריצה מתחם עונש הולם הנע בין 5 ל-18 חודשי מאסר בפועל ואילו בגין תקיפת שוטרים, הפרעה לשוטרים והחזקת סמים והחזקת כלים להכנת סם, מתחם הנע בין מספר חודשי מאסר בפועל לריצוי בעבודות שירות ברף הנמוך, ל-12 חודשי מאסר בפועל.</w:t>
      </w:r>
      <w:r>
        <w:rPr>
          <w:rFonts w:hint="cs"/>
          <w:b/>
          <w:bCs/>
          <w:rtl/>
        </w:rPr>
        <w:t xml:space="preserve"> </w:t>
      </w:r>
      <w:r>
        <w:rPr>
          <w:rFonts w:hint="cs"/>
          <w:rtl/>
        </w:rPr>
        <w:t>שם הושתו על אותו נאשם 6 חודשי מאסר בפועל, הופעל מאסר על תנאי בן 6 חודשים בחופף ובמצטבר ובסה"כ 8 חודשי מאסר בפועל.</w:t>
      </w:r>
    </w:p>
    <w:p w14:paraId="3F317DBD" w14:textId="77777777" w:rsidR="00E51DD6" w:rsidRDefault="00E51DD6" w:rsidP="00E51DD6">
      <w:pPr>
        <w:spacing w:line="360" w:lineRule="auto"/>
        <w:ind w:left="720" w:hanging="720"/>
        <w:jc w:val="both"/>
        <w:rPr>
          <w:b/>
          <w:bCs/>
          <w:rtl/>
        </w:rPr>
      </w:pPr>
    </w:p>
    <w:p w14:paraId="68B1A292" w14:textId="77777777" w:rsidR="00E51DD6" w:rsidRDefault="00E51DD6" w:rsidP="00E51DD6">
      <w:pPr>
        <w:spacing w:line="360" w:lineRule="auto"/>
        <w:jc w:val="both"/>
        <w:rPr>
          <w:b/>
          <w:bCs/>
          <w:u w:val="single"/>
          <w:rtl/>
        </w:rPr>
      </w:pPr>
      <w:r>
        <w:rPr>
          <w:rFonts w:hint="cs"/>
          <w:b/>
          <w:bCs/>
          <w:u w:val="single"/>
          <w:rtl/>
        </w:rPr>
        <w:t>חריגה ממתחם העונש הראוי</w:t>
      </w:r>
    </w:p>
    <w:p w14:paraId="01B6BA92" w14:textId="77777777" w:rsidR="00E51DD6" w:rsidRDefault="00E51DD6" w:rsidP="00E51DD6">
      <w:pPr>
        <w:spacing w:line="360" w:lineRule="auto"/>
        <w:jc w:val="both"/>
        <w:rPr>
          <w:rtl/>
        </w:rPr>
      </w:pPr>
    </w:p>
    <w:p w14:paraId="5A202C5C" w14:textId="77777777" w:rsidR="00E51DD6" w:rsidRDefault="00E51DD6" w:rsidP="00E51DD6">
      <w:pPr>
        <w:spacing w:line="360" w:lineRule="auto"/>
        <w:ind w:left="720" w:hanging="720"/>
        <w:jc w:val="both"/>
        <w:rPr>
          <w:rtl/>
        </w:rPr>
      </w:pPr>
      <w:r>
        <w:rPr>
          <w:rFonts w:hint="cs"/>
          <w:rtl/>
        </w:rPr>
        <w:t>14.</w:t>
      </w:r>
      <w:r>
        <w:rPr>
          <w:rFonts w:hint="cs"/>
          <w:rtl/>
        </w:rPr>
        <w:tab/>
      </w:r>
      <w:hyperlink r:id="rId35" w:history="1">
        <w:r w:rsidR="00E628AA" w:rsidRPr="00E628AA">
          <w:rPr>
            <w:color w:val="0000FF"/>
            <w:u w:val="single"/>
            <w:rtl/>
          </w:rPr>
          <w:t>סעיף 40ד(א)</w:t>
        </w:r>
      </w:hyperlink>
      <w:r>
        <w:rPr>
          <w:rFonts w:hint="cs"/>
          <w:rtl/>
        </w:rPr>
        <w:t xml:space="preserve"> בחוק קובע כי חריגה ממתחם העונש ההולם תהא אך אם בית-המשפט מצא כי הנאשם השתקם או כי יש סיכוי של ממש שישתקם.</w:t>
      </w:r>
    </w:p>
    <w:p w14:paraId="1F529D8B" w14:textId="77777777" w:rsidR="00E51DD6" w:rsidRDefault="00E51DD6" w:rsidP="00E51DD6">
      <w:pPr>
        <w:spacing w:line="360" w:lineRule="auto"/>
        <w:ind w:left="720" w:hanging="720"/>
        <w:jc w:val="both"/>
        <w:rPr>
          <w:rtl/>
        </w:rPr>
      </w:pPr>
      <w:r>
        <w:rPr>
          <w:rFonts w:hint="cs"/>
          <w:rtl/>
        </w:rPr>
        <w:tab/>
        <w:t>במקרה שבפניי לא מדובר בנאשם שהשתקם, אם כי יש ניצוץ שיקומי שבא לידי ביטוי בבדיקה שנעשתה לו בשירות המבחן ונמצאה נקייה משרידי סמים. אך אין די בניצוץ שיקומי זה על מנת לחרוג ממתחם העונש ההולם.</w:t>
      </w:r>
    </w:p>
    <w:p w14:paraId="3F7298FD" w14:textId="77777777" w:rsidR="00E51DD6" w:rsidRDefault="00E51DD6" w:rsidP="00E51DD6">
      <w:pPr>
        <w:spacing w:line="360" w:lineRule="auto"/>
        <w:jc w:val="both"/>
        <w:rPr>
          <w:rtl/>
        </w:rPr>
      </w:pPr>
    </w:p>
    <w:p w14:paraId="2A64044B" w14:textId="77777777" w:rsidR="00E51DD6" w:rsidRDefault="00E51DD6" w:rsidP="00E51DD6">
      <w:pPr>
        <w:spacing w:line="360" w:lineRule="auto"/>
        <w:jc w:val="both"/>
        <w:rPr>
          <w:b/>
          <w:bCs/>
          <w:u w:val="single"/>
          <w:rtl/>
        </w:rPr>
      </w:pPr>
      <w:r>
        <w:rPr>
          <w:rFonts w:hint="cs"/>
          <w:b/>
          <w:bCs/>
          <w:u w:val="single"/>
          <w:rtl/>
        </w:rPr>
        <w:t>נסיבות הקשורות בביצוע העבירות</w:t>
      </w:r>
    </w:p>
    <w:p w14:paraId="5A0577AD" w14:textId="77777777" w:rsidR="00E51DD6" w:rsidRDefault="00E51DD6" w:rsidP="00E51DD6">
      <w:pPr>
        <w:spacing w:line="360" w:lineRule="auto"/>
        <w:jc w:val="both"/>
        <w:rPr>
          <w:rtl/>
        </w:rPr>
      </w:pPr>
    </w:p>
    <w:p w14:paraId="1ECD1E29" w14:textId="77777777" w:rsidR="00E51DD6" w:rsidRDefault="00E51DD6" w:rsidP="00E51DD6">
      <w:pPr>
        <w:spacing w:line="360" w:lineRule="auto"/>
        <w:jc w:val="both"/>
        <w:rPr>
          <w:rtl/>
        </w:rPr>
      </w:pPr>
      <w:r>
        <w:rPr>
          <w:rFonts w:hint="cs"/>
          <w:rtl/>
        </w:rPr>
        <w:t>15.</w:t>
      </w:r>
      <w:r>
        <w:rPr>
          <w:rFonts w:hint="cs"/>
          <w:rtl/>
        </w:rPr>
        <w:tab/>
        <w:t>במסגרת הנסיבות הקשורות לביצוע העבירות יש לקחת בחשבון את קיום הנסיבות הבאות:</w:t>
      </w:r>
    </w:p>
    <w:p w14:paraId="3E0ADD77" w14:textId="77777777" w:rsidR="00E51DD6" w:rsidRDefault="00E51DD6" w:rsidP="00E51DD6">
      <w:pPr>
        <w:spacing w:line="360" w:lineRule="auto"/>
        <w:ind w:left="720"/>
        <w:jc w:val="both"/>
        <w:rPr>
          <w:rtl/>
        </w:rPr>
      </w:pPr>
      <w:r>
        <w:rPr>
          <w:rFonts w:hint="cs"/>
          <w:b/>
          <w:bCs/>
          <w:rtl/>
        </w:rPr>
        <w:t xml:space="preserve">התכנון שקדם לביצוע העבירות; </w:t>
      </w:r>
      <w:r>
        <w:rPr>
          <w:rFonts w:hint="cs"/>
          <w:rtl/>
        </w:rPr>
        <w:t>באישום נשוא הגניבה וההתפרצות, נראה כי הנאשם תכנן במידה מסוימת את מעשיו ובאשר לאישום הנוסף, מדובר באירוע ספונטני שהתפתח ולא קדם לו תכנון.</w:t>
      </w:r>
    </w:p>
    <w:p w14:paraId="41DEFE83" w14:textId="77777777" w:rsidR="00E51DD6" w:rsidRDefault="00E51DD6" w:rsidP="00E51DD6">
      <w:pPr>
        <w:spacing w:line="360" w:lineRule="auto"/>
        <w:ind w:left="720"/>
        <w:jc w:val="both"/>
        <w:rPr>
          <w:rtl/>
        </w:rPr>
      </w:pPr>
      <w:r>
        <w:rPr>
          <w:rFonts w:hint="cs"/>
          <w:b/>
          <w:bCs/>
          <w:rtl/>
        </w:rPr>
        <w:t xml:space="preserve">חלקו היחסי של הנאשם בביצוע העבירות; </w:t>
      </w:r>
      <w:r>
        <w:rPr>
          <w:rFonts w:hint="cs"/>
          <w:rtl/>
        </w:rPr>
        <w:t xml:space="preserve">הינו עיקרי. </w:t>
      </w:r>
    </w:p>
    <w:p w14:paraId="22D6D117" w14:textId="77777777" w:rsidR="00E51DD6" w:rsidRDefault="00E51DD6" w:rsidP="00E51DD6">
      <w:pPr>
        <w:spacing w:line="360" w:lineRule="auto"/>
        <w:ind w:left="720"/>
        <w:jc w:val="both"/>
        <w:rPr>
          <w:rtl/>
        </w:rPr>
      </w:pPr>
      <w:r>
        <w:rPr>
          <w:rFonts w:hint="cs"/>
          <w:b/>
          <w:bCs/>
          <w:rtl/>
        </w:rPr>
        <w:t xml:space="preserve">הנזק שנגרם מביצוע העבירות; </w:t>
      </w:r>
      <w:r>
        <w:rPr>
          <w:rFonts w:hint="cs"/>
          <w:rtl/>
        </w:rPr>
        <w:t>הנאשם פגע בקניינו ובתחושת בטחונו של המתלונן בתיק העיקרי ופגע בשלמות גופם של השוטרים.</w:t>
      </w:r>
    </w:p>
    <w:p w14:paraId="26202F9B" w14:textId="77777777" w:rsidR="00E51DD6" w:rsidRDefault="00E51DD6" w:rsidP="00E51DD6">
      <w:pPr>
        <w:spacing w:line="360" w:lineRule="auto"/>
        <w:ind w:left="720"/>
        <w:jc w:val="both"/>
        <w:rPr>
          <w:rtl/>
        </w:rPr>
      </w:pPr>
      <w:r>
        <w:rPr>
          <w:rFonts w:hint="cs"/>
          <w:b/>
          <w:bCs/>
          <w:rtl/>
        </w:rPr>
        <w:t xml:space="preserve">הסיבות שהביאו את הנאשם לבצע את העבירות; </w:t>
      </w:r>
      <w:r>
        <w:rPr>
          <w:rFonts w:hint="cs"/>
          <w:rtl/>
        </w:rPr>
        <w:t>נטען על ידי ההגנה כי הנאשם ביצע את העבירות כלפי השוטרים כהתנגדות למעצרו.</w:t>
      </w:r>
    </w:p>
    <w:p w14:paraId="3BCF1564" w14:textId="77777777" w:rsidR="00E51DD6" w:rsidRDefault="00E51DD6" w:rsidP="00E51DD6">
      <w:pPr>
        <w:spacing w:line="360" w:lineRule="auto"/>
        <w:ind w:left="720"/>
        <w:jc w:val="both"/>
        <w:rPr>
          <w:b/>
          <w:bCs/>
          <w:rtl/>
        </w:rPr>
      </w:pPr>
      <w:r>
        <w:rPr>
          <w:rFonts w:hint="cs"/>
          <w:rtl/>
        </w:rPr>
        <w:t>לא נגרעה</w:t>
      </w:r>
      <w:r>
        <w:rPr>
          <w:rFonts w:hint="cs"/>
          <w:b/>
          <w:bCs/>
          <w:rtl/>
        </w:rPr>
        <w:t xml:space="preserve"> יכולתו של הנאשם להבין את אשר הוא עושה, את הפסול שבמעשהו או את משמעות מעשהו, הוא אינו קרוב לסייג לאחריות הפלילית והיה יכול להימנע מהמעשה עליו הייתה לו שליטה מלאה. </w:t>
      </w:r>
    </w:p>
    <w:p w14:paraId="12746D21" w14:textId="77777777" w:rsidR="00E51DD6" w:rsidRDefault="00E51DD6" w:rsidP="00E51DD6">
      <w:pPr>
        <w:spacing w:line="360" w:lineRule="auto"/>
        <w:jc w:val="both"/>
        <w:rPr>
          <w:rtl/>
        </w:rPr>
      </w:pPr>
    </w:p>
    <w:p w14:paraId="178B4FA0" w14:textId="77777777" w:rsidR="00E51DD6" w:rsidRDefault="00E51DD6" w:rsidP="00E51DD6">
      <w:pPr>
        <w:spacing w:line="360" w:lineRule="auto"/>
        <w:jc w:val="both"/>
        <w:rPr>
          <w:rtl/>
        </w:rPr>
      </w:pPr>
    </w:p>
    <w:p w14:paraId="567A6F49" w14:textId="77777777" w:rsidR="00E51DD6" w:rsidRDefault="00E51DD6" w:rsidP="00E51DD6">
      <w:pPr>
        <w:spacing w:line="360" w:lineRule="auto"/>
        <w:jc w:val="both"/>
        <w:rPr>
          <w:rtl/>
        </w:rPr>
      </w:pPr>
    </w:p>
    <w:p w14:paraId="320C2C45" w14:textId="77777777" w:rsidR="00E51DD6" w:rsidRDefault="00E51DD6" w:rsidP="00E51DD6">
      <w:pPr>
        <w:spacing w:line="360" w:lineRule="auto"/>
        <w:jc w:val="both"/>
        <w:rPr>
          <w:rtl/>
        </w:rPr>
      </w:pPr>
      <w:r>
        <w:rPr>
          <w:rFonts w:hint="cs"/>
          <w:rtl/>
        </w:rPr>
        <w:tab/>
      </w:r>
      <w:r>
        <w:rPr>
          <w:rFonts w:hint="cs"/>
          <w:rtl/>
        </w:rPr>
        <w:tab/>
      </w:r>
      <w:r>
        <w:rPr>
          <w:rFonts w:hint="cs"/>
          <w:rtl/>
        </w:rPr>
        <w:tab/>
      </w:r>
    </w:p>
    <w:p w14:paraId="180B2A5C" w14:textId="77777777" w:rsidR="00E51DD6" w:rsidRDefault="00E51DD6" w:rsidP="00E51DD6">
      <w:pPr>
        <w:spacing w:line="360" w:lineRule="auto"/>
        <w:jc w:val="both"/>
        <w:rPr>
          <w:b/>
          <w:bCs/>
          <w:u w:val="single"/>
          <w:rtl/>
        </w:rPr>
      </w:pPr>
      <w:r>
        <w:rPr>
          <w:rFonts w:hint="cs"/>
          <w:b/>
          <w:bCs/>
          <w:u w:val="single"/>
          <w:rtl/>
        </w:rPr>
        <w:t>נסיבות שאינן קשורות בביצוע העבירות</w:t>
      </w:r>
    </w:p>
    <w:p w14:paraId="7F64D659" w14:textId="77777777" w:rsidR="00E51DD6" w:rsidRDefault="00E51DD6" w:rsidP="00E51DD6">
      <w:pPr>
        <w:spacing w:line="360" w:lineRule="auto"/>
        <w:jc w:val="both"/>
        <w:rPr>
          <w:rtl/>
        </w:rPr>
      </w:pPr>
    </w:p>
    <w:p w14:paraId="5A8006BF" w14:textId="77777777" w:rsidR="00E51DD6" w:rsidRDefault="00E51DD6" w:rsidP="00E51DD6">
      <w:pPr>
        <w:spacing w:line="360" w:lineRule="auto"/>
        <w:ind w:left="720" w:hanging="720"/>
        <w:jc w:val="both"/>
        <w:rPr>
          <w:b/>
          <w:bCs/>
          <w:rtl/>
        </w:rPr>
      </w:pPr>
      <w:r>
        <w:rPr>
          <w:rFonts w:hint="cs"/>
          <w:rtl/>
        </w:rPr>
        <w:t>16.</w:t>
      </w:r>
      <w:r>
        <w:rPr>
          <w:rFonts w:hint="cs"/>
          <w:rtl/>
        </w:rPr>
        <w:tab/>
        <w:t xml:space="preserve">כמצווה על בית המשפט </w:t>
      </w:r>
      <w:hyperlink r:id="rId36" w:history="1">
        <w:r w:rsidR="00E628AA" w:rsidRPr="00E628AA">
          <w:rPr>
            <w:color w:val="0000FF"/>
            <w:u w:val="single"/>
            <w:rtl/>
          </w:rPr>
          <w:t>בסעיף 40יא</w:t>
        </w:r>
      </w:hyperlink>
      <w:r>
        <w:rPr>
          <w:rFonts w:hint="cs"/>
          <w:rtl/>
        </w:rPr>
        <w:t xml:space="preserve"> בחוק יש לקחת בחשבון, בעת ענישת הנאשם, את נסיבותיו האישיות אשר אינן קשורות בביצוע העבירה. במקרה דנן נסיבות אלו נלמדות מטיעוני ההגנה, מתסקיר שירות המבחן ומדברי הנאשם.</w:t>
      </w:r>
    </w:p>
    <w:p w14:paraId="7C8FB54F" w14:textId="77777777" w:rsidR="00E51DD6" w:rsidRDefault="00E51DD6" w:rsidP="00E51DD6">
      <w:pPr>
        <w:spacing w:line="360" w:lineRule="auto"/>
        <w:ind w:left="720"/>
        <w:jc w:val="both"/>
        <w:rPr>
          <w:b/>
          <w:bCs/>
          <w:rtl/>
        </w:rPr>
      </w:pPr>
      <w:r>
        <w:rPr>
          <w:rFonts w:hint="cs"/>
          <w:rtl/>
        </w:rPr>
        <w:t>מדובר בנאשם צעיר, בן 23, פרוד ונמצא בהליכי גירושין, לחובתו 3 הרשעות קודמות בעבירות סמים ואלימות כלפי שוטרים והוא ריצה בעבר 6 חודשי מאסר בפועל.</w:t>
      </w:r>
    </w:p>
    <w:p w14:paraId="302B956E" w14:textId="77777777" w:rsidR="00E51DD6" w:rsidRDefault="00E51DD6" w:rsidP="00E51DD6">
      <w:pPr>
        <w:spacing w:line="360" w:lineRule="auto"/>
        <w:ind w:left="720"/>
        <w:jc w:val="both"/>
        <w:rPr>
          <w:rtl/>
        </w:rPr>
      </w:pPr>
      <w:r>
        <w:rPr>
          <w:rFonts w:hint="cs"/>
          <w:rtl/>
        </w:rPr>
        <w:t>הנאשם הודה במיוחס לו בכתב האישום וצירף תיק נוסף מבית משפט אחר, הוא הביע צער על מעשיו, אך לא קיבל אחריות מלאה על ביצועם.</w:t>
      </w:r>
    </w:p>
    <w:p w14:paraId="13106F03" w14:textId="77777777" w:rsidR="00E51DD6" w:rsidRDefault="00E51DD6" w:rsidP="00E51DD6">
      <w:pPr>
        <w:spacing w:line="360" w:lineRule="auto"/>
        <w:ind w:left="720"/>
        <w:jc w:val="both"/>
        <w:rPr>
          <w:rtl/>
        </w:rPr>
      </w:pPr>
      <w:r>
        <w:rPr>
          <w:rFonts w:hint="cs"/>
          <w:rtl/>
        </w:rPr>
        <w:t>מאז ביצוע העבירות עברו למעלה מ-4 שנים, אך אין לזקוף את חלוף הזמן לזכותו של הנאשם, שלא התייצב למספר דיונים וסיום התיק התאפשר לאחר מעצרו בצו הבאה.</w:t>
      </w:r>
    </w:p>
    <w:p w14:paraId="787F7597" w14:textId="77777777" w:rsidR="00E51DD6" w:rsidRDefault="00E51DD6" w:rsidP="00E51DD6">
      <w:pPr>
        <w:spacing w:line="360" w:lineRule="auto"/>
        <w:ind w:left="720"/>
        <w:jc w:val="both"/>
        <w:rPr>
          <w:rtl/>
        </w:rPr>
      </w:pPr>
      <w:r>
        <w:rPr>
          <w:rFonts w:hint="cs"/>
          <w:rtl/>
        </w:rPr>
        <w:t>יחד עם זאת לנאשם נסיבות חיים קשות מאוד, שבוודאי הייתה להן השפעה על כניסתו לעולם הסמים מגיל צעיר מאוד וכך גם על ביצוע העבירות.</w:t>
      </w:r>
    </w:p>
    <w:p w14:paraId="4CCF2834" w14:textId="77777777" w:rsidR="00E51DD6" w:rsidRDefault="00E51DD6" w:rsidP="00E51DD6">
      <w:pPr>
        <w:spacing w:line="360" w:lineRule="auto"/>
        <w:ind w:left="720"/>
        <w:jc w:val="both"/>
        <w:rPr>
          <w:rtl/>
        </w:rPr>
      </w:pPr>
    </w:p>
    <w:p w14:paraId="42462097" w14:textId="77777777" w:rsidR="00E51DD6" w:rsidRDefault="00E51DD6" w:rsidP="00E51DD6">
      <w:pPr>
        <w:spacing w:line="360" w:lineRule="auto"/>
        <w:jc w:val="both"/>
        <w:rPr>
          <w:rtl/>
        </w:rPr>
      </w:pPr>
      <w:r>
        <w:rPr>
          <w:rFonts w:hint="cs"/>
          <w:rtl/>
        </w:rPr>
        <w:t>17.</w:t>
      </w:r>
      <w:r>
        <w:rPr>
          <w:rFonts w:hint="cs"/>
          <w:rtl/>
        </w:rPr>
        <w:tab/>
        <w:t>לאור האמור לעיל הנני משיתה על הנאשם את העונשים הבאים:</w:t>
      </w:r>
    </w:p>
    <w:p w14:paraId="175D288F" w14:textId="77777777" w:rsidR="00E51DD6" w:rsidRDefault="00E51DD6" w:rsidP="00E51DD6">
      <w:pPr>
        <w:numPr>
          <w:ilvl w:val="0"/>
          <w:numId w:val="1"/>
        </w:numPr>
        <w:spacing w:line="360" w:lineRule="auto"/>
        <w:jc w:val="both"/>
        <w:rPr>
          <w:rtl/>
        </w:rPr>
      </w:pPr>
      <w:r>
        <w:rPr>
          <w:rFonts w:hint="cs"/>
          <w:rtl/>
        </w:rPr>
        <w:t>מאסר בפועל למשך 8 חודשים מהיום  בניכוי ימי מעצרו כפי רישומי שב"ס.</w:t>
      </w:r>
    </w:p>
    <w:p w14:paraId="6BE9B869" w14:textId="77777777" w:rsidR="00E51DD6" w:rsidRDefault="00E51DD6" w:rsidP="00E51DD6">
      <w:pPr>
        <w:numPr>
          <w:ilvl w:val="0"/>
          <w:numId w:val="1"/>
        </w:numPr>
        <w:spacing w:line="360" w:lineRule="auto"/>
        <w:jc w:val="both"/>
        <w:rPr>
          <w:rtl/>
        </w:rPr>
      </w:pPr>
      <w:r>
        <w:rPr>
          <w:rFonts w:hint="cs"/>
          <w:rtl/>
        </w:rPr>
        <w:t>מאסר על תנאי למשך  6 חודשים והנאשם לא יישא עונש זה אלא אם יעבור בתוך 3 שנים מיום שחרורו מהמאסר עבירות בהן הורשע.</w:t>
      </w:r>
    </w:p>
    <w:p w14:paraId="00547269" w14:textId="77777777" w:rsidR="00E51DD6" w:rsidRDefault="00E51DD6" w:rsidP="00E51DD6">
      <w:pPr>
        <w:numPr>
          <w:ilvl w:val="0"/>
          <w:numId w:val="1"/>
        </w:numPr>
        <w:spacing w:line="360" w:lineRule="auto"/>
        <w:jc w:val="both"/>
        <w:rPr>
          <w:rtl/>
        </w:rPr>
      </w:pPr>
      <w:r>
        <w:rPr>
          <w:rFonts w:hint="cs"/>
          <w:rtl/>
        </w:rPr>
        <w:t>קנס כספי בסך 2000 ₪ או 20 ימי מאסר תמורתו.</w:t>
      </w:r>
    </w:p>
    <w:p w14:paraId="42B5C6BD" w14:textId="77777777" w:rsidR="00E51DD6" w:rsidRDefault="00E51DD6" w:rsidP="00E51DD6">
      <w:pPr>
        <w:spacing w:line="360" w:lineRule="auto"/>
        <w:ind w:left="1210"/>
        <w:jc w:val="both"/>
        <w:rPr>
          <w:rtl/>
        </w:rPr>
      </w:pPr>
      <w:r>
        <w:rPr>
          <w:rFonts w:hint="cs"/>
          <w:rtl/>
        </w:rPr>
        <w:t>הקנס ישולם מתוך ההפקדה שהופקדה במסגרת צו הבאה. סך של 2000 ₪ שהופקד ב</w:t>
      </w:r>
      <w:hyperlink r:id="rId37" w:history="1">
        <w:r w:rsidR="00A428CF" w:rsidRPr="00A428CF">
          <w:rPr>
            <w:color w:val="0000FF"/>
            <w:u w:val="single"/>
            <w:rtl/>
          </w:rPr>
          <w:t>ת.פ. 3819-08-12</w:t>
        </w:r>
      </w:hyperlink>
      <w:r>
        <w:rPr>
          <w:rFonts w:hint="cs"/>
          <w:rtl/>
        </w:rPr>
        <w:t xml:space="preserve"> יוחזר למפקיד.</w:t>
      </w:r>
      <w:r>
        <w:rPr>
          <w:rFonts w:hint="cs"/>
          <w:rtl/>
        </w:rPr>
        <w:tab/>
      </w:r>
    </w:p>
    <w:p w14:paraId="52961B06" w14:textId="77777777" w:rsidR="00E51DD6" w:rsidRDefault="00E51DD6" w:rsidP="00E51DD6">
      <w:pPr>
        <w:spacing w:line="360" w:lineRule="auto"/>
        <w:jc w:val="both"/>
        <w:rPr>
          <w:rtl/>
        </w:rPr>
      </w:pPr>
    </w:p>
    <w:p w14:paraId="63979FA7" w14:textId="77777777" w:rsidR="00E51DD6" w:rsidRDefault="00E51DD6" w:rsidP="00E51DD6">
      <w:pPr>
        <w:spacing w:line="360" w:lineRule="auto"/>
        <w:jc w:val="both"/>
        <w:rPr>
          <w:rtl/>
        </w:rPr>
      </w:pPr>
      <w:r w:rsidRPr="001B5AE1">
        <w:rPr>
          <w:rFonts w:hint="cs"/>
          <w:b/>
          <w:bCs/>
          <w:u w:val="single"/>
          <w:rtl/>
        </w:rPr>
        <w:t>מוצגים</w:t>
      </w:r>
      <w:r>
        <w:rPr>
          <w:rFonts w:hint="cs"/>
          <w:rtl/>
        </w:rPr>
        <w:t xml:space="preserve"> – סמים יושמדו, שאר המוצגים יוחזרו לבעלים ובהעדרם יחולטו או יושמדו לפי החלטת קצין ממונה.</w:t>
      </w:r>
    </w:p>
    <w:p w14:paraId="4AD4A7C7" w14:textId="77777777" w:rsidR="00E51DD6" w:rsidRDefault="00E51DD6" w:rsidP="00E51DD6">
      <w:pPr>
        <w:spacing w:line="360" w:lineRule="auto"/>
        <w:jc w:val="both"/>
        <w:rPr>
          <w:rFonts w:cs="FrankRuehl"/>
          <w:sz w:val="28"/>
          <w:szCs w:val="28"/>
          <w:rtl/>
        </w:rPr>
      </w:pPr>
      <w:r>
        <w:rPr>
          <w:rFonts w:hint="cs"/>
          <w:b/>
          <w:bCs/>
          <w:u w:val="single"/>
          <w:rtl/>
        </w:rPr>
        <w:t>זכות ערעור תוך 45 יום מהיום</w:t>
      </w:r>
    </w:p>
    <w:p w14:paraId="5B355C87" w14:textId="77777777" w:rsidR="00E51DD6" w:rsidRDefault="00E51DD6" w:rsidP="00E51DD6">
      <w:pPr>
        <w:pStyle w:val="David"/>
        <w:rPr>
          <w:rFonts w:ascii="David" w:hAnsi="David"/>
          <w:sz w:val="6"/>
          <w:szCs w:val="6"/>
          <w:rtl/>
        </w:rPr>
      </w:pPr>
      <w:r>
        <w:rPr>
          <w:rFonts w:ascii="David" w:hAnsi="David"/>
          <w:sz w:val="6"/>
          <w:szCs w:val="6"/>
          <w:rtl/>
        </w:rPr>
        <w:t>&lt;#4#&gt;</w:t>
      </w:r>
    </w:p>
    <w:p w14:paraId="292B7BB7" w14:textId="77777777" w:rsidR="00E51DD6" w:rsidRDefault="00E51DD6" w:rsidP="00E51DD6">
      <w:pPr>
        <w:jc w:val="right"/>
        <w:rPr>
          <w:rtl/>
        </w:rPr>
      </w:pPr>
    </w:p>
    <w:p w14:paraId="0435D8B3" w14:textId="77777777" w:rsidR="00E51DD6" w:rsidRDefault="00A428CF" w:rsidP="00E51DD6">
      <w:pPr>
        <w:jc w:val="center"/>
        <w:rPr>
          <w:rtl/>
        </w:rPr>
      </w:pPr>
      <w:r w:rsidRPr="00A428CF">
        <w:rPr>
          <w:b/>
          <w:bCs/>
          <w:color w:val="FFFFFF"/>
          <w:sz w:val="2"/>
          <w:szCs w:val="2"/>
          <w:rtl/>
        </w:rPr>
        <w:t>5129371</w:t>
      </w:r>
      <w:r>
        <w:rPr>
          <w:b/>
          <w:bCs/>
          <w:rtl/>
        </w:rPr>
        <w:t xml:space="preserve">ניתנה והודעה היום ח' אדר א' תשע"ו, 17/02/2016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E51DD6" w14:paraId="319968BF" w14:textId="77777777">
        <w:trPr>
          <w:trHeight w:val="364"/>
          <w:jc w:val="right"/>
        </w:trPr>
        <w:tc>
          <w:tcPr>
            <w:tcW w:w="3708" w:type="dxa"/>
            <w:shd w:val="clear" w:color="auto" w:fill="auto"/>
          </w:tcPr>
          <w:p w14:paraId="20C70DDE" w14:textId="77777777" w:rsidR="00E51DD6" w:rsidRPr="00A428CF" w:rsidRDefault="00A428CF" w:rsidP="00A428CF">
            <w:pPr>
              <w:jc w:val="center"/>
              <w:rPr>
                <w:rFonts w:ascii="Times New Roman" w:eastAsia="Times New Roman" w:hAnsi="Times New Roman" w:cs="Times New Roman"/>
                <w:color w:val="FFFFFF"/>
                <w:sz w:val="2"/>
                <w:szCs w:val="2"/>
              </w:rPr>
            </w:pPr>
            <w:r w:rsidRPr="00A428CF">
              <w:rPr>
                <w:rFonts w:ascii="Times New Roman" w:eastAsia="Times New Roman" w:hAnsi="Times New Roman" w:cs="Times New Roman"/>
                <w:color w:val="FFFFFF"/>
                <w:sz w:val="2"/>
                <w:szCs w:val="2"/>
                <w:rtl/>
              </w:rPr>
              <w:t>54678313</w:t>
            </w:r>
          </w:p>
          <w:p w14:paraId="0F6BB207" w14:textId="77777777" w:rsidR="00E51DD6" w:rsidRPr="00C946D8" w:rsidRDefault="00E51DD6" w:rsidP="00A428CF">
            <w:pPr>
              <w:jc w:val="center"/>
              <w:rPr>
                <w:rFonts w:ascii="Times New Roman" w:eastAsia="Times New Roman" w:hAnsi="Times New Roman" w:cs="Times New Roman"/>
                <w:rtl/>
              </w:rPr>
            </w:pPr>
          </w:p>
        </w:tc>
      </w:tr>
      <w:tr w:rsidR="00E51DD6" w14:paraId="6A9C73A8" w14:textId="77777777">
        <w:trPr>
          <w:trHeight w:val="415"/>
          <w:jc w:val="right"/>
        </w:trPr>
        <w:tc>
          <w:tcPr>
            <w:tcW w:w="3708" w:type="dxa"/>
            <w:shd w:val="clear" w:color="auto" w:fill="auto"/>
          </w:tcPr>
          <w:p w14:paraId="655435AF" w14:textId="77777777" w:rsidR="00E51DD6" w:rsidRPr="00C946D8" w:rsidRDefault="00E51DD6" w:rsidP="00A428CF">
            <w:pPr>
              <w:jc w:val="center"/>
              <w:rPr>
                <w:rFonts w:ascii="Times New Roman" w:eastAsia="Times New Roman" w:hAnsi="Times New Roman"/>
                <w:b/>
                <w:bCs/>
                <w:rtl/>
              </w:rPr>
            </w:pPr>
            <w:r w:rsidRPr="00C946D8">
              <w:rPr>
                <w:rFonts w:ascii="Times New Roman" w:eastAsia="Times New Roman" w:hAnsi="Times New Roman" w:hint="cs"/>
                <w:b/>
                <w:bCs/>
                <w:rtl/>
              </w:rPr>
              <w:t>איטה נחמן, שופטת בכירה</w:t>
            </w:r>
          </w:p>
        </w:tc>
      </w:tr>
    </w:tbl>
    <w:p w14:paraId="0F0DE241" w14:textId="77777777" w:rsidR="00E51DD6" w:rsidRPr="00BD33B1" w:rsidRDefault="00E51DD6" w:rsidP="00E51DD6">
      <w:pPr>
        <w:rPr>
          <w:rtl/>
        </w:rPr>
      </w:pPr>
      <w:r>
        <w:rPr>
          <w:rtl/>
        </w:rPr>
        <w:t xml:space="preserve"> </w:t>
      </w:r>
    </w:p>
    <w:p w14:paraId="22AD9282" w14:textId="77777777" w:rsidR="00E51DD6" w:rsidRDefault="00E51DD6" w:rsidP="00E51DD6">
      <w:r>
        <w:rPr>
          <w:rtl/>
        </w:rPr>
        <w:t>הוקלד</w:t>
      </w:r>
      <w:r>
        <w:t xml:space="preserve"> </w:t>
      </w:r>
      <w:r>
        <w:rPr>
          <w:rtl/>
        </w:rPr>
        <w:t>על</w:t>
      </w:r>
      <w:r>
        <w:t xml:space="preserve"> </w:t>
      </w:r>
      <w:r>
        <w:rPr>
          <w:rtl/>
        </w:rPr>
        <w:t>ידי</w:t>
      </w:r>
      <w:r>
        <w:t xml:space="preserve"> </w:t>
      </w:r>
      <w:r>
        <w:rPr>
          <w:rtl/>
        </w:rPr>
        <w:t>סופיה</w:t>
      </w:r>
      <w:r>
        <w:t xml:space="preserve"> </w:t>
      </w:r>
      <w:r>
        <w:rPr>
          <w:rtl/>
        </w:rPr>
        <w:t>עטיה</w:t>
      </w:r>
    </w:p>
    <w:p w14:paraId="77DA5639" w14:textId="77777777" w:rsidR="00A428CF" w:rsidRPr="00A428CF" w:rsidRDefault="00A428CF" w:rsidP="00A428CF">
      <w:pPr>
        <w:keepNext/>
        <w:rPr>
          <w:color w:val="000000"/>
          <w:sz w:val="22"/>
          <w:szCs w:val="22"/>
          <w:rtl/>
        </w:rPr>
      </w:pPr>
    </w:p>
    <w:p w14:paraId="0E2AB01D" w14:textId="77777777" w:rsidR="00A428CF" w:rsidRPr="00A428CF" w:rsidRDefault="00A428CF" w:rsidP="00A428CF">
      <w:pPr>
        <w:keepNext/>
        <w:rPr>
          <w:color w:val="000000"/>
          <w:sz w:val="22"/>
          <w:szCs w:val="22"/>
          <w:rtl/>
        </w:rPr>
      </w:pPr>
      <w:r w:rsidRPr="00A428CF">
        <w:rPr>
          <w:color w:val="000000"/>
          <w:sz w:val="22"/>
          <w:szCs w:val="22"/>
          <w:rtl/>
        </w:rPr>
        <w:t>איטה נחמן 54678313</w:t>
      </w:r>
    </w:p>
    <w:p w14:paraId="16B2EF20" w14:textId="77777777" w:rsidR="00A428CF" w:rsidRDefault="00A428CF" w:rsidP="00A428CF">
      <w:r w:rsidRPr="00A428CF">
        <w:rPr>
          <w:color w:val="000000"/>
          <w:rtl/>
        </w:rPr>
        <w:t>נוסח מסמך זה כפוף לשינויי ניסוח ועריכה</w:t>
      </w:r>
    </w:p>
    <w:p w14:paraId="698C6701" w14:textId="77777777" w:rsidR="00A428CF" w:rsidRDefault="00A428CF" w:rsidP="00A428CF">
      <w:pPr>
        <w:rPr>
          <w:rtl/>
        </w:rPr>
      </w:pPr>
    </w:p>
    <w:p w14:paraId="4A587D09" w14:textId="77777777" w:rsidR="00A428CF" w:rsidRDefault="00A428CF" w:rsidP="00A428CF">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r w:rsidR="000D155F">
        <w:rPr>
          <w:rFonts w:hint="cs"/>
          <w:color w:val="0000FF"/>
          <w:u w:val="single"/>
          <w:rtl/>
        </w:rPr>
        <w:t xml:space="preserve"> </w:t>
      </w:r>
    </w:p>
    <w:p w14:paraId="3FC19CC9" w14:textId="77777777" w:rsidR="00B1215F" w:rsidRPr="00A428CF" w:rsidRDefault="00B1215F" w:rsidP="00A428CF">
      <w:pPr>
        <w:jc w:val="center"/>
        <w:rPr>
          <w:color w:val="0000FF"/>
          <w:u w:val="single"/>
        </w:rPr>
      </w:pPr>
    </w:p>
    <w:sectPr w:rsidR="00B1215F" w:rsidRPr="00A428CF" w:rsidSect="00A428CF">
      <w:headerReference w:type="even" r:id="rId39"/>
      <w:headerReference w:type="default" r:id="rId40"/>
      <w:footerReference w:type="even" r:id="rId41"/>
      <w:footerReference w:type="default" r:id="rId4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0F183" w14:textId="77777777" w:rsidR="000B5A43" w:rsidRDefault="000B5A43">
      <w:r>
        <w:separator/>
      </w:r>
    </w:p>
  </w:endnote>
  <w:endnote w:type="continuationSeparator" w:id="0">
    <w:p w14:paraId="631A950A" w14:textId="77777777" w:rsidR="000B5A43" w:rsidRDefault="000B5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F090E" w14:textId="77777777" w:rsidR="00400CC6" w:rsidRDefault="00400CC6" w:rsidP="00A428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25</w:t>
    </w:r>
    <w:r>
      <w:rPr>
        <w:rFonts w:ascii="FrankRuehl" w:hAnsi="FrankRuehl" w:cs="FrankRuehl"/>
        <w:rtl/>
      </w:rPr>
      <w:fldChar w:fldCharType="end"/>
    </w:r>
  </w:p>
  <w:p w14:paraId="2E0B16A9" w14:textId="77777777" w:rsidR="00400CC6" w:rsidRPr="00A428CF" w:rsidRDefault="00400CC6" w:rsidP="00A428CF">
    <w:pPr>
      <w:pStyle w:val="a5"/>
      <w:pBdr>
        <w:top w:val="single" w:sz="4" w:space="1" w:color="auto"/>
        <w:between w:val="single" w:sz="4" w:space="0" w:color="auto"/>
      </w:pBdr>
      <w:spacing w:after="60"/>
      <w:jc w:val="center"/>
      <w:rPr>
        <w:rFonts w:ascii="FrankRuehl" w:hAnsi="FrankRuehl" w:cs="FrankRuehl"/>
        <w:color w:val="000000"/>
      </w:rPr>
    </w:pPr>
    <w:r w:rsidRPr="00A428C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0C780" w14:textId="77777777" w:rsidR="00400CC6" w:rsidRDefault="00400CC6" w:rsidP="00A428C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A3191">
      <w:rPr>
        <w:rFonts w:ascii="FrankRuehl" w:hAnsi="FrankRuehl" w:cs="FrankRuehl"/>
        <w:noProof/>
        <w:rtl/>
      </w:rPr>
      <w:t>2</w:t>
    </w:r>
    <w:r>
      <w:rPr>
        <w:rFonts w:ascii="FrankRuehl" w:hAnsi="FrankRuehl" w:cs="FrankRuehl"/>
        <w:rtl/>
      </w:rPr>
      <w:fldChar w:fldCharType="end"/>
    </w:r>
  </w:p>
  <w:p w14:paraId="7C126146" w14:textId="77777777" w:rsidR="00400CC6" w:rsidRPr="00A428CF" w:rsidRDefault="00400CC6" w:rsidP="00A428CF">
    <w:pPr>
      <w:pStyle w:val="a5"/>
      <w:pBdr>
        <w:top w:val="single" w:sz="4" w:space="1" w:color="auto"/>
        <w:between w:val="single" w:sz="4" w:space="0" w:color="auto"/>
      </w:pBdr>
      <w:spacing w:after="60"/>
      <w:jc w:val="center"/>
      <w:rPr>
        <w:rFonts w:ascii="FrankRuehl" w:hAnsi="FrankRuehl" w:cs="FrankRuehl"/>
        <w:color w:val="000000"/>
      </w:rPr>
    </w:pPr>
    <w:r w:rsidRPr="00A428CF">
      <w:rPr>
        <w:rFonts w:ascii="FrankRuehl" w:hAnsi="FrankRuehl" w:cs="FrankRuehl"/>
        <w:color w:val="000000"/>
      </w:rPr>
      <w:pict w14:anchorId="3DCC1A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683E0" w14:textId="77777777" w:rsidR="000B5A43" w:rsidRDefault="000B5A43">
      <w:r>
        <w:separator/>
      </w:r>
    </w:p>
  </w:footnote>
  <w:footnote w:type="continuationSeparator" w:id="0">
    <w:p w14:paraId="005BA359" w14:textId="77777777" w:rsidR="000B5A43" w:rsidRDefault="000B5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248D9" w14:textId="77777777" w:rsidR="00400CC6" w:rsidRPr="00A428CF" w:rsidRDefault="00400CC6" w:rsidP="00A428C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16206-07-13</w:t>
    </w:r>
    <w:r>
      <w:rPr>
        <w:color w:val="000000"/>
        <w:sz w:val="22"/>
        <w:szCs w:val="22"/>
        <w:rtl/>
      </w:rPr>
      <w:tab/>
      <w:t xml:space="preserve"> מדינת ישראל נ' חאכם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86743" w14:textId="77777777" w:rsidR="00400CC6" w:rsidRPr="00A428CF" w:rsidRDefault="00400CC6" w:rsidP="00A428C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16206-07-13</w:t>
    </w:r>
    <w:r>
      <w:rPr>
        <w:color w:val="000000"/>
        <w:sz w:val="22"/>
        <w:szCs w:val="22"/>
        <w:rtl/>
      </w:rPr>
      <w:tab/>
      <w:t xml:space="preserve"> מדינת ישראל נ' חאכם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55D1B"/>
    <w:multiLevelType w:val="hybridMultilevel"/>
    <w:tmpl w:val="B4941036"/>
    <w:lvl w:ilvl="0" w:tplc="E70AFAF2">
      <w:start w:val="1"/>
      <w:numFmt w:val="hebrew1"/>
      <w:lvlText w:val="%1."/>
      <w:lvlJc w:val="left"/>
      <w:pPr>
        <w:ind w:left="121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6413064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1DD6"/>
    <w:rsid w:val="000B5A43"/>
    <w:rsid w:val="000D155F"/>
    <w:rsid w:val="00174FB2"/>
    <w:rsid w:val="002733B5"/>
    <w:rsid w:val="002A3191"/>
    <w:rsid w:val="00400CC6"/>
    <w:rsid w:val="0070397D"/>
    <w:rsid w:val="00716AFE"/>
    <w:rsid w:val="00A428CF"/>
    <w:rsid w:val="00A67DEC"/>
    <w:rsid w:val="00B1215F"/>
    <w:rsid w:val="00B54325"/>
    <w:rsid w:val="00CF5171"/>
    <w:rsid w:val="00E51DD6"/>
    <w:rsid w:val="00E628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5F59D26"/>
  <w15:chartTrackingRefBased/>
  <w15:docId w15:val="{FE02A124-6234-4E83-B96B-02603DDFA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1DD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E51DD6"/>
  </w:style>
  <w:style w:type="paragraph" w:styleId="a4">
    <w:name w:val="header"/>
    <w:basedOn w:val="a"/>
    <w:rsid w:val="00E51DD6"/>
    <w:pPr>
      <w:tabs>
        <w:tab w:val="center" w:pos="4153"/>
        <w:tab w:val="right" w:pos="8306"/>
      </w:tabs>
    </w:pPr>
  </w:style>
  <w:style w:type="paragraph" w:styleId="a5">
    <w:name w:val="footer"/>
    <w:basedOn w:val="a"/>
    <w:rsid w:val="00E51DD6"/>
    <w:pPr>
      <w:tabs>
        <w:tab w:val="center" w:pos="4153"/>
        <w:tab w:val="right" w:pos="8306"/>
      </w:tabs>
    </w:pPr>
  </w:style>
  <w:style w:type="character" w:styleId="a6">
    <w:name w:val="page number"/>
    <w:basedOn w:val="a0"/>
    <w:rsid w:val="00E51DD6"/>
  </w:style>
  <w:style w:type="paragraph" w:customStyle="1" w:styleId="12">
    <w:name w:val="רגיל + ‏12 נק'"/>
    <w:aliases w:val="מיושר לשני הצדדים,מרווח בין שורות:  שורה וחצי"/>
    <w:basedOn w:val="a"/>
    <w:rsid w:val="00E51DD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E51DD6"/>
    <w:pPr>
      <w:spacing w:line="360" w:lineRule="auto"/>
      <w:jc w:val="both"/>
    </w:pPr>
    <w:rPr>
      <w:rFonts w:ascii="Times New Roman" w:eastAsia="Times New Roman" w:hAnsi="Times New Roman"/>
    </w:rPr>
  </w:style>
  <w:style w:type="character" w:styleId="Hyperlink">
    <w:name w:val="Hyperlink"/>
    <w:rsid w:val="00A428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273" TargetMode="External"/><Relationship Id="rId39" Type="http://schemas.openxmlformats.org/officeDocument/2006/relationships/header" Target="header1.xml"/><Relationship Id="rId21" Type="http://schemas.openxmlformats.org/officeDocument/2006/relationships/hyperlink" Target="http://www.nevo.co.il/law/70301/384" TargetMode="External"/><Relationship Id="rId34" Type="http://schemas.openxmlformats.org/officeDocument/2006/relationships/hyperlink" Target="http://www.nevo.co.il/case/2830681"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4216/7.c"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law/70301/407.b" TargetMode="External"/><Relationship Id="rId32" Type="http://schemas.openxmlformats.org/officeDocument/2006/relationships/hyperlink" Target="http://www.nevo.co.il/law/70301/40c.a" TargetMode="External"/><Relationship Id="rId37" Type="http://schemas.openxmlformats.org/officeDocument/2006/relationships/hyperlink" Target="http://www.nevo.co.il/case/3889125"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7.b" TargetMode="External"/><Relationship Id="rId23" Type="http://schemas.openxmlformats.org/officeDocument/2006/relationships/hyperlink" Target="http://www.nevo.co.il/law/70301/452" TargetMode="External"/><Relationship Id="rId28" Type="http://schemas.openxmlformats.org/officeDocument/2006/relationships/hyperlink" Target="http://www.nevo.co.il/law/4216/7.a"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40d.a"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70301/19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4" Type="http://schemas.openxmlformats.org/officeDocument/2006/relationships/hyperlink" Target="http://www.nevo.co.il/law/70301/384"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275" TargetMode="External"/><Relationship Id="rId30" Type="http://schemas.openxmlformats.org/officeDocument/2006/relationships/hyperlink" Target="http://www.nevo.co.il/law/4216" TargetMode="External"/><Relationship Id="rId35" Type="http://schemas.openxmlformats.org/officeDocument/2006/relationships/hyperlink" Target="http://www.nevo.co.il/law/70301/40d.a" TargetMode="External"/><Relationship Id="rId43" Type="http://schemas.openxmlformats.org/officeDocument/2006/relationships/fontTable" Target="fontTable.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70301/273" TargetMode="External"/><Relationship Id="rId17" Type="http://schemas.openxmlformats.org/officeDocument/2006/relationships/hyperlink" Target="http://www.nevo.co.il/law/70301/452" TargetMode="External"/><Relationship Id="rId25" Type="http://schemas.openxmlformats.org/officeDocument/2006/relationships/hyperlink" Target="http://www.nevo.co.il/case/3889125" TargetMode="External"/><Relationship Id="rId33" Type="http://schemas.openxmlformats.org/officeDocument/2006/relationships/hyperlink" Target="http://www.nevo.co.il/law/70301/40b"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2325</Words>
  <Characters>11627</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13925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4128887</vt:i4>
      </vt:variant>
      <vt:variant>
        <vt:i4>90</vt:i4>
      </vt:variant>
      <vt:variant>
        <vt:i4>0</vt:i4>
      </vt:variant>
      <vt:variant>
        <vt:i4>5</vt:i4>
      </vt:variant>
      <vt:variant>
        <vt:lpwstr>http://www.nevo.co.il/case/3889125</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3539060</vt:i4>
      </vt:variant>
      <vt:variant>
        <vt:i4>81</vt:i4>
      </vt:variant>
      <vt:variant>
        <vt:i4>0</vt:i4>
      </vt:variant>
      <vt:variant>
        <vt:i4>5</vt:i4>
      </vt:variant>
      <vt:variant>
        <vt:lpwstr>http://www.nevo.co.il/case/2830681</vt:lpwstr>
      </vt:variant>
      <vt:variant>
        <vt:lpwstr/>
      </vt:variant>
      <vt:variant>
        <vt:i4>6619233</vt:i4>
      </vt:variant>
      <vt:variant>
        <vt:i4>78</vt:i4>
      </vt:variant>
      <vt:variant>
        <vt:i4>0</vt:i4>
      </vt:variant>
      <vt:variant>
        <vt:i4>5</vt:i4>
      </vt:variant>
      <vt:variant>
        <vt:lpwstr>http://www.nevo.co.il/law/70301/40b</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8257637</vt:i4>
      </vt:variant>
      <vt:variant>
        <vt:i4>69</vt:i4>
      </vt:variant>
      <vt:variant>
        <vt:i4>0</vt:i4>
      </vt:variant>
      <vt:variant>
        <vt:i4>5</vt:i4>
      </vt:variant>
      <vt:variant>
        <vt:lpwstr>http://www.nevo.co.il/law/4216</vt:lpwstr>
      </vt:variant>
      <vt:variant>
        <vt:lpwstr/>
      </vt:variant>
      <vt:variant>
        <vt:i4>2752612</vt:i4>
      </vt:variant>
      <vt:variant>
        <vt:i4>66</vt:i4>
      </vt:variant>
      <vt:variant>
        <vt:i4>0</vt:i4>
      </vt:variant>
      <vt:variant>
        <vt:i4>5</vt:i4>
      </vt:variant>
      <vt:variant>
        <vt:lpwstr>http://www.nevo.co.il/law/4216/7.c</vt:lpwstr>
      </vt:variant>
      <vt:variant>
        <vt:lpwstr/>
      </vt:variant>
      <vt:variant>
        <vt:i4>2621540</vt:i4>
      </vt:variant>
      <vt:variant>
        <vt:i4>63</vt:i4>
      </vt:variant>
      <vt:variant>
        <vt:i4>0</vt:i4>
      </vt:variant>
      <vt:variant>
        <vt:i4>5</vt:i4>
      </vt:variant>
      <vt:variant>
        <vt:lpwstr>http://www.nevo.co.il/law/4216/7.a</vt:lpwstr>
      </vt:variant>
      <vt:variant>
        <vt:lpwstr/>
      </vt:variant>
      <vt:variant>
        <vt:i4>6422631</vt:i4>
      </vt:variant>
      <vt:variant>
        <vt:i4>60</vt:i4>
      </vt:variant>
      <vt:variant>
        <vt:i4>0</vt:i4>
      </vt:variant>
      <vt:variant>
        <vt:i4>5</vt:i4>
      </vt:variant>
      <vt:variant>
        <vt:lpwstr>http://www.nevo.co.il/law/70301/275</vt:lpwstr>
      </vt:variant>
      <vt:variant>
        <vt:lpwstr/>
      </vt:variant>
      <vt:variant>
        <vt:i4>6422631</vt:i4>
      </vt:variant>
      <vt:variant>
        <vt:i4>57</vt:i4>
      </vt:variant>
      <vt:variant>
        <vt:i4>0</vt:i4>
      </vt:variant>
      <vt:variant>
        <vt:i4>5</vt:i4>
      </vt:variant>
      <vt:variant>
        <vt:lpwstr>http://www.nevo.co.il/law/70301/273</vt:lpwstr>
      </vt:variant>
      <vt:variant>
        <vt:lpwstr/>
      </vt:variant>
      <vt:variant>
        <vt:i4>4128887</vt:i4>
      </vt:variant>
      <vt:variant>
        <vt:i4>54</vt:i4>
      </vt:variant>
      <vt:variant>
        <vt:i4>0</vt:i4>
      </vt:variant>
      <vt:variant>
        <vt:i4>5</vt:i4>
      </vt:variant>
      <vt:variant>
        <vt:lpwstr>http://www.nevo.co.il/case/3889125</vt:lpwstr>
      </vt:variant>
      <vt:variant>
        <vt:lpwstr/>
      </vt:variant>
      <vt:variant>
        <vt:i4>4915286</vt:i4>
      </vt:variant>
      <vt:variant>
        <vt:i4>51</vt:i4>
      </vt:variant>
      <vt:variant>
        <vt:i4>0</vt:i4>
      </vt:variant>
      <vt:variant>
        <vt:i4>5</vt:i4>
      </vt:variant>
      <vt:variant>
        <vt:lpwstr>http://www.nevo.co.il/law/70301/407.b</vt:lpwstr>
      </vt:variant>
      <vt:variant>
        <vt:lpwstr/>
      </vt:variant>
      <vt:variant>
        <vt:i4>6291553</vt:i4>
      </vt:variant>
      <vt:variant>
        <vt:i4>48</vt:i4>
      </vt:variant>
      <vt:variant>
        <vt:i4>0</vt:i4>
      </vt:variant>
      <vt:variant>
        <vt:i4>5</vt:i4>
      </vt:variant>
      <vt:variant>
        <vt:lpwstr>http://www.nevo.co.il/law/70301/452</vt:lpwstr>
      </vt:variant>
      <vt:variant>
        <vt:lpwstr/>
      </vt:variant>
      <vt:variant>
        <vt:i4>7995492</vt:i4>
      </vt:variant>
      <vt:variant>
        <vt:i4>45</vt:i4>
      </vt:variant>
      <vt:variant>
        <vt:i4>0</vt:i4>
      </vt:variant>
      <vt:variant>
        <vt:i4>5</vt:i4>
      </vt:variant>
      <vt:variant>
        <vt:lpwstr>http://www.nevo.co.il/law/70301</vt:lpwstr>
      </vt:variant>
      <vt:variant>
        <vt:lpwstr/>
      </vt:variant>
      <vt:variant>
        <vt:i4>7143526</vt:i4>
      </vt:variant>
      <vt:variant>
        <vt:i4>42</vt:i4>
      </vt:variant>
      <vt:variant>
        <vt:i4>0</vt:i4>
      </vt:variant>
      <vt:variant>
        <vt:i4>5</vt:i4>
      </vt:variant>
      <vt:variant>
        <vt:lpwstr>http://www.nevo.co.il/law/70301/384</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8257637</vt:i4>
      </vt:variant>
      <vt:variant>
        <vt:i4>33</vt:i4>
      </vt:variant>
      <vt:variant>
        <vt:i4>0</vt:i4>
      </vt:variant>
      <vt:variant>
        <vt:i4>5</vt:i4>
      </vt:variant>
      <vt:variant>
        <vt:lpwstr>http://www.nevo.co.il/law/4216</vt:lpwstr>
      </vt:variant>
      <vt:variant>
        <vt:lpwstr/>
      </vt:variant>
      <vt:variant>
        <vt:i4>6291553</vt:i4>
      </vt:variant>
      <vt:variant>
        <vt:i4>30</vt:i4>
      </vt:variant>
      <vt:variant>
        <vt:i4>0</vt:i4>
      </vt:variant>
      <vt:variant>
        <vt:i4>5</vt:i4>
      </vt:variant>
      <vt:variant>
        <vt:lpwstr>http://www.nevo.co.il/law/70301/452</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4915286</vt:i4>
      </vt:variant>
      <vt:variant>
        <vt:i4>24</vt:i4>
      </vt:variant>
      <vt:variant>
        <vt:i4>0</vt:i4>
      </vt:variant>
      <vt:variant>
        <vt:i4>5</vt:i4>
      </vt:variant>
      <vt:variant>
        <vt:lpwstr>http://www.nevo.co.il/law/70301/407.b</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6422631</vt:i4>
      </vt:variant>
      <vt:variant>
        <vt:i4>15</vt:i4>
      </vt:variant>
      <vt:variant>
        <vt:i4>0</vt:i4>
      </vt:variant>
      <vt:variant>
        <vt:i4>5</vt:i4>
      </vt:variant>
      <vt:variant>
        <vt:lpwstr>http://www.nevo.co.il/law/70301/273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2025-04-22T22:04:00Z</dcterms:created>
  <dcterms:modified xsi:type="dcterms:W3CDTF">2025-04-22T22:04:00Z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16206</vt:lpwstr>
  </property>
  <property fmtid="{D5CDD505-2E9C-101B-9397-08002B2CF9AE}" pid="6" name="NEWPARTB">
    <vt:lpwstr>07</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חאכם אגבאריה</vt:lpwstr>
  </property>
  <property fmtid="{D5CDD505-2E9C-101B-9397-08002B2CF9AE}" pid="10" name="LAWYER">
    <vt:lpwstr>אלמוג בן חמו;שב"ס;אחמד יונס מוניס יונס</vt:lpwstr>
  </property>
  <property fmtid="{D5CDD505-2E9C-101B-9397-08002B2CF9AE}" pid="11" name="JUDGE">
    <vt:lpwstr>איטה נחמן</vt:lpwstr>
  </property>
  <property fmtid="{D5CDD505-2E9C-101B-9397-08002B2CF9AE}" pid="12" name="CITY">
    <vt:lpwstr>נת'</vt:lpwstr>
  </property>
  <property fmtid="{D5CDD505-2E9C-101B-9397-08002B2CF9AE}" pid="13" name="DATE">
    <vt:lpwstr>20160217</vt:lpwstr>
  </property>
  <property fmtid="{D5CDD505-2E9C-101B-9397-08002B2CF9AE}" pid="14" name="TYPE_N_DATE">
    <vt:lpwstr>38020160217</vt:lpwstr>
  </property>
  <property fmtid="{D5CDD505-2E9C-101B-9397-08002B2CF9AE}" pid="15" name="CASESLISTTMP1">
    <vt:lpwstr>3889125:2;2830681</vt:lpwstr>
  </property>
  <property fmtid="{D5CDD505-2E9C-101B-9397-08002B2CF9AE}" pid="16" name="WORDNUMPAGES">
    <vt:lpwstr>7</vt:lpwstr>
  </property>
  <property fmtid="{D5CDD505-2E9C-101B-9397-08002B2CF9AE}" pid="17" name="TYPE_ABS_DATE">
    <vt:lpwstr>380020160217</vt:lpwstr>
  </property>
  <property fmtid="{D5CDD505-2E9C-101B-9397-08002B2CF9AE}" pid="18" name="ISABSTRACT">
    <vt:lpwstr>Y</vt:lpwstr>
  </property>
  <property fmtid="{D5CDD505-2E9C-101B-9397-08002B2CF9AE}" pid="19" name="LAWLISTTMP1">
    <vt:lpwstr>70301/384;452;407.b;273;275;192;040c.a;040b;040d.a;40ja</vt:lpwstr>
  </property>
  <property fmtid="{D5CDD505-2E9C-101B-9397-08002B2CF9AE}" pid="20" name="LAWLISTTMP2">
    <vt:lpwstr>4216/007.a;007.c</vt:lpwstr>
  </property>
</Properties>
</file>