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847AAE" w:rsidRPr="00020483" w14:paraId="0C75FA53" w14:textId="77777777">
        <w:trPr>
          <w:trHeight w:hRule="exact" w:val="418"/>
          <w:jc w:val="center"/>
        </w:trPr>
        <w:tc>
          <w:tcPr>
            <w:tcW w:w="8720" w:type="dxa"/>
            <w:gridSpan w:val="3"/>
          </w:tcPr>
          <w:p w14:paraId="50CABB08" w14:textId="77777777" w:rsidR="00847AAE" w:rsidRPr="00020483" w:rsidRDefault="00020483">
            <w:pPr>
              <w:pStyle w:val="a3"/>
              <w:tabs>
                <w:tab w:val="clear" w:pos="8306"/>
              </w:tabs>
              <w:jc w:val="center"/>
              <w:rPr>
                <w:rFonts w:ascii="Tahoma" w:hAnsi="Tahoma" w:cs="Tahoma"/>
                <w:b/>
                <w:bCs/>
                <w:color w:val="000080"/>
                <w:sz w:val="20"/>
                <w:szCs w:val="20"/>
                <w:rtl/>
              </w:rPr>
            </w:pPr>
            <w:bookmarkStart w:id="0" w:name="LastJudge"/>
            <w:r w:rsidRPr="00020483">
              <w:rPr>
                <w:rFonts w:ascii="Tahoma" w:hAnsi="Tahoma" w:cs="Tahoma" w:hint="cs"/>
                <w:b/>
                <w:bCs/>
                <w:color w:val="000080"/>
                <w:sz w:val="20"/>
                <w:szCs w:val="20"/>
                <w:rtl/>
              </w:rPr>
              <w:t>בתי המשפט</w:t>
            </w:r>
          </w:p>
        </w:tc>
      </w:tr>
      <w:tr w:rsidR="00847AAE" w:rsidRPr="00020483" w14:paraId="1B948AF7" w14:textId="77777777">
        <w:trPr>
          <w:trHeight w:val="709"/>
          <w:jc w:val="center"/>
        </w:trPr>
        <w:tc>
          <w:tcPr>
            <w:tcW w:w="4805" w:type="dxa"/>
          </w:tcPr>
          <w:p w14:paraId="25110285" w14:textId="77777777" w:rsidR="00847AAE" w:rsidRPr="00020483" w:rsidRDefault="00020483">
            <w:pPr>
              <w:rPr>
                <w:b/>
                <w:bCs/>
                <w:sz w:val="28"/>
                <w:szCs w:val="28"/>
                <w:rtl/>
              </w:rPr>
            </w:pPr>
            <w:r w:rsidRPr="00020483">
              <w:rPr>
                <w:rFonts w:hint="cs"/>
                <w:b/>
                <w:bCs/>
                <w:sz w:val="28"/>
                <w:szCs w:val="28"/>
                <w:rtl/>
              </w:rPr>
              <w:t>בית משפט השלום קריית גת</w:t>
            </w:r>
          </w:p>
        </w:tc>
        <w:tc>
          <w:tcPr>
            <w:tcW w:w="236" w:type="dxa"/>
            <w:vMerge w:val="restart"/>
          </w:tcPr>
          <w:p w14:paraId="189A5CEB" w14:textId="77777777" w:rsidR="00847AAE" w:rsidRPr="00020483" w:rsidRDefault="00847AAE">
            <w:pPr>
              <w:pStyle w:val="a3"/>
              <w:jc w:val="right"/>
              <w:rPr>
                <w:b/>
                <w:bCs/>
                <w:sz w:val="28"/>
                <w:szCs w:val="28"/>
                <w:rtl/>
              </w:rPr>
            </w:pPr>
          </w:p>
        </w:tc>
        <w:tc>
          <w:tcPr>
            <w:tcW w:w="3679" w:type="dxa"/>
            <w:vMerge w:val="restart"/>
          </w:tcPr>
          <w:p w14:paraId="74EB6A7A" w14:textId="77777777" w:rsidR="00847AAE" w:rsidRPr="00020483" w:rsidRDefault="00020483">
            <w:pPr>
              <w:jc w:val="right"/>
              <w:rPr>
                <w:b/>
                <w:bCs/>
                <w:sz w:val="28"/>
                <w:szCs w:val="28"/>
                <w:rtl/>
              </w:rPr>
            </w:pPr>
            <w:r w:rsidRPr="00020483">
              <w:rPr>
                <w:b/>
                <w:bCs/>
                <w:sz w:val="28"/>
                <w:szCs w:val="28"/>
                <w:rtl/>
              </w:rPr>
              <w:t>ת"פ</w:t>
            </w:r>
            <w:r w:rsidRPr="00020483">
              <w:rPr>
                <w:rFonts w:hint="cs"/>
                <w:b/>
                <w:bCs/>
                <w:sz w:val="28"/>
                <w:szCs w:val="28"/>
                <w:rtl/>
              </w:rPr>
              <w:t xml:space="preserve"> </w:t>
            </w:r>
            <w:r w:rsidRPr="00020483">
              <w:rPr>
                <w:b/>
                <w:bCs/>
                <w:sz w:val="28"/>
                <w:szCs w:val="28"/>
                <w:rtl/>
              </w:rPr>
              <w:t>20531-07-13</w:t>
            </w:r>
          </w:p>
          <w:p w14:paraId="0660B2A0" w14:textId="77777777" w:rsidR="00847AAE" w:rsidRPr="00020483" w:rsidRDefault="00847AAE">
            <w:pPr>
              <w:pStyle w:val="a3"/>
              <w:tabs>
                <w:tab w:val="clear" w:pos="4153"/>
              </w:tabs>
              <w:jc w:val="right"/>
              <w:rPr>
                <w:b/>
                <w:bCs/>
                <w:sz w:val="20"/>
                <w:szCs w:val="20"/>
                <w:rtl/>
              </w:rPr>
            </w:pPr>
          </w:p>
          <w:p w14:paraId="46B1519B" w14:textId="77777777" w:rsidR="00847AAE" w:rsidRPr="00020483" w:rsidRDefault="00020483">
            <w:pPr>
              <w:pStyle w:val="a3"/>
              <w:tabs>
                <w:tab w:val="clear" w:pos="4153"/>
              </w:tabs>
              <w:jc w:val="right"/>
              <w:rPr>
                <w:b/>
                <w:bCs/>
                <w:sz w:val="28"/>
                <w:szCs w:val="28"/>
                <w:rtl/>
              </w:rPr>
            </w:pPr>
            <w:r w:rsidRPr="00020483">
              <w:rPr>
                <w:b/>
                <w:bCs/>
                <w:sz w:val="28"/>
                <w:szCs w:val="28"/>
                <w:rtl/>
              </w:rPr>
              <w:t>20 ינואר 2015</w:t>
            </w:r>
          </w:p>
        </w:tc>
      </w:tr>
      <w:tr w:rsidR="00847AAE" w:rsidRPr="00020483" w14:paraId="10963E10" w14:textId="77777777">
        <w:trPr>
          <w:trHeight w:val="547"/>
          <w:jc w:val="center"/>
        </w:trPr>
        <w:tc>
          <w:tcPr>
            <w:tcW w:w="4805" w:type="dxa"/>
          </w:tcPr>
          <w:p w14:paraId="2CA3EF89" w14:textId="77777777" w:rsidR="00847AAE" w:rsidRPr="00020483" w:rsidRDefault="00020483">
            <w:pPr>
              <w:rPr>
                <w:b/>
                <w:bCs/>
                <w:sz w:val="28"/>
                <w:szCs w:val="28"/>
                <w:rtl/>
              </w:rPr>
            </w:pPr>
            <w:r w:rsidRPr="00020483">
              <w:rPr>
                <w:rFonts w:hint="cs"/>
                <w:b/>
                <w:bCs/>
                <w:sz w:val="28"/>
                <w:szCs w:val="28"/>
                <w:rtl/>
              </w:rPr>
              <w:t>בפני: כב' ה</w:t>
            </w:r>
            <w:r w:rsidRPr="00020483">
              <w:rPr>
                <w:b/>
                <w:bCs/>
                <w:sz w:val="28"/>
                <w:szCs w:val="28"/>
                <w:rtl/>
              </w:rPr>
              <w:t>שופטת בכירה רובין לביא</w:t>
            </w:r>
          </w:p>
        </w:tc>
        <w:tc>
          <w:tcPr>
            <w:tcW w:w="236" w:type="dxa"/>
            <w:vMerge/>
          </w:tcPr>
          <w:p w14:paraId="28293163" w14:textId="77777777" w:rsidR="00847AAE" w:rsidRPr="00020483" w:rsidRDefault="00847AAE">
            <w:pPr>
              <w:pStyle w:val="a3"/>
              <w:jc w:val="right"/>
              <w:rPr>
                <w:b/>
                <w:bCs/>
                <w:sz w:val="28"/>
                <w:szCs w:val="28"/>
                <w:rtl/>
              </w:rPr>
            </w:pPr>
          </w:p>
        </w:tc>
        <w:tc>
          <w:tcPr>
            <w:tcW w:w="3679" w:type="dxa"/>
            <w:vMerge/>
          </w:tcPr>
          <w:p w14:paraId="4F587BE7" w14:textId="77777777" w:rsidR="00847AAE" w:rsidRPr="00020483" w:rsidRDefault="00847AAE">
            <w:pPr>
              <w:jc w:val="right"/>
              <w:rPr>
                <w:b/>
                <w:bCs/>
                <w:sz w:val="28"/>
                <w:szCs w:val="28"/>
                <w:rtl/>
              </w:rPr>
            </w:pPr>
          </w:p>
        </w:tc>
      </w:tr>
    </w:tbl>
    <w:p w14:paraId="6ED7A9ED" w14:textId="77777777" w:rsidR="00847AAE" w:rsidRPr="00020483" w:rsidRDefault="00847AAE">
      <w:pPr>
        <w:pStyle w:val="a3"/>
        <w:jc w:val="center"/>
        <w:rPr>
          <w:rFonts w:ascii="Tahoma" w:hAnsi="Tahoma" w:cs="Tahoma"/>
          <w:b/>
          <w:bCs/>
          <w:color w:val="000080"/>
          <w:sz w:val="20"/>
          <w:szCs w:val="20"/>
          <w:rtl/>
        </w:rPr>
      </w:pPr>
    </w:p>
    <w:p w14:paraId="629ED930" w14:textId="77777777" w:rsidR="00847AAE" w:rsidRPr="00020483" w:rsidRDefault="00847AAE">
      <w:pPr>
        <w:rPr>
          <w:sz w:val="6"/>
          <w:szCs w:val="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847AAE" w:rsidRPr="00020483" w14:paraId="0AEB9684" w14:textId="77777777">
        <w:tc>
          <w:tcPr>
            <w:tcW w:w="945" w:type="dxa"/>
          </w:tcPr>
          <w:p w14:paraId="02FEFC74" w14:textId="77777777" w:rsidR="00847AAE" w:rsidRPr="00020483" w:rsidRDefault="00020483">
            <w:pPr>
              <w:jc w:val="left"/>
              <w:rPr>
                <w:rFonts w:ascii="Times New Roman" w:eastAsia="Times New Roman" w:hAnsi="Times New Roman"/>
                <w:b/>
                <w:bCs/>
                <w:sz w:val="26"/>
                <w:rtl/>
              </w:rPr>
            </w:pPr>
            <w:bookmarkStart w:id="1" w:name="FirstAppellant"/>
            <w:r w:rsidRPr="00020483">
              <w:rPr>
                <w:rFonts w:ascii="Times New Roman" w:eastAsia="Times New Roman" w:hAnsi="Times New Roman" w:hint="cs"/>
                <w:b/>
                <w:bCs/>
                <w:sz w:val="26"/>
                <w:rtl/>
              </w:rPr>
              <w:t>בעניין:</w:t>
            </w:r>
          </w:p>
        </w:tc>
        <w:tc>
          <w:tcPr>
            <w:tcW w:w="7857" w:type="dxa"/>
            <w:gridSpan w:val="4"/>
          </w:tcPr>
          <w:p w14:paraId="0B27A4D8" w14:textId="77777777" w:rsidR="00847AAE" w:rsidRPr="00020483" w:rsidRDefault="00020483">
            <w:pPr>
              <w:jc w:val="left"/>
              <w:rPr>
                <w:rFonts w:ascii="Times New Roman" w:eastAsia="Times New Roman" w:hAnsi="Times New Roman"/>
                <w:b/>
                <w:bCs/>
                <w:sz w:val="26"/>
                <w:rtl/>
              </w:rPr>
            </w:pPr>
            <w:r w:rsidRPr="00020483">
              <w:rPr>
                <w:rFonts w:ascii="Times New Roman" w:eastAsia="Times New Roman" w:hAnsi="Times New Roman" w:hint="cs"/>
                <w:b/>
                <w:bCs/>
                <w:sz w:val="26"/>
                <w:rtl/>
              </w:rPr>
              <w:t>מדינת ישראל</w:t>
            </w:r>
          </w:p>
        </w:tc>
      </w:tr>
      <w:bookmarkEnd w:id="1"/>
      <w:tr w:rsidR="00847AAE" w:rsidRPr="00020483" w14:paraId="10687D7E" w14:textId="77777777">
        <w:trPr>
          <w:gridAfter w:val="1"/>
          <w:wAfter w:w="106" w:type="dxa"/>
        </w:trPr>
        <w:tc>
          <w:tcPr>
            <w:tcW w:w="945" w:type="dxa"/>
          </w:tcPr>
          <w:p w14:paraId="0AF9F839" w14:textId="77777777" w:rsidR="00847AAE" w:rsidRPr="00020483" w:rsidRDefault="00847AAE">
            <w:pPr>
              <w:ind w:left="26"/>
              <w:jc w:val="left"/>
              <w:rPr>
                <w:rFonts w:ascii="Times New Roman" w:eastAsia="Times New Roman" w:hAnsi="Times New Roman"/>
                <w:b/>
                <w:bCs/>
                <w:sz w:val="26"/>
                <w:rtl/>
              </w:rPr>
            </w:pPr>
          </w:p>
        </w:tc>
        <w:tc>
          <w:tcPr>
            <w:tcW w:w="6416" w:type="dxa"/>
          </w:tcPr>
          <w:p w14:paraId="32B468B8" w14:textId="77777777" w:rsidR="00847AAE" w:rsidRPr="00020483" w:rsidRDefault="00847AAE">
            <w:pPr>
              <w:jc w:val="left"/>
              <w:rPr>
                <w:rFonts w:ascii="Times New Roman" w:eastAsia="Times New Roman" w:hAnsi="Times New Roman"/>
                <w:b/>
                <w:bCs/>
                <w:sz w:val="26"/>
                <w:rtl/>
              </w:rPr>
            </w:pPr>
          </w:p>
        </w:tc>
        <w:tc>
          <w:tcPr>
            <w:tcW w:w="1335" w:type="dxa"/>
            <w:gridSpan w:val="2"/>
          </w:tcPr>
          <w:p w14:paraId="4E222EC1" w14:textId="77777777" w:rsidR="00847AAE" w:rsidRPr="00020483" w:rsidRDefault="00020483">
            <w:pPr>
              <w:ind w:left="26"/>
              <w:jc w:val="left"/>
              <w:rPr>
                <w:rFonts w:ascii="Times New Roman" w:eastAsia="Times New Roman" w:hAnsi="Times New Roman"/>
                <w:b/>
                <w:bCs/>
                <w:sz w:val="26"/>
                <w:rtl/>
              </w:rPr>
            </w:pPr>
            <w:r w:rsidRPr="00020483">
              <w:rPr>
                <w:rFonts w:ascii="Times New Roman" w:eastAsia="Times New Roman" w:hAnsi="Times New Roman" w:hint="cs"/>
                <w:b/>
                <w:bCs/>
                <w:sz w:val="26"/>
                <w:rtl/>
              </w:rPr>
              <w:t>המאשימה</w:t>
            </w:r>
          </w:p>
        </w:tc>
      </w:tr>
      <w:tr w:rsidR="00847AAE" w:rsidRPr="00020483" w14:paraId="6F0F0E46" w14:textId="77777777">
        <w:trPr>
          <w:gridAfter w:val="1"/>
          <w:wAfter w:w="106" w:type="dxa"/>
        </w:trPr>
        <w:tc>
          <w:tcPr>
            <w:tcW w:w="8696" w:type="dxa"/>
            <w:gridSpan w:val="4"/>
          </w:tcPr>
          <w:p w14:paraId="13A2FEA0" w14:textId="77777777" w:rsidR="00847AAE" w:rsidRPr="00020483" w:rsidRDefault="00020483">
            <w:pPr>
              <w:jc w:val="center"/>
              <w:rPr>
                <w:rFonts w:ascii="Arial" w:eastAsia="Times New Roman" w:hAnsi="Arial"/>
                <w:b/>
                <w:bCs/>
                <w:sz w:val="26"/>
              </w:rPr>
            </w:pPr>
            <w:r w:rsidRPr="00020483">
              <w:rPr>
                <w:rFonts w:ascii="Arial" w:eastAsia="Times New Roman" w:hAnsi="Arial"/>
                <w:b/>
                <w:bCs/>
                <w:sz w:val="26"/>
                <w:rtl/>
              </w:rPr>
              <w:t>נ</w:t>
            </w:r>
            <w:r w:rsidRPr="00020483">
              <w:rPr>
                <w:rFonts w:ascii="Arial" w:eastAsia="Times New Roman" w:hAnsi="Arial" w:hint="cs"/>
                <w:b/>
                <w:bCs/>
                <w:sz w:val="26"/>
                <w:rtl/>
              </w:rPr>
              <w:t xml:space="preserve"> </w:t>
            </w:r>
            <w:r w:rsidRPr="00020483">
              <w:rPr>
                <w:rFonts w:ascii="Arial" w:eastAsia="Times New Roman" w:hAnsi="Arial"/>
                <w:b/>
                <w:bCs/>
                <w:sz w:val="26"/>
                <w:rtl/>
              </w:rPr>
              <w:t>ג</w:t>
            </w:r>
            <w:r w:rsidRPr="00020483">
              <w:rPr>
                <w:rFonts w:ascii="Arial" w:eastAsia="Times New Roman" w:hAnsi="Arial" w:hint="cs"/>
                <w:b/>
                <w:bCs/>
                <w:sz w:val="26"/>
                <w:rtl/>
              </w:rPr>
              <w:t xml:space="preserve"> </w:t>
            </w:r>
            <w:r w:rsidRPr="00020483">
              <w:rPr>
                <w:rFonts w:ascii="Arial" w:eastAsia="Times New Roman" w:hAnsi="Arial"/>
                <w:b/>
                <w:bCs/>
                <w:sz w:val="26"/>
                <w:rtl/>
              </w:rPr>
              <w:t>ד</w:t>
            </w:r>
          </w:p>
        </w:tc>
      </w:tr>
      <w:tr w:rsidR="00847AAE" w:rsidRPr="00020483" w14:paraId="14047892" w14:textId="77777777">
        <w:trPr>
          <w:gridAfter w:val="1"/>
          <w:wAfter w:w="106" w:type="dxa"/>
        </w:trPr>
        <w:tc>
          <w:tcPr>
            <w:tcW w:w="945" w:type="dxa"/>
          </w:tcPr>
          <w:p w14:paraId="2FA37E94" w14:textId="77777777" w:rsidR="00847AAE" w:rsidRPr="00020483" w:rsidRDefault="00847AAE">
            <w:pPr>
              <w:ind w:left="26"/>
              <w:rPr>
                <w:rFonts w:ascii="Times New Roman" w:eastAsia="Times New Roman" w:hAnsi="Times New Roman"/>
                <w:b/>
                <w:bCs/>
                <w:sz w:val="26"/>
                <w:rtl/>
              </w:rPr>
            </w:pPr>
          </w:p>
        </w:tc>
        <w:tc>
          <w:tcPr>
            <w:tcW w:w="6435" w:type="dxa"/>
            <w:gridSpan w:val="2"/>
          </w:tcPr>
          <w:p w14:paraId="2E3BC404" w14:textId="77777777" w:rsidR="00847AAE" w:rsidRPr="00020483" w:rsidRDefault="00020483">
            <w:pPr>
              <w:jc w:val="left"/>
              <w:rPr>
                <w:b/>
                <w:bCs/>
                <w:sz w:val="26"/>
                <w:rtl/>
              </w:rPr>
            </w:pPr>
            <w:r w:rsidRPr="00020483">
              <w:rPr>
                <w:rFonts w:ascii="Times New Roman" w:eastAsia="Times New Roman" w:hAnsi="Times New Roman" w:hint="cs"/>
                <w:sz w:val="26"/>
                <w:rtl/>
              </w:rPr>
              <w:t xml:space="preserve">אברהם אוחנה </w:t>
            </w:r>
          </w:p>
        </w:tc>
        <w:tc>
          <w:tcPr>
            <w:tcW w:w="1316" w:type="dxa"/>
          </w:tcPr>
          <w:p w14:paraId="45DB9589" w14:textId="77777777" w:rsidR="00847AAE" w:rsidRPr="00020483" w:rsidRDefault="00847AAE">
            <w:pPr>
              <w:rPr>
                <w:rFonts w:ascii="Times New Roman" w:eastAsia="Times New Roman" w:hAnsi="Times New Roman"/>
                <w:b/>
                <w:bCs/>
                <w:sz w:val="26"/>
                <w:rtl/>
              </w:rPr>
            </w:pPr>
          </w:p>
        </w:tc>
      </w:tr>
      <w:tr w:rsidR="00847AAE" w:rsidRPr="00020483" w14:paraId="11DEF89D" w14:textId="77777777">
        <w:trPr>
          <w:gridAfter w:val="1"/>
          <w:wAfter w:w="106" w:type="dxa"/>
        </w:trPr>
        <w:tc>
          <w:tcPr>
            <w:tcW w:w="945" w:type="dxa"/>
          </w:tcPr>
          <w:p w14:paraId="0A923DAD" w14:textId="77777777" w:rsidR="00847AAE" w:rsidRPr="00020483" w:rsidRDefault="00847AAE">
            <w:pPr>
              <w:ind w:left="26"/>
              <w:jc w:val="left"/>
              <w:rPr>
                <w:rFonts w:ascii="Times New Roman" w:eastAsia="Times New Roman" w:hAnsi="Times New Roman"/>
                <w:b/>
                <w:bCs/>
                <w:sz w:val="26"/>
                <w:rtl/>
              </w:rPr>
            </w:pPr>
          </w:p>
        </w:tc>
        <w:tc>
          <w:tcPr>
            <w:tcW w:w="6435" w:type="dxa"/>
            <w:gridSpan w:val="2"/>
          </w:tcPr>
          <w:p w14:paraId="2754D803" w14:textId="77777777" w:rsidR="00847AAE" w:rsidRPr="00020483" w:rsidRDefault="00847AAE">
            <w:pPr>
              <w:jc w:val="left"/>
              <w:rPr>
                <w:rFonts w:ascii="Times New Roman" w:eastAsia="Times New Roman" w:hAnsi="Times New Roman"/>
                <w:b/>
                <w:bCs/>
                <w:sz w:val="26"/>
                <w:rtl/>
              </w:rPr>
            </w:pPr>
          </w:p>
        </w:tc>
        <w:tc>
          <w:tcPr>
            <w:tcW w:w="1316" w:type="dxa"/>
          </w:tcPr>
          <w:p w14:paraId="7CEFAD79" w14:textId="77777777" w:rsidR="00847AAE" w:rsidRPr="00020483" w:rsidRDefault="00020483">
            <w:pPr>
              <w:jc w:val="left"/>
              <w:rPr>
                <w:rFonts w:ascii="Times New Roman" w:eastAsia="Times New Roman" w:hAnsi="Times New Roman"/>
                <w:b/>
                <w:bCs/>
                <w:sz w:val="26"/>
                <w:rtl/>
              </w:rPr>
            </w:pPr>
            <w:r w:rsidRPr="00020483">
              <w:rPr>
                <w:rFonts w:ascii="Times New Roman" w:eastAsia="Times New Roman" w:hAnsi="Times New Roman" w:hint="cs"/>
                <w:b/>
                <w:bCs/>
                <w:sz w:val="26"/>
                <w:rtl/>
              </w:rPr>
              <w:t>הנאשם</w:t>
            </w:r>
          </w:p>
        </w:tc>
      </w:tr>
    </w:tbl>
    <w:p w14:paraId="31F46A0A" w14:textId="77777777" w:rsidR="00847AAE" w:rsidRPr="00020483" w:rsidRDefault="00020483">
      <w:pPr>
        <w:rPr>
          <w:sz w:val="6"/>
          <w:szCs w:val="6"/>
          <w:rtl/>
        </w:rPr>
      </w:pPr>
      <w:r w:rsidRPr="00020483">
        <w:rPr>
          <w:sz w:val="6"/>
          <w:szCs w:val="6"/>
          <w:rtl/>
        </w:rPr>
        <w:t>&lt;#2#&gt;</w:t>
      </w:r>
    </w:p>
    <w:p w14:paraId="0894D4A8" w14:textId="77777777" w:rsidR="00847AAE" w:rsidRPr="00020483" w:rsidRDefault="00020483">
      <w:pPr>
        <w:pStyle w:val="12"/>
        <w:spacing w:line="360" w:lineRule="auto"/>
        <w:rPr>
          <w:sz w:val="26"/>
          <w:szCs w:val="26"/>
          <w:u w:val="none"/>
          <w:rtl/>
        </w:rPr>
      </w:pPr>
      <w:r w:rsidRPr="00020483">
        <w:rPr>
          <w:rFonts w:hint="cs"/>
          <w:sz w:val="26"/>
          <w:szCs w:val="26"/>
          <w:u w:val="none"/>
          <w:rtl/>
        </w:rPr>
        <w:t>נוכחים:</w:t>
      </w:r>
    </w:p>
    <w:p w14:paraId="50AEEE66" w14:textId="77777777" w:rsidR="00847AAE" w:rsidRPr="00020483" w:rsidRDefault="00020483">
      <w:pPr>
        <w:pStyle w:val="12"/>
        <w:spacing w:line="360" w:lineRule="auto"/>
        <w:rPr>
          <w:sz w:val="26"/>
          <w:szCs w:val="26"/>
          <w:u w:val="none"/>
          <w:rtl/>
        </w:rPr>
      </w:pPr>
      <w:bookmarkStart w:id="2" w:name="FirstLawyer"/>
      <w:r w:rsidRPr="00020483">
        <w:rPr>
          <w:rFonts w:hint="cs"/>
          <w:sz w:val="26"/>
          <w:szCs w:val="26"/>
          <w:u w:val="none"/>
          <w:rtl/>
        </w:rPr>
        <w:t>ב"כ</w:t>
      </w:r>
      <w:bookmarkEnd w:id="2"/>
      <w:r w:rsidRPr="00020483">
        <w:rPr>
          <w:rFonts w:hint="cs"/>
          <w:sz w:val="26"/>
          <w:szCs w:val="26"/>
          <w:u w:val="none"/>
          <w:rtl/>
        </w:rPr>
        <w:t xml:space="preserve"> המאשימה </w:t>
      </w:r>
      <w:r w:rsidRPr="00020483">
        <w:rPr>
          <w:sz w:val="26"/>
          <w:szCs w:val="26"/>
          <w:u w:val="none"/>
          <w:rtl/>
        </w:rPr>
        <w:t>–</w:t>
      </w:r>
      <w:r w:rsidRPr="00020483">
        <w:rPr>
          <w:rFonts w:hint="cs"/>
          <w:sz w:val="26"/>
          <w:szCs w:val="26"/>
          <w:u w:val="none"/>
          <w:rtl/>
        </w:rPr>
        <w:t xml:space="preserve"> עו"ד קלייר עמיאל. </w:t>
      </w:r>
    </w:p>
    <w:p w14:paraId="61FC8FD3" w14:textId="77777777" w:rsidR="00847AAE" w:rsidRPr="00020483" w:rsidRDefault="00020483">
      <w:pPr>
        <w:pStyle w:val="12"/>
        <w:spacing w:line="360" w:lineRule="auto"/>
        <w:rPr>
          <w:sz w:val="26"/>
          <w:szCs w:val="26"/>
          <w:u w:val="none"/>
          <w:rtl/>
        </w:rPr>
      </w:pPr>
      <w:r w:rsidRPr="00020483">
        <w:rPr>
          <w:rFonts w:hint="cs"/>
          <w:sz w:val="26"/>
          <w:szCs w:val="26"/>
          <w:u w:val="none"/>
          <w:rtl/>
        </w:rPr>
        <w:t xml:space="preserve">הנאשם ובא כוחו – עו"ד פרידמן. </w:t>
      </w:r>
    </w:p>
    <w:p w14:paraId="31268A83" w14:textId="77777777" w:rsidR="00847AAE" w:rsidRPr="00020483" w:rsidRDefault="00020483">
      <w:pPr>
        <w:jc w:val="center"/>
        <w:rPr>
          <w:rFonts w:ascii="Arial" w:hAnsi="Arial"/>
          <w:b/>
          <w:bCs/>
          <w:sz w:val="28"/>
          <w:szCs w:val="28"/>
          <w:rtl/>
        </w:rPr>
      </w:pPr>
      <w:r w:rsidRPr="00020483">
        <w:rPr>
          <w:rFonts w:ascii="Arial" w:hAnsi="Arial"/>
          <w:b/>
          <w:color w:val="FF0000"/>
          <w:sz w:val="28"/>
          <w:szCs w:val="24"/>
          <w:rtl/>
        </w:rPr>
        <w:t>במסמך זה הושמטו פרוטוקולים</w:t>
      </w:r>
    </w:p>
    <w:p w14:paraId="2E9C9CE8" w14:textId="77777777" w:rsidR="00020483" w:rsidRPr="00020483" w:rsidRDefault="00020483" w:rsidP="00020483">
      <w:pPr>
        <w:spacing w:after="120" w:line="240" w:lineRule="exact"/>
        <w:ind w:left="283" w:hanging="283"/>
        <w:rPr>
          <w:rFonts w:ascii="FrankRuehl" w:hAnsi="FrankRuehl" w:cs="FrankRuehl"/>
          <w:szCs w:val="24"/>
          <w:rtl/>
        </w:rPr>
      </w:pPr>
      <w:bookmarkStart w:id="3" w:name="LawTable"/>
      <w:bookmarkEnd w:id="3"/>
    </w:p>
    <w:p w14:paraId="493C378A" w14:textId="77777777" w:rsidR="00020483" w:rsidRPr="00020483" w:rsidRDefault="00020483" w:rsidP="00020483">
      <w:pPr>
        <w:spacing w:after="120" w:line="240" w:lineRule="exact"/>
        <w:ind w:left="283" w:hanging="283"/>
        <w:rPr>
          <w:rFonts w:ascii="FrankRuehl" w:hAnsi="FrankRuehl" w:cs="FrankRuehl"/>
          <w:szCs w:val="24"/>
          <w:rtl/>
        </w:rPr>
      </w:pPr>
      <w:r w:rsidRPr="00020483">
        <w:rPr>
          <w:rFonts w:ascii="FrankRuehl" w:hAnsi="FrankRuehl" w:cs="FrankRuehl"/>
          <w:szCs w:val="24"/>
          <w:rtl/>
        </w:rPr>
        <w:t xml:space="preserve">חקיקה שאוזכרה: </w:t>
      </w:r>
    </w:p>
    <w:p w14:paraId="262B7902" w14:textId="77777777" w:rsidR="00020483" w:rsidRPr="00020483" w:rsidRDefault="00020483" w:rsidP="00020483">
      <w:pPr>
        <w:spacing w:after="120" w:line="240" w:lineRule="exact"/>
        <w:ind w:left="283" w:hanging="283"/>
        <w:rPr>
          <w:rFonts w:ascii="FrankRuehl" w:hAnsi="FrankRuehl" w:cs="FrankRuehl"/>
          <w:szCs w:val="24"/>
          <w:rtl/>
        </w:rPr>
      </w:pPr>
      <w:hyperlink r:id="rId6" w:history="1">
        <w:r w:rsidRPr="00020483">
          <w:rPr>
            <w:rFonts w:ascii="FrankRuehl" w:hAnsi="FrankRuehl" w:cs="FrankRuehl"/>
            <w:color w:val="0000FF"/>
            <w:szCs w:val="24"/>
            <w:u w:val="single"/>
            <w:rtl/>
          </w:rPr>
          <w:t>פקודת הסמים המסוכנים [נוסח חדש], תשל"ג-1973</w:t>
        </w:r>
      </w:hyperlink>
    </w:p>
    <w:p w14:paraId="6CCE0D54" w14:textId="77777777" w:rsidR="00020483" w:rsidRPr="00020483" w:rsidRDefault="00020483">
      <w:pPr>
        <w:jc w:val="center"/>
        <w:rPr>
          <w:rFonts w:ascii="Arial" w:hAnsi="Arial"/>
          <w:b/>
          <w:bCs/>
          <w:sz w:val="28"/>
          <w:szCs w:val="28"/>
          <w:rtl/>
        </w:rPr>
      </w:pPr>
      <w:bookmarkStart w:id="4" w:name="LawTable_End"/>
      <w:bookmarkEnd w:id="4"/>
    </w:p>
    <w:p w14:paraId="37E233EC" w14:textId="77777777" w:rsidR="00020483" w:rsidRPr="00020483" w:rsidRDefault="00020483" w:rsidP="00020483">
      <w:pPr>
        <w:jc w:val="center"/>
        <w:rPr>
          <w:rFonts w:ascii="Arial" w:hAnsi="Arial"/>
          <w:b/>
          <w:bCs/>
          <w:sz w:val="28"/>
          <w:szCs w:val="28"/>
          <w:u w:val="single"/>
          <w:rtl/>
        </w:rPr>
      </w:pPr>
      <w:bookmarkStart w:id="5" w:name="PsakDin"/>
      <w:bookmarkEnd w:id="0"/>
      <w:r w:rsidRPr="00020483">
        <w:rPr>
          <w:rFonts w:ascii="Arial" w:hAnsi="Arial"/>
          <w:b/>
          <w:bCs/>
          <w:sz w:val="28"/>
          <w:szCs w:val="28"/>
          <w:u w:val="single"/>
          <w:rtl/>
        </w:rPr>
        <w:t>גזר דין</w:t>
      </w:r>
    </w:p>
    <w:bookmarkEnd w:id="5"/>
    <w:p w14:paraId="7BEEA77E" w14:textId="77777777" w:rsidR="00847AAE" w:rsidRDefault="00020483">
      <w:pPr>
        <w:rPr>
          <w:rtl/>
        </w:rPr>
      </w:pPr>
      <w:r>
        <w:rPr>
          <w:rFonts w:hint="cs"/>
          <w:rtl/>
        </w:rPr>
        <w:t xml:space="preserve">הנאשם הודה והורשע במסגרת הסדר טיעון שהוצג לביהמ"ש כבר ביום 8.10.13, בכך שבתאריך 4.7.13, בשעת לילה מאוחרת, החזיק שלא כדין סם מסוכן מסוג קוקאין במשקל </w:t>
      </w:r>
      <w:smartTag w:uri="urn:schemas-microsoft-com:office:smarttags" w:element="metricconverter">
        <w:smartTagPr>
          <w:attr w:name="ProductID" w:val="1.5089 גרם"/>
        </w:smartTagPr>
        <w:r>
          <w:rPr>
            <w:rFonts w:hint="cs"/>
            <w:rtl/>
          </w:rPr>
          <w:t>1.5089 גרם</w:t>
        </w:r>
      </w:smartTag>
      <w:r>
        <w:rPr>
          <w:rFonts w:hint="cs"/>
          <w:rtl/>
        </w:rPr>
        <w:t xml:space="preserve"> נטו, בארון חדר השינה, שלא לצריכה עצמית. כמו כן, החזיק משקל אלקטרוני קטן. </w:t>
      </w:r>
    </w:p>
    <w:p w14:paraId="0D9C86E9" w14:textId="77777777" w:rsidR="00847AAE" w:rsidRDefault="00020483">
      <w:pPr>
        <w:rPr>
          <w:rtl/>
        </w:rPr>
      </w:pPr>
      <w:r>
        <w:rPr>
          <w:rFonts w:hint="cs"/>
          <w:rtl/>
        </w:rPr>
        <w:t xml:space="preserve">על פי ההסדר, נדחה לקבלת תסקיר ולאחר קבלת התסקיר ישובו הצדדים להידבר. </w:t>
      </w:r>
    </w:p>
    <w:p w14:paraId="48F04F1E" w14:textId="77777777" w:rsidR="00847AAE" w:rsidRDefault="00847AAE">
      <w:pPr>
        <w:rPr>
          <w:rtl/>
        </w:rPr>
      </w:pPr>
    </w:p>
    <w:p w14:paraId="46180DC3" w14:textId="77777777" w:rsidR="00847AAE" w:rsidRDefault="00020483">
      <w:pPr>
        <w:rPr>
          <w:rtl/>
        </w:rPr>
      </w:pPr>
      <w:r>
        <w:rPr>
          <w:rFonts w:hint="cs"/>
          <w:rtl/>
        </w:rPr>
        <w:t xml:space="preserve">נתקבלו תסקירים, מהם עלה, כי הנאשם כיום בן 47, גרוש, אב לשני קטינים בני 9 ו- 10, שוחרר בתנאים מגבילים של מעצר בית חלקי, מטופל במרכז יום. הוא התקשה לגלות יציבות וברקע התמכרות לסמים ולאלכוהול. הם התרשמו מחוסר בשלות ונטייה לריכוז עצמי. כמו כן, הוא גדל בסביבה עבריינית שהשפיעה עליו. הוא השלים 11 שנות לימוד. בעל הכשרה מקצועית כמסגר ושירת שירות צבאי מלא ביחידה קרבית, התקשה לאחר שחרורו לשמור על רצף תעסוקתי. הוא ביטא רצון לנהל אורח חיים עצמאי ונורמטיבי. במהלך גירושיו הודה כי צרך אלכוהול בכמויות גדולות ועל רקע זה נקט באלימות כלפי גרושתו. שולב בטיפול גמילה כאמור ולדבריו גם לפני שנעצר פנה לעו"ס לבקשת עזרה. מתברר כי בגיל 17 החל לצרוך סמים. עבר ניסיונות גמילה כושלים, אפילו שולב בקהילה טיפולית </w:t>
      </w:r>
      <w:r>
        <w:rPr>
          <w:rFonts w:hint="cs"/>
          <w:rtl/>
        </w:rPr>
        <w:lastRenderedPageBreak/>
        <w:t xml:space="preserve">זוהרים אך חודש לפני סיום הטיפול הורחק, שכן עבר את כללי ההתנהגות. הנאשם לקח אחריות, הסביר שהעבירות נעברו בתקופה משברית וכי מעונין בטיפול ולכן נדחה כדי לאפשר לו זאת. </w:t>
      </w:r>
    </w:p>
    <w:p w14:paraId="23D4BFD8" w14:textId="77777777" w:rsidR="00847AAE" w:rsidRDefault="00847AAE">
      <w:pPr>
        <w:rPr>
          <w:rtl/>
        </w:rPr>
      </w:pPr>
    </w:p>
    <w:p w14:paraId="33D07851" w14:textId="77777777" w:rsidR="00847AAE" w:rsidRDefault="00020483">
      <w:pPr>
        <w:rPr>
          <w:rtl/>
        </w:rPr>
      </w:pPr>
      <w:r>
        <w:rPr>
          <w:rFonts w:hint="cs"/>
          <w:rtl/>
        </w:rPr>
        <w:t>בתסקיר השני צוין, כי במהלך הדחיה המשיך בטיפול, בו שולב כבר באוקטובר 13' ונדחה לתקופת ניסיון נוספת של מספר חודשים. בתסקיר השלישי צוין, כי משתף פעולה ואף נערכה ועדת החלטה בעניינו ביום 22.5.14 והוחלט לתת לו הזדמנות. הוא השלים את מרכז היום ביום 13.8.14 ומאז ממשיך בקשר טיפולי פרטני, מוסר דגימות נקיות, מגיע לפגישות עם רכזת תעסוקה ועובד בחברת מבנים מודולרים בעורף הנמל כמסגר.</w:t>
      </w:r>
    </w:p>
    <w:p w14:paraId="5FA493C4" w14:textId="77777777" w:rsidR="00847AAE" w:rsidRDefault="00847AAE">
      <w:pPr>
        <w:rPr>
          <w:rtl/>
        </w:rPr>
      </w:pPr>
    </w:p>
    <w:p w14:paraId="47C5A5F6" w14:textId="77777777" w:rsidR="00847AAE" w:rsidRDefault="00020483">
      <w:pPr>
        <w:rPr>
          <w:rtl/>
        </w:rPr>
      </w:pPr>
      <w:r>
        <w:rPr>
          <w:rFonts w:hint="cs"/>
          <w:rtl/>
        </w:rPr>
        <w:t xml:space="preserve">שירות המבחן התרשמו מתהליך של שינוי משמעותי שעבר, במהלכו הגביר מודעות עצמית לדפוסים המכשילים, הגביר יכולתו לקחת אחריות אישית על מעשיו ולהציב גבולות, מצליח לנהל סדר יום מובנה, מצליח לווסת תוקפנות ולגלות שליטה עצמית גבוהה יותר. בנסיבות אלה, המליצו להעמידו לצו מבחן לשנה, יחד עם מאסר מותנה מרתיע מציב גבולות ועונש חינוכי של של"צ בהיקף 140 שעות. הדיון נדחה לגיבוש תוכנית בהיקף גדול יותר של 200 שעות, והוגשה באוקטובר תוכנית שכזו, אלא שהנאשם לא התייצב לדיון שאכן נדחה להיום. ב"כ הצדדים שבו להידבר. </w:t>
      </w:r>
    </w:p>
    <w:p w14:paraId="047CAD75" w14:textId="77777777" w:rsidR="00847AAE" w:rsidRDefault="00847AAE">
      <w:pPr>
        <w:rPr>
          <w:rtl/>
        </w:rPr>
      </w:pPr>
    </w:p>
    <w:p w14:paraId="3E1701E0" w14:textId="77777777" w:rsidR="00847AAE" w:rsidRDefault="00020483">
      <w:pPr>
        <w:rPr>
          <w:rtl/>
        </w:rPr>
      </w:pPr>
      <w:r>
        <w:rPr>
          <w:rFonts w:hint="cs"/>
          <w:rtl/>
        </w:rPr>
        <w:t xml:space="preserve">לחובת הנאשם 4 הרשעות קודמות החל מעבירת גניבה בגינה נדון למאסר קצר בדצמבר 1990. בהמשך נדון בגין התפרצות, גניבה ומספר עבירות של החזקת סם לצריכה עצמית. </w:t>
      </w:r>
    </w:p>
    <w:p w14:paraId="13AFB3D6" w14:textId="77777777" w:rsidR="00847AAE" w:rsidRDefault="00020483">
      <w:pPr>
        <w:rPr>
          <w:rtl/>
        </w:rPr>
      </w:pPr>
      <w:r>
        <w:rPr>
          <w:rFonts w:hint="cs"/>
          <w:rtl/>
        </w:rPr>
        <w:t>הרשעתו האחרונה מיום 2.5.12, עבירות של איומים, תקיפה הגורמת חבלה של ממש והפרת הוראה חוקית. שם, כפי הנראה בהמלצת שירות המבחן, ביהמ"ש הסתפק במאסר מותנה, של"צ וצו מבחן אך התברר כי לא היה מקום ליתן בו אמון שכן עבר העבירה שבפניי, בתום תקופת התנאי.</w:t>
      </w:r>
    </w:p>
    <w:p w14:paraId="5692DAD4" w14:textId="77777777" w:rsidR="00847AAE" w:rsidRDefault="00847AAE">
      <w:pPr>
        <w:rPr>
          <w:rtl/>
        </w:rPr>
      </w:pPr>
    </w:p>
    <w:p w14:paraId="5AE1D8CC" w14:textId="77777777" w:rsidR="00847AAE" w:rsidRDefault="00020483">
      <w:pPr>
        <w:rPr>
          <w:rtl/>
        </w:rPr>
      </w:pPr>
      <w:r>
        <w:rPr>
          <w:rFonts w:hint="cs"/>
          <w:rtl/>
        </w:rPr>
        <w:t xml:space="preserve">בשל המלצות שירות המבחן והדרך הטיפולית הארוכה שעשה הנאשם שבו הצדדים להידבר והוסכם כי יאמצו את המלצת שירות המבחן. כל בקשתה של התובעת שהמאסר המותנה יהיה ארוך ומרתיע. </w:t>
      </w:r>
    </w:p>
    <w:p w14:paraId="2546E586" w14:textId="77777777" w:rsidR="00847AAE" w:rsidRDefault="00847AAE">
      <w:pPr>
        <w:rPr>
          <w:rtl/>
        </w:rPr>
      </w:pPr>
    </w:p>
    <w:p w14:paraId="2BE0103C" w14:textId="77777777" w:rsidR="00847AAE" w:rsidRDefault="00020483">
      <w:pPr>
        <w:rPr>
          <w:rtl/>
        </w:rPr>
      </w:pPr>
      <w:r>
        <w:rPr>
          <w:rFonts w:hint="cs"/>
          <w:rtl/>
        </w:rPr>
        <w:t>לאור כל האמור, אני מכבדת רצון הצדדים ומאמצת את המלצת שירות המבחן וגוזרת דינו</w:t>
      </w:r>
    </w:p>
    <w:p w14:paraId="4DDB9D5F" w14:textId="77777777" w:rsidR="00847AAE" w:rsidRDefault="00020483">
      <w:pPr>
        <w:rPr>
          <w:rtl/>
        </w:rPr>
      </w:pPr>
      <w:r>
        <w:rPr>
          <w:rFonts w:hint="cs"/>
          <w:rtl/>
        </w:rPr>
        <w:t>לעונשים כדלקמן:</w:t>
      </w:r>
    </w:p>
    <w:p w14:paraId="7D311B9A" w14:textId="77777777" w:rsidR="00847AAE" w:rsidRDefault="00020483">
      <w:pPr>
        <w:ind w:left="720" w:hanging="720"/>
        <w:rPr>
          <w:rtl/>
        </w:rPr>
      </w:pPr>
      <w:r>
        <w:rPr>
          <w:rFonts w:hint="cs"/>
          <w:rtl/>
        </w:rPr>
        <w:t>1.</w:t>
      </w:r>
      <w:r>
        <w:rPr>
          <w:rFonts w:hint="cs"/>
          <w:rtl/>
        </w:rPr>
        <w:tab/>
        <w:t xml:space="preserve">אני מטילה על הנאשם 10 חודשי מאסר על תנאי למשך   3 שנים והתנאי הוא שלא יעבור עבירה מסוג פשע, על </w:t>
      </w:r>
      <w:hyperlink r:id="rId7" w:history="1">
        <w:r w:rsidRPr="00020483">
          <w:rPr>
            <w:color w:val="0000FF"/>
            <w:u w:val="single"/>
            <w:rtl/>
          </w:rPr>
          <w:t>פקודת הסמים המסוכנים</w:t>
        </w:r>
      </w:hyperlink>
      <w:r>
        <w:rPr>
          <w:rFonts w:hint="cs"/>
          <w:rtl/>
        </w:rPr>
        <w:t xml:space="preserve"> תשל"ג </w:t>
      </w:r>
      <w:r>
        <w:rPr>
          <w:rtl/>
        </w:rPr>
        <w:t>–</w:t>
      </w:r>
      <w:r>
        <w:rPr>
          <w:rFonts w:hint="cs"/>
          <w:rtl/>
        </w:rPr>
        <w:t xml:space="preserve"> 1973.</w:t>
      </w:r>
    </w:p>
    <w:p w14:paraId="5FFCD7D5" w14:textId="77777777" w:rsidR="00847AAE" w:rsidRDefault="00847AAE">
      <w:pPr>
        <w:ind w:left="720" w:hanging="720"/>
        <w:rPr>
          <w:rtl/>
        </w:rPr>
      </w:pPr>
    </w:p>
    <w:p w14:paraId="01F0EE02" w14:textId="77777777" w:rsidR="00847AAE" w:rsidRDefault="00020483">
      <w:pPr>
        <w:ind w:left="720" w:hanging="720"/>
        <w:rPr>
          <w:rtl/>
        </w:rPr>
      </w:pPr>
      <w:r>
        <w:rPr>
          <w:rFonts w:hint="cs"/>
          <w:rtl/>
        </w:rPr>
        <w:lastRenderedPageBreak/>
        <w:t>2.</w:t>
      </w:r>
      <w:r>
        <w:rPr>
          <w:rFonts w:hint="cs"/>
          <w:rtl/>
        </w:rPr>
        <w:tab/>
        <w:t xml:space="preserve">אני מטילה על הנאשם 6  חודשי מאסר על תנאי למשך  3  שנים והתנאי הוא שלא יעבור עבירה מסוג עוון על </w:t>
      </w:r>
      <w:hyperlink r:id="rId8" w:history="1">
        <w:r w:rsidRPr="00020483">
          <w:rPr>
            <w:color w:val="0000FF"/>
            <w:u w:val="single"/>
            <w:rtl/>
          </w:rPr>
          <w:t>פקודת הסמים המסוכנים</w:t>
        </w:r>
      </w:hyperlink>
      <w:r>
        <w:rPr>
          <w:rFonts w:hint="cs"/>
          <w:rtl/>
        </w:rPr>
        <w:t xml:space="preserve">, תשל"ג </w:t>
      </w:r>
      <w:r>
        <w:rPr>
          <w:rtl/>
        </w:rPr>
        <w:t>–</w:t>
      </w:r>
      <w:r>
        <w:rPr>
          <w:rFonts w:hint="cs"/>
          <w:rtl/>
        </w:rPr>
        <w:t xml:space="preserve"> 1973.</w:t>
      </w:r>
    </w:p>
    <w:p w14:paraId="12E77E39" w14:textId="77777777" w:rsidR="00847AAE" w:rsidRDefault="00847AAE">
      <w:pPr>
        <w:ind w:left="720" w:hanging="720"/>
        <w:rPr>
          <w:rtl/>
        </w:rPr>
      </w:pPr>
    </w:p>
    <w:p w14:paraId="55E20CBA" w14:textId="77777777" w:rsidR="00847AAE" w:rsidRDefault="00020483">
      <w:pPr>
        <w:ind w:left="720" w:hanging="720"/>
        <w:rPr>
          <w:rtl/>
        </w:rPr>
      </w:pPr>
      <w:r>
        <w:rPr>
          <w:rFonts w:hint="cs"/>
          <w:rtl/>
        </w:rPr>
        <w:t>3.</w:t>
      </w:r>
      <w:r>
        <w:rPr>
          <w:rFonts w:hint="cs"/>
          <w:rtl/>
        </w:rPr>
        <w:tab/>
        <w:t xml:space="preserve">הנאשם ימצא בפיקוח שירות המבחן למשך שנה מהיום. </w:t>
      </w:r>
    </w:p>
    <w:p w14:paraId="5C0F1901" w14:textId="77777777" w:rsidR="00847AAE" w:rsidRDefault="00020483">
      <w:pPr>
        <w:ind w:left="720" w:hanging="720"/>
        <w:rPr>
          <w:rtl/>
        </w:rPr>
      </w:pPr>
      <w:r>
        <w:rPr>
          <w:rFonts w:hint="cs"/>
          <w:rtl/>
        </w:rPr>
        <w:tab/>
        <w:t xml:space="preserve">לצורך זאת עליו לחתום על צו מבחן. </w:t>
      </w:r>
    </w:p>
    <w:p w14:paraId="4A3F289C" w14:textId="77777777" w:rsidR="00847AAE" w:rsidRDefault="00020483">
      <w:pPr>
        <w:ind w:left="720" w:hanging="720"/>
        <w:rPr>
          <w:rtl/>
        </w:rPr>
      </w:pPr>
      <w:r>
        <w:rPr>
          <w:rFonts w:hint="cs"/>
          <w:rtl/>
        </w:rPr>
        <w:tab/>
        <w:t>מוסבר לנאשם כי אם לא יעמוד בתנאי הצו, ניתן יהיה להפקיעו ולגזור דינו לרכיבי ענישה נוספים.</w:t>
      </w:r>
    </w:p>
    <w:p w14:paraId="7405BC10" w14:textId="77777777" w:rsidR="00847AAE" w:rsidRDefault="00847AAE">
      <w:pPr>
        <w:ind w:left="720" w:hanging="720"/>
        <w:rPr>
          <w:rtl/>
        </w:rPr>
      </w:pPr>
    </w:p>
    <w:p w14:paraId="1B0CB863" w14:textId="77777777" w:rsidR="00847AAE" w:rsidRDefault="00020483">
      <w:pPr>
        <w:ind w:left="720" w:hanging="720"/>
        <w:rPr>
          <w:rtl/>
        </w:rPr>
      </w:pPr>
      <w:r>
        <w:rPr>
          <w:rFonts w:hint="cs"/>
          <w:rtl/>
        </w:rPr>
        <w:t>4.</w:t>
      </w:r>
      <w:r>
        <w:rPr>
          <w:rFonts w:hint="cs"/>
          <w:rtl/>
        </w:rPr>
        <w:tab/>
        <w:t xml:space="preserve">אני מטילה על הנאשם לבצע  200 שעות שירות לתועלת הציבור בבית התמחוי "מעיין משה" באשדוד, בהיקף שלא יפחת מ - 4 ש"ש בפיקוח שירות המבחן. </w:t>
      </w:r>
    </w:p>
    <w:p w14:paraId="520A6A22" w14:textId="77777777" w:rsidR="00847AAE" w:rsidRDefault="00020483">
      <w:pPr>
        <w:ind w:left="720" w:hanging="720"/>
        <w:rPr>
          <w:rtl/>
        </w:rPr>
      </w:pPr>
      <w:r>
        <w:rPr>
          <w:rFonts w:hint="cs"/>
          <w:rtl/>
        </w:rPr>
        <w:tab/>
        <w:t xml:space="preserve">במידה ויש צורך בשינוי מקום ההשמה, שירות המבחן יעשה כן וידווח על כך לביהמ"ש. </w:t>
      </w:r>
    </w:p>
    <w:p w14:paraId="74966EB8" w14:textId="77777777" w:rsidR="00847AAE" w:rsidRDefault="00020483">
      <w:pPr>
        <w:ind w:left="720" w:hanging="720"/>
        <w:rPr>
          <w:rtl/>
        </w:rPr>
      </w:pPr>
      <w:r>
        <w:rPr>
          <w:rFonts w:hint="cs"/>
          <w:rtl/>
        </w:rPr>
        <w:tab/>
        <w:t>מוסבר לנאשם כי אם לא יבצע עבודות השל"צ במלואן, ניתן יהיה להפקיע הצו, ולשוב ולגזור את דינו לרכיבי ענישה נוספים.</w:t>
      </w:r>
    </w:p>
    <w:p w14:paraId="4A2276EA" w14:textId="77777777" w:rsidR="00847AAE" w:rsidRDefault="00847AAE">
      <w:pPr>
        <w:ind w:firstLine="720"/>
        <w:rPr>
          <w:b/>
          <w:bCs/>
          <w:rtl/>
        </w:rPr>
      </w:pPr>
    </w:p>
    <w:p w14:paraId="2738C268" w14:textId="77777777" w:rsidR="00847AAE" w:rsidRDefault="00020483">
      <w:pPr>
        <w:rPr>
          <w:b/>
          <w:bCs/>
          <w:rtl/>
        </w:rPr>
      </w:pPr>
      <w:r>
        <w:rPr>
          <w:b/>
          <w:bCs/>
          <w:rtl/>
        </w:rPr>
        <w:t xml:space="preserve">זכות ערעור תוך 45 יום מהיום. </w:t>
      </w:r>
    </w:p>
    <w:p w14:paraId="4786C9A0" w14:textId="77777777" w:rsidR="00847AAE" w:rsidRDefault="00020483">
      <w:pPr>
        <w:rPr>
          <w:b/>
          <w:bCs/>
          <w:sz w:val="6"/>
          <w:szCs w:val="6"/>
          <w:rtl/>
        </w:rPr>
      </w:pPr>
      <w:r>
        <w:rPr>
          <w:b/>
          <w:bCs/>
          <w:sz w:val="6"/>
          <w:szCs w:val="6"/>
          <w:rtl/>
        </w:rPr>
        <w:t>&lt;#4#&gt;</w:t>
      </w:r>
    </w:p>
    <w:p w14:paraId="18F1E1A9" w14:textId="77777777" w:rsidR="00847AAE" w:rsidRDefault="00847AAE">
      <w:pPr>
        <w:jc w:val="right"/>
        <w:rPr>
          <w:rtl/>
        </w:rPr>
      </w:pPr>
    </w:p>
    <w:p w14:paraId="126ABE67" w14:textId="77777777" w:rsidR="00847AAE" w:rsidRDefault="00020483">
      <w:pPr>
        <w:rPr>
          <w:rtl/>
        </w:rPr>
      </w:pPr>
      <w:r>
        <w:rPr>
          <w:rFonts w:hint="cs"/>
          <w:b/>
          <w:bCs/>
          <w:rtl/>
        </w:rPr>
        <w:t xml:space="preserve">ניתן והודע היום </w:t>
      </w:r>
      <w:r>
        <w:rPr>
          <w:rFonts w:hint="cs"/>
          <w:rtl/>
        </w:rPr>
        <w:t>כ"ט טבת תשע"ה</w:t>
      </w:r>
      <w:r>
        <w:rPr>
          <w:rFonts w:hint="cs"/>
          <w:b/>
          <w:bCs/>
          <w:rtl/>
        </w:rPr>
        <w:t xml:space="preserve">, </w:t>
      </w:r>
      <w:r>
        <w:rPr>
          <w:rFonts w:hint="cs"/>
          <w:rtl/>
        </w:rPr>
        <w:t>20/01/2015</w:t>
      </w:r>
      <w:r>
        <w:rPr>
          <w:rFonts w:hint="cs"/>
          <w:b/>
          <w:bCs/>
          <w:rtl/>
        </w:rPr>
        <w:t xml:space="preserve"> במעמד הנוכחים.</w:t>
      </w:r>
    </w:p>
    <w:p w14:paraId="24173D20" w14:textId="77777777" w:rsidR="00847AAE" w:rsidRDefault="00847AAE">
      <w:pPr>
        <w:jc w:val="center"/>
        <w:rPr>
          <w:rtl/>
        </w:rPr>
      </w:pPr>
    </w:p>
    <w:p w14:paraId="2A90C7F2" w14:textId="77777777" w:rsidR="00847AAE" w:rsidRDefault="00847AAE">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47AAE" w14:paraId="6D73FA48" w14:textId="77777777">
        <w:trPr>
          <w:trHeight w:val="316"/>
          <w:jc w:val="right"/>
        </w:trPr>
        <w:tc>
          <w:tcPr>
            <w:tcW w:w="3936" w:type="dxa"/>
          </w:tcPr>
          <w:p w14:paraId="0F536828" w14:textId="77777777" w:rsidR="00847AAE" w:rsidRDefault="00847AAE">
            <w:pPr>
              <w:jc w:val="center"/>
              <w:rPr>
                <w:rFonts w:ascii="Times New Roman" w:eastAsia="Times New Roman" w:hAnsi="Times New Roman" w:cs="Times New Roman"/>
              </w:rPr>
            </w:pPr>
          </w:p>
          <w:p w14:paraId="0DCF86D3" w14:textId="77777777" w:rsidR="00847AAE" w:rsidRDefault="00847AAE">
            <w:pPr>
              <w:jc w:val="center"/>
              <w:rPr>
                <w:rFonts w:ascii="Times New Roman" w:eastAsia="Times New Roman" w:hAnsi="Times New Roman" w:cs="Times New Roman"/>
                <w:rtl/>
              </w:rPr>
            </w:pPr>
          </w:p>
        </w:tc>
      </w:tr>
      <w:tr w:rsidR="00847AAE" w14:paraId="0E2BC051" w14:textId="77777777">
        <w:trPr>
          <w:trHeight w:val="361"/>
          <w:jc w:val="right"/>
        </w:trPr>
        <w:tc>
          <w:tcPr>
            <w:tcW w:w="3936" w:type="dxa"/>
          </w:tcPr>
          <w:p w14:paraId="15558DC0" w14:textId="77777777" w:rsidR="00847AAE" w:rsidRDefault="00020483">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3F7D946E" w14:textId="77777777" w:rsidR="00847AAE" w:rsidRDefault="00847AAE">
      <w:pPr>
        <w:jc w:val="right"/>
        <w:rPr>
          <w:rtl/>
        </w:rPr>
      </w:pPr>
    </w:p>
    <w:p w14:paraId="4FB411DB" w14:textId="77777777" w:rsidR="00020483" w:rsidRDefault="00020483" w:rsidP="00020483">
      <w:pPr>
        <w:jc w:val="left"/>
        <w:rPr>
          <w:rtl/>
        </w:rPr>
      </w:pPr>
    </w:p>
    <w:p w14:paraId="4A1DECDA" w14:textId="77777777" w:rsidR="00020483" w:rsidRDefault="00020483" w:rsidP="00020483">
      <w:pPr>
        <w:jc w:val="center"/>
        <w:rPr>
          <w:color w:val="0000FF"/>
          <w:szCs w:val="24"/>
          <w:u w:val="single"/>
        </w:rPr>
      </w:pPr>
      <w:hyperlink r:id="rId9" w:history="1">
        <w:r>
          <w:rPr>
            <w:color w:val="0000FF"/>
            <w:szCs w:val="24"/>
            <w:u w:val="single"/>
            <w:rtl/>
          </w:rPr>
          <w:t>בעניין עריכה ושינויים במסמכי פסיקה, חקיקה ועוד באתר נבו – הקש כאן</w:t>
        </w:r>
      </w:hyperlink>
    </w:p>
    <w:p w14:paraId="79144F6B" w14:textId="77777777" w:rsidR="00CA6E55" w:rsidRPr="00CA6E55" w:rsidRDefault="00CA6E55" w:rsidP="00CA6E55">
      <w:pPr>
        <w:keepNext/>
        <w:jc w:val="left"/>
        <w:rPr>
          <w:color w:val="000000"/>
          <w:sz w:val="22"/>
          <w:szCs w:val="22"/>
          <w:rtl/>
        </w:rPr>
      </w:pPr>
    </w:p>
    <w:p w14:paraId="1B37AF1D" w14:textId="77777777" w:rsidR="00CA6E55" w:rsidRPr="00CA6E55" w:rsidRDefault="00CA6E55" w:rsidP="00CA6E55">
      <w:pPr>
        <w:keepNext/>
        <w:jc w:val="left"/>
        <w:rPr>
          <w:color w:val="000000"/>
          <w:sz w:val="22"/>
          <w:szCs w:val="22"/>
          <w:rtl/>
        </w:rPr>
      </w:pPr>
      <w:r w:rsidRPr="00CA6E55">
        <w:rPr>
          <w:color w:val="000000"/>
          <w:sz w:val="22"/>
          <w:szCs w:val="22"/>
          <w:rtl/>
        </w:rPr>
        <w:t>רובין לביא 54678313-/</w:t>
      </w:r>
    </w:p>
    <w:p w14:paraId="4245AD19" w14:textId="77777777" w:rsidR="00847AAE" w:rsidRPr="00020483" w:rsidRDefault="00CA6E55" w:rsidP="00CA6E55">
      <w:pPr>
        <w:jc w:val="left"/>
        <w:rPr>
          <w:color w:val="0000FF"/>
          <w:szCs w:val="24"/>
          <w:u w:val="single"/>
        </w:rPr>
      </w:pPr>
      <w:r w:rsidRPr="00CA6E55">
        <w:rPr>
          <w:color w:val="000000"/>
          <w:szCs w:val="24"/>
          <w:u w:val="single"/>
          <w:rtl/>
        </w:rPr>
        <w:t>נוסח מסמך זה כפוף לשינויי ניסוח ועריכה</w:t>
      </w:r>
    </w:p>
    <w:sectPr w:rsidR="00847AAE" w:rsidRPr="00020483" w:rsidSect="00CA6E55">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E1C94" w14:textId="77777777" w:rsidR="002E4CA5" w:rsidRPr="00C2140D" w:rsidRDefault="002E4CA5">
      <w:pPr>
        <w:rPr>
          <w:rFonts w:cs="Arial"/>
          <w:szCs w:val="20"/>
        </w:rPr>
      </w:pPr>
      <w:r>
        <w:separator/>
      </w:r>
    </w:p>
  </w:endnote>
  <w:endnote w:type="continuationSeparator" w:id="0">
    <w:p w14:paraId="63420F4D" w14:textId="77777777" w:rsidR="002E4CA5" w:rsidRPr="00C2140D" w:rsidRDefault="002E4CA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20A0D" w14:textId="77777777" w:rsidR="00CA6E55" w:rsidRDefault="00CA6E55" w:rsidP="00CA6E55">
    <w:pPr>
      <w:pStyle w:val="a4"/>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w:t>
    </w:r>
    <w:r>
      <w:rPr>
        <w:rFonts w:ascii="FrankRuehl" w:hAnsi="FrankRuehl" w:cs="FrankRuehl"/>
        <w:szCs w:val="24"/>
        <w:rtl/>
      </w:rPr>
      <w:fldChar w:fldCharType="end"/>
    </w:r>
  </w:p>
  <w:p w14:paraId="40A892C1" w14:textId="77777777" w:rsidR="00847AAE" w:rsidRPr="00CA6E55" w:rsidRDefault="00CA6E55" w:rsidP="00CA6E55">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CA6E55">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34DE" w14:textId="77777777" w:rsidR="00CA6E55" w:rsidRDefault="00CA6E55" w:rsidP="00CA6E55">
    <w:pPr>
      <w:pStyle w:val="a4"/>
      <w:jc w:val="center"/>
      <w:rPr>
        <w:rFonts w:ascii="FrankRuehl" w:hAnsi="FrankRuehl" w:cs="FrankRuehl"/>
        <w:szCs w:val="24"/>
        <w:rtl/>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9B3326">
      <w:rPr>
        <w:rFonts w:ascii="FrankRuehl" w:hAnsi="FrankRuehl" w:cs="FrankRuehl"/>
        <w:noProof/>
        <w:szCs w:val="24"/>
        <w:rtl/>
      </w:rPr>
      <w:t>1</w:t>
    </w:r>
    <w:r>
      <w:rPr>
        <w:rFonts w:ascii="FrankRuehl" w:hAnsi="FrankRuehl" w:cs="FrankRuehl"/>
        <w:szCs w:val="24"/>
        <w:rtl/>
      </w:rPr>
      <w:fldChar w:fldCharType="end"/>
    </w:r>
  </w:p>
  <w:p w14:paraId="26100A22" w14:textId="77777777" w:rsidR="00847AAE" w:rsidRPr="00CA6E55" w:rsidRDefault="00CA6E55" w:rsidP="00CA6E55">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CA6E55">
      <w:rPr>
        <w:rFonts w:ascii="FrankRuehl" w:hAnsi="FrankRuehl" w:cs="FrankRuehl"/>
        <w:color w:val="000000"/>
        <w:szCs w:val="24"/>
      </w:rPr>
      <w:pict w14:anchorId="4FDDE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660AC" w14:textId="77777777" w:rsidR="002E4CA5" w:rsidRPr="00C2140D" w:rsidRDefault="002E4CA5">
      <w:pPr>
        <w:rPr>
          <w:rFonts w:cs="Arial"/>
          <w:szCs w:val="20"/>
        </w:rPr>
      </w:pPr>
      <w:r>
        <w:separator/>
      </w:r>
    </w:p>
  </w:footnote>
  <w:footnote w:type="continuationSeparator" w:id="0">
    <w:p w14:paraId="46237E85" w14:textId="77777777" w:rsidR="002E4CA5" w:rsidRPr="00C2140D" w:rsidRDefault="002E4CA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EB938" w14:textId="77777777" w:rsidR="00020483" w:rsidRPr="00CA6E55" w:rsidRDefault="00CA6E55" w:rsidP="00CA6E55">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20531-07-13</w:t>
    </w:r>
    <w:r>
      <w:rPr>
        <w:color w:val="000000"/>
        <w:sz w:val="22"/>
        <w:szCs w:val="22"/>
        <w:rtl/>
      </w:rPr>
      <w:tab/>
      <w:t xml:space="preserve"> מדינת ישראל נ' אברהם אוחנה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232EF" w14:textId="77777777" w:rsidR="00020483" w:rsidRPr="00CA6E55" w:rsidRDefault="00CA6E55" w:rsidP="00CA6E55">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20531-07-13</w:t>
    </w:r>
    <w:r>
      <w:rPr>
        <w:color w:val="000000"/>
        <w:sz w:val="22"/>
        <w:szCs w:val="22"/>
        <w:rtl/>
      </w:rPr>
      <w:tab/>
      <w:t xml:space="preserve"> מדינת ישראל נ' אברהם אוחנה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7AAE"/>
    <w:rsid w:val="00020483"/>
    <w:rsid w:val="00266E66"/>
    <w:rsid w:val="002E4CA5"/>
    <w:rsid w:val="00491130"/>
    <w:rsid w:val="00847AAE"/>
    <w:rsid w:val="009B3326"/>
    <w:rsid w:val="00CA6E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2B6B730"/>
  <w15:chartTrackingRefBased/>
  <w15:docId w15:val="{BDAFDD9B-3862-466D-BE54-60A7702E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7AAE"/>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47AAE"/>
    <w:pPr>
      <w:tabs>
        <w:tab w:val="center" w:pos="4153"/>
        <w:tab w:val="right" w:pos="8306"/>
      </w:tabs>
    </w:pPr>
  </w:style>
  <w:style w:type="paragraph" w:styleId="a4">
    <w:name w:val="footer"/>
    <w:basedOn w:val="a"/>
    <w:rsid w:val="00847AAE"/>
    <w:pPr>
      <w:tabs>
        <w:tab w:val="center" w:pos="4153"/>
        <w:tab w:val="right" w:pos="8306"/>
      </w:tabs>
    </w:pPr>
  </w:style>
  <w:style w:type="character" w:styleId="a5">
    <w:name w:val="page number"/>
    <w:basedOn w:val="a0"/>
    <w:rsid w:val="00847AAE"/>
  </w:style>
  <w:style w:type="paragraph" w:customStyle="1" w:styleId="12">
    <w:name w:val="רגיל + ‏12 נק'"/>
    <w:aliases w:val="מיושר לשני הצדדים,מרווח בין שורות:  שורה וחצי"/>
    <w:basedOn w:val="a"/>
    <w:rsid w:val="00847AAE"/>
    <w:pPr>
      <w:spacing w:line="240" w:lineRule="auto"/>
      <w:jc w:val="left"/>
    </w:pPr>
    <w:rPr>
      <w:rFonts w:ascii="Times New Roman" w:eastAsia="Times New Roman" w:hAnsi="Times New Roman"/>
      <w:b/>
      <w:bCs/>
      <w:szCs w:val="24"/>
      <w:u w:val="single"/>
    </w:rPr>
  </w:style>
  <w:style w:type="character" w:styleId="a6">
    <w:name w:val="line number"/>
    <w:basedOn w:val="a0"/>
    <w:rsid w:val="00847AAE"/>
  </w:style>
  <w:style w:type="character" w:styleId="Hyperlink">
    <w:name w:val="Hyperlink"/>
    <w:basedOn w:val="a0"/>
    <w:rsid w:val="00020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709</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4249</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2025-04-22T22:04:00Z</dcterms:created>
  <dcterms:modified xsi:type="dcterms:W3CDTF">2025-04-22T22:04:00Z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20531</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אברהם אוחנה </vt:lpwstr>
  </property>
  <property fmtid="{D5CDD505-2E9C-101B-9397-08002B2CF9AE}" pid="10" name="LAWYER">
    <vt:lpwstr>קלייר עמיאל;פרידמן</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20150120</vt:lpwstr>
  </property>
  <property fmtid="{D5CDD505-2E9C-101B-9397-08002B2CF9AE}" pid="14" name="TYPE_N_DATE">
    <vt:lpwstr>38020150120</vt:lpwstr>
  </property>
  <property fmtid="{D5CDD505-2E9C-101B-9397-08002B2CF9AE}" pid="15" name="LAWLISTTMP1">
    <vt:lpwstr>4216:2</vt:lpwstr>
  </property>
  <property fmtid="{D5CDD505-2E9C-101B-9397-08002B2CF9AE}" pid="16" name="WORDNUMPAGES">
    <vt:lpwstr>3</vt:lpwstr>
  </property>
  <property fmtid="{D5CDD505-2E9C-101B-9397-08002B2CF9AE}" pid="17" name="TYPE_ABS_DATE">
    <vt:lpwstr>380020150120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