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9233E5" w:rsidRPr="002967FA" w14:paraId="2997BFD9" w14:textId="77777777">
        <w:trPr>
          <w:trHeight w:hRule="exact" w:val="418"/>
          <w:jc w:val="center"/>
        </w:trPr>
        <w:tc>
          <w:tcPr>
            <w:tcW w:w="8720" w:type="dxa"/>
            <w:gridSpan w:val="3"/>
          </w:tcPr>
          <w:p w14:paraId="6BBC15A8" w14:textId="77777777" w:rsidR="009233E5" w:rsidRPr="002967FA" w:rsidRDefault="002967FA">
            <w:pPr>
              <w:pStyle w:val="a3"/>
              <w:tabs>
                <w:tab w:val="clear" w:pos="8306"/>
              </w:tabs>
              <w:jc w:val="center"/>
              <w:rPr>
                <w:rFonts w:ascii="Tahoma" w:hAnsi="Tahoma" w:cs="Tahoma"/>
                <w:b/>
                <w:bCs/>
                <w:color w:val="000080"/>
                <w:sz w:val="20"/>
                <w:szCs w:val="20"/>
                <w:rtl/>
              </w:rPr>
            </w:pPr>
            <w:bookmarkStart w:id="0" w:name="LastJudge"/>
            <w:r w:rsidRPr="002967FA">
              <w:rPr>
                <w:rFonts w:ascii="Tahoma" w:hAnsi="Tahoma" w:cs="Tahoma"/>
                <w:b/>
                <w:bCs/>
                <w:color w:val="000080"/>
                <w:sz w:val="20"/>
                <w:szCs w:val="20"/>
                <w:rtl/>
              </w:rPr>
              <w:t>בית משפט השלום בעכו</w:t>
            </w:r>
          </w:p>
        </w:tc>
      </w:tr>
      <w:tr w:rsidR="009233E5" w:rsidRPr="002967FA" w14:paraId="7D109BE1" w14:textId="77777777">
        <w:trPr>
          <w:trHeight w:val="337"/>
          <w:jc w:val="center"/>
        </w:trPr>
        <w:tc>
          <w:tcPr>
            <w:tcW w:w="6396" w:type="dxa"/>
          </w:tcPr>
          <w:p w14:paraId="3DA7BE60" w14:textId="77777777" w:rsidR="009233E5" w:rsidRPr="002967FA" w:rsidRDefault="002967FA">
            <w:pPr>
              <w:rPr>
                <w:b/>
                <w:bCs/>
                <w:sz w:val="26"/>
                <w:szCs w:val="26"/>
                <w:rtl/>
              </w:rPr>
            </w:pPr>
            <w:r w:rsidRPr="002967FA">
              <w:rPr>
                <w:b/>
                <w:bCs/>
                <w:sz w:val="26"/>
                <w:szCs w:val="26"/>
                <w:rtl/>
              </w:rPr>
              <w:t>ת"פ</w:t>
            </w:r>
            <w:r w:rsidRPr="002967FA">
              <w:rPr>
                <w:rFonts w:hint="cs"/>
                <w:b/>
                <w:bCs/>
                <w:sz w:val="26"/>
                <w:szCs w:val="26"/>
                <w:rtl/>
              </w:rPr>
              <w:t xml:space="preserve"> </w:t>
            </w:r>
            <w:r w:rsidRPr="002967FA">
              <w:rPr>
                <w:b/>
                <w:bCs/>
                <w:sz w:val="26"/>
                <w:szCs w:val="26"/>
                <w:rtl/>
              </w:rPr>
              <w:t>39589-07-13</w:t>
            </w:r>
            <w:r w:rsidRPr="002967FA">
              <w:rPr>
                <w:rFonts w:hint="cs"/>
                <w:b/>
                <w:bCs/>
                <w:sz w:val="26"/>
                <w:szCs w:val="26"/>
                <w:rtl/>
              </w:rPr>
              <w:t xml:space="preserve"> </w:t>
            </w:r>
            <w:r w:rsidRPr="002967FA">
              <w:rPr>
                <w:b/>
                <w:bCs/>
                <w:sz w:val="26"/>
                <w:szCs w:val="26"/>
                <w:rtl/>
              </w:rPr>
              <w:t>מדינת ישראל נ' אסדי(עציר)</w:t>
            </w:r>
          </w:p>
          <w:p w14:paraId="673F3AD8" w14:textId="77777777" w:rsidR="009233E5" w:rsidRPr="002967FA" w:rsidRDefault="009233E5">
            <w:pPr>
              <w:rPr>
                <w:b/>
                <w:bCs/>
                <w:sz w:val="26"/>
                <w:szCs w:val="26"/>
                <w:rtl/>
              </w:rPr>
            </w:pPr>
          </w:p>
        </w:tc>
        <w:tc>
          <w:tcPr>
            <w:tcW w:w="236" w:type="dxa"/>
          </w:tcPr>
          <w:p w14:paraId="7FC165BA" w14:textId="77777777" w:rsidR="009233E5" w:rsidRPr="002967FA" w:rsidRDefault="009233E5">
            <w:pPr>
              <w:pStyle w:val="a3"/>
              <w:jc w:val="right"/>
              <w:rPr>
                <w:b/>
                <w:bCs/>
                <w:sz w:val="26"/>
                <w:szCs w:val="26"/>
                <w:rtl/>
              </w:rPr>
            </w:pPr>
          </w:p>
        </w:tc>
        <w:tc>
          <w:tcPr>
            <w:tcW w:w="2088" w:type="dxa"/>
          </w:tcPr>
          <w:p w14:paraId="39689B0A" w14:textId="77777777" w:rsidR="009233E5" w:rsidRPr="002967FA" w:rsidRDefault="002967FA">
            <w:pPr>
              <w:pStyle w:val="a3"/>
              <w:tabs>
                <w:tab w:val="clear" w:pos="4153"/>
              </w:tabs>
              <w:jc w:val="right"/>
              <w:rPr>
                <w:b/>
                <w:bCs/>
                <w:sz w:val="26"/>
                <w:szCs w:val="26"/>
                <w:rtl/>
              </w:rPr>
            </w:pPr>
            <w:r w:rsidRPr="002967FA">
              <w:rPr>
                <w:b/>
                <w:bCs/>
                <w:sz w:val="26"/>
                <w:szCs w:val="26"/>
                <w:rtl/>
              </w:rPr>
              <w:t>16 אוקטובר 2013</w:t>
            </w:r>
          </w:p>
        </w:tc>
      </w:tr>
    </w:tbl>
    <w:p w14:paraId="0139115C" w14:textId="77777777" w:rsidR="009233E5" w:rsidRPr="002967FA" w:rsidRDefault="009233E5">
      <w:pPr>
        <w:pStyle w:val="a3"/>
        <w:jc w:val="center"/>
        <w:rPr>
          <w:rFonts w:ascii="Tahoma" w:hAnsi="Tahoma" w:cs="Tahoma"/>
          <w:b/>
          <w:bCs/>
          <w:color w:val="000080"/>
          <w:sz w:val="20"/>
          <w:szCs w:val="20"/>
          <w:rtl/>
        </w:rPr>
      </w:pPr>
    </w:p>
    <w:p w14:paraId="055BAB66" w14:textId="77777777" w:rsidR="009233E5" w:rsidRPr="002967FA" w:rsidRDefault="009233E5">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9233E5" w:rsidRPr="002967FA" w14:paraId="21F48F4B" w14:textId="77777777">
        <w:trPr>
          <w:trHeight w:val="337"/>
          <w:jc w:val="center"/>
        </w:trPr>
        <w:tc>
          <w:tcPr>
            <w:tcW w:w="1592" w:type="dxa"/>
          </w:tcPr>
          <w:p w14:paraId="28CB2BA5" w14:textId="77777777" w:rsidR="009233E5" w:rsidRPr="002967FA" w:rsidRDefault="002967FA">
            <w:pPr>
              <w:pStyle w:val="a3"/>
              <w:bidi w:val="0"/>
              <w:spacing w:line="360" w:lineRule="auto"/>
              <w:jc w:val="both"/>
              <w:rPr>
                <w:rFonts w:ascii="Times New Roman" w:hAnsi="Times New Roman"/>
              </w:rPr>
            </w:pPr>
            <w:r w:rsidRPr="002967FA">
              <w:rPr>
                <w:rFonts w:ascii="Times New Roman" w:hAnsi="Times New Roman"/>
              </w:rPr>
              <w:t xml:space="preserve">  </w:t>
            </w:r>
          </w:p>
        </w:tc>
        <w:tc>
          <w:tcPr>
            <w:tcW w:w="7128" w:type="dxa"/>
          </w:tcPr>
          <w:p w14:paraId="155611C6" w14:textId="77777777" w:rsidR="009233E5" w:rsidRPr="002967FA" w:rsidRDefault="002967FA">
            <w:pPr>
              <w:pStyle w:val="a3"/>
              <w:jc w:val="right"/>
              <w:rPr>
                <w:b/>
                <w:bCs/>
                <w:sz w:val="26"/>
                <w:szCs w:val="26"/>
                <w:rtl/>
              </w:rPr>
            </w:pPr>
            <w:r w:rsidRPr="002967FA">
              <w:rPr>
                <w:rFonts w:hint="cs"/>
                <w:rtl/>
              </w:rPr>
              <w:t xml:space="preserve"> 39625-07-13</w:t>
            </w:r>
          </w:p>
        </w:tc>
      </w:tr>
    </w:tbl>
    <w:p w14:paraId="3E29EE79" w14:textId="77777777" w:rsidR="009233E5" w:rsidRPr="002967FA" w:rsidRDefault="009233E5">
      <w:pPr>
        <w:spacing w:line="360" w:lineRule="auto"/>
        <w:jc w:val="both"/>
        <w:rPr>
          <w:rFonts w:ascii="Arial" w:hAnsi="Arial"/>
          <w:rtl/>
        </w:rPr>
      </w:pPr>
    </w:p>
    <w:p w14:paraId="69AE7F52" w14:textId="77777777" w:rsidR="009233E5" w:rsidRPr="002967FA" w:rsidRDefault="009233E5">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9233E5" w:rsidRPr="002967FA" w14:paraId="3DA7BB60" w14:textId="77777777">
        <w:trPr>
          <w:gridAfter w:val="1"/>
          <w:wAfter w:w="83" w:type="dxa"/>
        </w:trPr>
        <w:tc>
          <w:tcPr>
            <w:tcW w:w="8719" w:type="dxa"/>
            <w:gridSpan w:val="2"/>
          </w:tcPr>
          <w:p w14:paraId="66574966" w14:textId="77777777" w:rsidR="009233E5" w:rsidRPr="002967FA" w:rsidRDefault="002967FA">
            <w:pPr>
              <w:spacing w:line="360" w:lineRule="auto"/>
              <w:rPr>
                <w:rFonts w:ascii="Times New Roman" w:eastAsia="Times New Roman" w:hAnsi="Times New Roman"/>
                <w:b/>
                <w:bCs/>
                <w:sz w:val="26"/>
                <w:szCs w:val="26"/>
                <w:rtl/>
              </w:rPr>
            </w:pPr>
            <w:r w:rsidRPr="002967FA">
              <w:rPr>
                <w:rFonts w:ascii="Times New Roman" w:eastAsia="Times New Roman" w:hAnsi="Times New Roman" w:hint="cs"/>
                <w:b/>
                <w:bCs/>
                <w:sz w:val="26"/>
                <w:szCs w:val="26"/>
                <w:rtl/>
              </w:rPr>
              <w:t>בפני כב' ה</w:t>
            </w:r>
            <w:r w:rsidRPr="002967FA">
              <w:rPr>
                <w:rFonts w:ascii="Times New Roman" w:eastAsia="Times New Roman" w:hAnsi="Times New Roman" w:hint="cs"/>
                <w:rtl/>
              </w:rPr>
              <w:t>שופטת ג'ני טנוס</w:t>
            </w:r>
            <w:r w:rsidRPr="002967FA">
              <w:rPr>
                <w:rStyle w:val="TimesNewRomanTimesNewRoman"/>
                <w:rFonts w:eastAsia="Times New Roman"/>
                <w:rtl/>
              </w:rPr>
              <w:t xml:space="preserve"> </w:t>
            </w:r>
          </w:p>
        </w:tc>
      </w:tr>
      <w:tr w:rsidR="009233E5" w:rsidRPr="002967FA" w14:paraId="0D3C3F99" w14:textId="77777777">
        <w:tc>
          <w:tcPr>
            <w:tcW w:w="2880" w:type="dxa"/>
          </w:tcPr>
          <w:p w14:paraId="66CC2C3D" w14:textId="77777777" w:rsidR="009233E5" w:rsidRPr="002967FA" w:rsidRDefault="002967FA">
            <w:pPr>
              <w:ind w:left="26"/>
              <w:rPr>
                <w:rFonts w:ascii="Times New Roman" w:eastAsia="Times New Roman" w:hAnsi="Times New Roman"/>
                <w:b/>
                <w:bCs/>
                <w:sz w:val="26"/>
                <w:szCs w:val="26"/>
                <w:rtl/>
              </w:rPr>
            </w:pPr>
            <w:bookmarkStart w:id="1" w:name="FirstAppellant"/>
            <w:r w:rsidRPr="002967FA">
              <w:rPr>
                <w:rFonts w:ascii="Times New Roman" w:eastAsia="Times New Roman" w:hAnsi="Times New Roman" w:hint="cs"/>
                <w:b/>
                <w:bCs/>
                <w:sz w:val="26"/>
                <w:szCs w:val="26"/>
                <w:rtl/>
              </w:rPr>
              <w:t>ה</w:t>
            </w:r>
            <w:r w:rsidRPr="002967FA">
              <w:rPr>
                <w:rFonts w:ascii="Times New Roman" w:eastAsia="Times New Roman" w:hAnsi="Times New Roman" w:hint="cs"/>
                <w:rtl/>
              </w:rPr>
              <w:t>מאשימה</w:t>
            </w:r>
          </w:p>
        </w:tc>
        <w:tc>
          <w:tcPr>
            <w:tcW w:w="5922" w:type="dxa"/>
            <w:gridSpan w:val="2"/>
          </w:tcPr>
          <w:p w14:paraId="41C9FC3F" w14:textId="77777777" w:rsidR="009233E5" w:rsidRPr="002967FA" w:rsidRDefault="002967FA">
            <w:pPr>
              <w:rPr>
                <w:rFonts w:ascii="Times New Roman" w:eastAsia="Times New Roman" w:hAnsi="Times New Roman"/>
                <w:b/>
                <w:bCs/>
                <w:sz w:val="26"/>
                <w:szCs w:val="26"/>
                <w:rtl/>
              </w:rPr>
            </w:pPr>
            <w:r w:rsidRPr="002967FA">
              <w:rPr>
                <w:rFonts w:ascii="Times New Roman" w:eastAsia="Times New Roman" w:hAnsi="Times New Roman" w:hint="cs"/>
                <w:rtl/>
              </w:rPr>
              <w:t>מדינת ישראל</w:t>
            </w:r>
          </w:p>
          <w:p w14:paraId="7CDEDFCA" w14:textId="77777777" w:rsidR="009233E5" w:rsidRPr="002967FA" w:rsidRDefault="009233E5">
            <w:pPr>
              <w:rPr>
                <w:rFonts w:ascii="Times New Roman" w:eastAsia="Times New Roman" w:hAnsi="Times New Roman"/>
                <w:b/>
                <w:bCs/>
                <w:sz w:val="26"/>
                <w:szCs w:val="26"/>
                <w:rtl/>
              </w:rPr>
            </w:pPr>
          </w:p>
        </w:tc>
      </w:tr>
      <w:bookmarkEnd w:id="1"/>
      <w:tr w:rsidR="009233E5" w:rsidRPr="002967FA" w14:paraId="05674716" w14:textId="77777777">
        <w:tc>
          <w:tcPr>
            <w:tcW w:w="8802" w:type="dxa"/>
            <w:gridSpan w:val="3"/>
          </w:tcPr>
          <w:p w14:paraId="5B6083C2" w14:textId="77777777" w:rsidR="009233E5" w:rsidRPr="002967FA" w:rsidRDefault="009233E5">
            <w:pPr>
              <w:jc w:val="both"/>
              <w:rPr>
                <w:rFonts w:ascii="Arial" w:eastAsia="Times New Roman" w:hAnsi="Arial"/>
                <w:b/>
                <w:bCs/>
                <w:sz w:val="26"/>
                <w:szCs w:val="26"/>
                <w:rtl/>
              </w:rPr>
            </w:pPr>
          </w:p>
          <w:p w14:paraId="20AB85A4" w14:textId="77777777" w:rsidR="009233E5" w:rsidRPr="002967FA" w:rsidRDefault="002967FA">
            <w:pPr>
              <w:jc w:val="center"/>
              <w:rPr>
                <w:rFonts w:ascii="Arial" w:eastAsia="Times New Roman" w:hAnsi="Arial"/>
                <w:b/>
                <w:bCs/>
                <w:sz w:val="26"/>
                <w:szCs w:val="26"/>
                <w:rtl/>
              </w:rPr>
            </w:pPr>
            <w:r w:rsidRPr="002967FA">
              <w:rPr>
                <w:rFonts w:ascii="Arial" w:eastAsia="Times New Roman" w:hAnsi="Arial"/>
                <w:b/>
                <w:bCs/>
                <w:sz w:val="26"/>
                <w:szCs w:val="26"/>
                <w:rtl/>
              </w:rPr>
              <w:t>נגד</w:t>
            </w:r>
          </w:p>
          <w:p w14:paraId="6F32A816" w14:textId="77777777" w:rsidR="009233E5" w:rsidRPr="002967FA" w:rsidRDefault="009233E5">
            <w:pPr>
              <w:jc w:val="center"/>
              <w:rPr>
                <w:rFonts w:ascii="Arial" w:eastAsia="Times New Roman" w:hAnsi="Arial"/>
                <w:b/>
                <w:bCs/>
                <w:sz w:val="26"/>
                <w:szCs w:val="26"/>
              </w:rPr>
            </w:pPr>
          </w:p>
        </w:tc>
      </w:tr>
      <w:tr w:rsidR="009233E5" w:rsidRPr="002967FA" w14:paraId="63DCEFF1" w14:textId="77777777">
        <w:tc>
          <w:tcPr>
            <w:tcW w:w="2880" w:type="dxa"/>
          </w:tcPr>
          <w:p w14:paraId="661ECA77" w14:textId="77777777" w:rsidR="009233E5" w:rsidRPr="002967FA" w:rsidRDefault="002967FA">
            <w:pPr>
              <w:ind w:left="26"/>
              <w:rPr>
                <w:rFonts w:ascii="Times New Roman" w:eastAsia="Times New Roman" w:hAnsi="Times New Roman"/>
                <w:b/>
                <w:bCs/>
                <w:sz w:val="26"/>
                <w:szCs w:val="26"/>
                <w:rtl/>
              </w:rPr>
            </w:pPr>
            <w:r w:rsidRPr="002967FA">
              <w:rPr>
                <w:rFonts w:ascii="Times New Roman" w:eastAsia="Times New Roman" w:hAnsi="Times New Roman" w:hint="cs"/>
                <w:b/>
                <w:bCs/>
                <w:sz w:val="26"/>
                <w:szCs w:val="26"/>
                <w:rtl/>
              </w:rPr>
              <w:t>ה</w:t>
            </w:r>
            <w:r w:rsidRPr="002967FA">
              <w:rPr>
                <w:rFonts w:ascii="Times New Roman" w:eastAsia="Times New Roman" w:hAnsi="Times New Roman" w:hint="cs"/>
                <w:rtl/>
              </w:rPr>
              <w:t>נאשם</w:t>
            </w:r>
          </w:p>
        </w:tc>
        <w:tc>
          <w:tcPr>
            <w:tcW w:w="5922" w:type="dxa"/>
            <w:gridSpan w:val="2"/>
          </w:tcPr>
          <w:p w14:paraId="464A2F44" w14:textId="77777777" w:rsidR="009233E5" w:rsidRPr="002967FA" w:rsidRDefault="002967FA">
            <w:pPr>
              <w:rPr>
                <w:rFonts w:ascii="Times New Roman" w:eastAsia="Times New Roman" w:hAnsi="Times New Roman"/>
                <w:b/>
                <w:bCs/>
                <w:sz w:val="26"/>
                <w:szCs w:val="26"/>
                <w:rtl/>
              </w:rPr>
            </w:pPr>
            <w:r w:rsidRPr="002967FA">
              <w:rPr>
                <w:rFonts w:ascii="Times New Roman" w:eastAsia="Times New Roman" w:hAnsi="Times New Roman" w:hint="cs"/>
                <w:rtl/>
              </w:rPr>
              <w:t>קנאר אסדי (עציר)</w:t>
            </w:r>
          </w:p>
          <w:p w14:paraId="27041D18" w14:textId="77777777" w:rsidR="009233E5" w:rsidRPr="002967FA" w:rsidRDefault="009233E5">
            <w:pPr>
              <w:rPr>
                <w:rFonts w:ascii="Times New Roman" w:eastAsia="Times New Roman" w:hAnsi="Times New Roman"/>
                <w:b/>
                <w:bCs/>
                <w:sz w:val="26"/>
                <w:szCs w:val="26"/>
                <w:rtl/>
              </w:rPr>
            </w:pPr>
          </w:p>
        </w:tc>
      </w:tr>
    </w:tbl>
    <w:p w14:paraId="2DEDE2AB" w14:textId="77777777" w:rsidR="009233E5" w:rsidRPr="002967FA" w:rsidRDefault="002967FA">
      <w:pPr>
        <w:pStyle w:val="12"/>
        <w:rPr>
          <w:u w:val="none"/>
          <w:rtl/>
        </w:rPr>
      </w:pPr>
      <w:r w:rsidRPr="002967FA">
        <w:rPr>
          <w:rFonts w:hint="cs"/>
          <w:u w:val="none"/>
          <w:rtl/>
        </w:rPr>
        <w:t>נוכחים:</w:t>
      </w:r>
    </w:p>
    <w:p w14:paraId="1A1D861A" w14:textId="77777777" w:rsidR="009233E5" w:rsidRPr="002967FA" w:rsidRDefault="002967FA">
      <w:pPr>
        <w:pStyle w:val="12"/>
        <w:rPr>
          <w:b w:val="0"/>
          <w:bCs w:val="0"/>
          <w:u w:val="none"/>
          <w:rtl/>
        </w:rPr>
      </w:pPr>
      <w:bookmarkStart w:id="2" w:name="FirstLawyer"/>
      <w:r w:rsidRPr="002967FA">
        <w:rPr>
          <w:rFonts w:hint="cs"/>
          <w:b w:val="0"/>
          <w:bCs w:val="0"/>
          <w:u w:val="none"/>
          <w:rtl/>
        </w:rPr>
        <w:t>ב"כ</w:t>
      </w:r>
      <w:bookmarkEnd w:id="2"/>
      <w:r w:rsidRPr="002967FA">
        <w:rPr>
          <w:rFonts w:hint="cs"/>
          <w:b w:val="0"/>
          <w:bCs w:val="0"/>
          <w:u w:val="none"/>
          <w:rtl/>
        </w:rPr>
        <w:t xml:space="preserve"> המאשימה </w:t>
      </w:r>
      <w:r w:rsidRPr="002967FA">
        <w:rPr>
          <w:b w:val="0"/>
          <w:bCs w:val="0"/>
          <w:u w:val="none"/>
          <w:rtl/>
        </w:rPr>
        <w:t>–</w:t>
      </w:r>
      <w:r w:rsidRPr="002967FA">
        <w:rPr>
          <w:rFonts w:hint="cs"/>
          <w:b w:val="0"/>
          <w:bCs w:val="0"/>
          <w:u w:val="none"/>
          <w:rtl/>
        </w:rPr>
        <w:t xml:space="preserve"> עו"ד צביקה שרייר</w:t>
      </w:r>
    </w:p>
    <w:p w14:paraId="79AE4DF6" w14:textId="77777777" w:rsidR="009233E5" w:rsidRPr="002967FA" w:rsidRDefault="002967FA">
      <w:pPr>
        <w:pStyle w:val="12"/>
        <w:rPr>
          <w:b w:val="0"/>
          <w:bCs w:val="0"/>
          <w:u w:val="none"/>
          <w:rtl/>
        </w:rPr>
      </w:pPr>
      <w:r w:rsidRPr="002967FA">
        <w:rPr>
          <w:rFonts w:hint="cs"/>
          <w:b w:val="0"/>
          <w:bCs w:val="0"/>
          <w:u w:val="none"/>
          <w:rtl/>
        </w:rPr>
        <w:t xml:space="preserve">הנאשם </w:t>
      </w:r>
      <w:r w:rsidRPr="002967FA">
        <w:rPr>
          <w:b w:val="0"/>
          <w:bCs w:val="0"/>
          <w:u w:val="none"/>
          <w:rtl/>
        </w:rPr>
        <w:t>–</w:t>
      </w:r>
      <w:r w:rsidRPr="002967FA">
        <w:rPr>
          <w:rFonts w:hint="cs"/>
          <w:b w:val="0"/>
          <w:bCs w:val="0"/>
          <w:u w:val="none"/>
          <w:rtl/>
        </w:rPr>
        <w:t xml:space="preserve"> הובא</w:t>
      </w:r>
    </w:p>
    <w:p w14:paraId="2EF1D140" w14:textId="77777777" w:rsidR="009233E5" w:rsidRPr="002967FA" w:rsidRDefault="002967FA">
      <w:pPr>
        <w:pStyle w:val="12"/>
        <w:rPr>
          <w:b w:val="0"/>
          <w:bCs w:val="0"/>
          <w:u w:val="none"/>
          <w:rtl/>
        </w:rPr>
      </w:pPr>
      <w:r w:rsidRPr="002967FA">
        <w:rPr>
          <w:rFonts w:hint="cs"/>
          <w:b w:val="0"/>
          <w:bCs w:val="0"/>
          <w:u w:val="none"/>
          <w:rtl/>
        </w:rPr>
        <w:t xml:space="preserve">הסניגור </w:t>
      </w:r>
      <w:r w:rsidRPr="002967FA">
        <w:rPr>
          <w:b w:val="0"/>
          <w:bCs w:val="0"/>
          <w:u w:val="none"/>
          <w:rtl/>
        </w:rPr>
        <w:t>–</w:t>
      </w:r>
      <w:r w:rsidRPr="002967FA">
        <w:rPr>
          <w:rFonts w:hint="cs"/>
          <w:b w:val="0"/>
          <w:bCs w:val="0"/>
          <w:u w:val="none"/>
          <w:rtl/>
        </w:rPr>
        <w:t xml:space="preserve"> עו"ד אבי קורונל, ס. ציבורי</w:t>
      </w:r>
    </w:p>
    <w:p w14:paraId="0DF559E5" w14:textId="77777777" w:rsidR="0027489C" w:rsidRDefault="002967FA">
      <w:pPr>
        <w:spacing w:line="360" w:lineRule="auto"/>
        <w:jc w:val="center"/>
        <w:rPr>
          <w:rFonts w:ascii="Arial" w:hAnsi="Arial"/>
          <w:sz w:val="28"/>
          <w:szCs w:val="28"/>
          <w:rtl/>
        </w:rPr>
      </w:pPr>
      <w:r w:rsidRPr="002967FA">
        <w:rPr>
          <w:rFonts w:ascii="Arial" w:hAnsi="Arial"/>
          <w:b/>
          <w:color w:val="FF0000"/>
          <w:sz w:val="28"/>
          <w:rtl/>
        </w:rPr>
        <w:t>במסמך זה הושמטו פרוטוקולים</w:t>
      </w:r>
      <w:bookmarkStart w:id="3" w:name="LawTable"/>
      <w:bookmarkEnd w:id="3"/>
    </w:p>
    <w:p w14:paraId="18867146" w14:textId="77777777" w:rsidR="0027489C" w:rsidRPr="0027489C" w:rsidRDefault="0027489C" w:rsidP="0027489C">
      <w:pPr>
        <w:spacing w:after="120" w:line="240" w:lineRule="exact"/>
        <w:ind w:left="283" w:hanging="283"/>
        <w:jc w:val="both"/>
        <w:rPr>
          <w:rFonts w:ascii="FrankRuehl" w:hAnsi="FrankRuehl" w:cs="FrankRuehl"/>
          <w:rtl/>
        </w:rPr>
      </w:pPr>
    </w:p>
    <w:p w14:paraId="78B43E0D" w14:textId="77777777" w:rsidR="0027489C" w:rsidRPr="0027489C" w:rsidRDefault="0027489C" w:rsidP="0027489C">
      <w:pPr>
        <w:spacing w:after="120" w:line="240" w:lineRule="exact"/>
        <w:ind w:left="283" w:hanging="283"/>
        <w:jc w:val="both"/>
        <w:rPr>
          <w:rFonts w:ascii="FrankRuehl" w:hAnsi="FrankRuehl" w:cs="FrankRuehl"/>
          <w:rtl/>
        </w:rPr>
      </w:pPr>
      <w:r w:rsidRPr="0027489C">
        <w:rPr>
          <w:rFonts w:ascii="FrankRuehl" w:hAnsi="FrankRuehl" w:cs="FrankRuehl"/>
          <w:rtl/>
        </w:rPr>
        <w:t xml:space="preserve">חקיקה שאוזכרה: </w:t>
      </w:r>
    </w:p>
    <w:p w14:paraId="35BD7EB2" w14:textId="77777777" w:rsidR="0027489C" w:rsidRPr="0027489C" w:rsidRDefault="0027489C" w:rsidP="0027489C">
      <w:pPr>
        <w:spacing w:after="120" w:line="240" w:lineRule="exact"/>
        <w:ind w:left="283" w:hanging="283"/>
        <w:jc w:val="both"/>
        <w:rPr>
          <w:rFonts w:ascii="FrankRuehl" w:hAnsi="FrankRuehl" w:cs="FrankRuehl"/>
          <w:rtl/>
        </w:rPr>
      </w:pPr>
      <w:hyperlink r:id="rId6" w:history="1">
        <w:r w:rsidRPr="0027489C">
          <w:rPr>
            <w:rFonts w:ascii="FrankRuehl" w:hAnsi="FrankRuehl" w:cs="FrankRuehl"/>
            <w:color w:val="0000FF"/>
            <w:u w:val="single"/>
            <w:rtl/>
          </w:rPr>
          <w:t>פקודת הסמים המסוכנים [נוסח חדש], תשל"ג-1973</w:t>
        </w:r>
      </w:hyperlink>
      <w:r w:rsidRPr="0027489C">
        <w:rPr>
          <w:rFonts w:ascii="FrankRuehl" w:hAnsi="FrankRuehl" w:cs="FrankRuehl"/>
          <w:rtl/>
        </w:rPr>
        <w:t xml:space="preserve">: סע'  </w:t>
      </w:r>
      <w:hyperlink r:id="rId7" w:history="1">
        <w:r w:rsidRPr="0027489C">
          <w:rPr>
            <w:rFonts w:ascii="FrankRuehl" w:hAnsi="FrankRuehl" w:cs="FrankRuehl"/>
            <w:color w:val="0000FF"/>
            <w:u w:val="single"/>
            <w:rtl/>
          </w:rPr>
          <w:t>13א</w:t>
        </w:r>
      </w:hyperlink>
      <w:r w:rsidRPr="0027489C">
        <w:rPr>
          <w:rFonts w:ascii="FrankRuehl" w:hAnsi="FrankRuehl" w:cs="FrankRuehl"/>
          <w:rtl/>
        </w:rPr>
        <w:t xml:space="preserve">, </w:t>
      </w:r>
      <w:hyperlink r:id="rId8" w:history="1">
        <w:r w:rsidRPr="0027489C">
          <w:rPr>
            <w:rFonts w:ascii="FrankRuehl" w:hAnsi="FrankRuehl" w:cs="FrankRuehl"/>
            <w:color w:val="0000FF"/>
            <w:u w:val="single"/>
            <w:rtl/>
          </w:rPr>
          <w:t>19</w:t>
        </w:r>
      </w:hyperlink>
    </w:p>
    <w:p w14:paraId="41B243D0" w14:textId="77777777" w:rsidR="0027489C" w:rsidRPr="0027489C" w:rsidRDefault="0027489C" w:rsidP="0027489C">
      <w:pPr>
        <w:spacing w:after="120" w:line="240" w:lineRule="exact"/>
        <w:ind w:left="283" w:hanging="283"/>
        <w:jc w:val="both"/>
        <w:rPr>
          <w:rFonts w:ascii="FrankRuehl" w:hAnsi="FrankRuehl" w:cs="FrankRuehl"/>
          <w:rtl/>
        </w:rPr>
      </w:pPr>
      <w:hyperlink r:id="rId9" w:history="1">
        <w:r w:rsidRPr="0027489C">
          <w:rPr>
            <w:rFonts w:ascii="FrankRuehl" w:hAnsi="FrankRuehl" w:cs="FrankRuehl"/>
            <w:color w:val="0000FF"/>
            <w:u w:val="single"/>
            <w:rtl/>
          </w:rPr>
          <w:t>חוק העונשין, תשל"ז-1977</w:t>
        </w:r>
      </w:hyperlink>
      <w:r w:rsidRPr="0027489C">
        <w:rPr>
          <w:rFonts w:ascii="FrankRuehl" w:hAnsi="FrankRuehl" w:cs="FrankRuehl"/>
          <w:rtl/>
        </w:rPr>
        <w:t xml:space="preserve">: סע'  </w:t>
      </w:r>
      <w:hyperlink r:id="rId10" w:history="1">
        <w:r w:rsidRPr="0027489C">
          <w:rPr>
            <w:rFonts w:ascii="FrankRuehl" w:hAnsi="FrankRuehl" w:cs="FrankRuehl"/>
            <w:color w:val="0000FF"/>
            <w:u w:val="single"/>
            <w:rtl/>
          </w:rPr>
          <w:t>40ב</w:t>
        </w:r>
      </w:hyperlink>
      <w:r w:rsidRPr="0027489C">
        <w:rPr>
          <w:rFonts w:ascii="FrankRuehl" w:hAnsi="FrankRuehl" w:cs="FrankRuehl"/>
          <w:rtl/>
        </w:rPr>
        <w:t xml:space="preserve">, </w:t>
      </w:r>
      <w:hyperlink r:id="rId11" w:history="1">
        <w:r w:rsidRPr="0027489C">
          <w:rPr>
            <w:rFonts w:ascii="FrankRuehl" w:hAnsi="FrankRuehl" w:cs="FrankRuehl"/>
            <w:color w:val="0000FF"/>
            <w:u w:val="single"/>
            <w:rtl/>
          </w:rPr>
          <w:t>40ג(א)</w:t>
        </w:r>
      </w:hyperlink>
      <w:r w:rsidRPr="0027489C">
        <w:rPr>
          <w:rFonts w:ascii="FrankRuehl" w:hAnsi="FrankRuehl" w:cs="FrankRuehl"/>
          <w:rtl/>
        </w:rPr>
        <w:t xml:space="preserve">, </w:t>
      </w:r>
      <w:hyperlink r:id="rId12" w:history="1">
        <w:r w:rsidRPr="0027489C">
          <w:rPr>
            <w:rFonts w:ascii="FrankRuehl" w:hAnsi="FrankRuehl" w:cs="FrankRuehl"/>
            <w:color w:val="0000FF"/>
            <w:u w:val="single"/>
            <w:rtl/>
          </w:rPr>
          <w:t>40ט</w:t>
        </w:r>
      </w:hyperlink>
      <w:r w:rsidRPr="0027489C">
        <w:rPr>
          <w:rFonts w:ascii="FrankRuehl" w:hAnsi="FrankRuehl" w:cs="FrankRuehl"/>
          <w:rtl/>
        </w:rPr>
        <w:t xml:space="preserve">, </w:t>
      </w:r>
      <w:hyperlink r:id="rId13" w:history="1">
        <w:r w:rsidRPr="0027489C">
          <w:rPr>
            <w:rFonts w:ascii="FrankRuehl" w:hAnsi="FrankRuehl" w:cs="FrankRuehl"/>
            <w:color w:val="0000FF"/>
            <w:u w:val="single"/>
            <w:rtl/>
          </w:rPr>
          <w:t>40יב</w:t>
        </w:r>
      </w:hyperlink>
    </w:p>
    <w:p w14:paraId="6EE05189" w14:textId="77777777" w:rsidR="0027489C" w:rsidRPr="0027489C" w:rsidRDefault="0027489C" w:rsidP="0027489C">
      <w:pPr>
        <w:spacing w:after="120" w:line="240" w:lineRule="exact"/>
        <w:ind w:left="283" w:hanging="283"/>
        <w:jc w:val="both"/>
        <w:rPr>
          <w:rFonts w:ascii="FrankRuehl" w:hAnsi="FrankRuehl" w:cs="FrankRuehl"/>
          <w:rtl/>
        </w:rPr>
      </w:pPr>
    </w:p>
    <w:p w14:paraId="2EA4DFD8" w14:textId="77777777" w:rsidR="0027489C" w:rsidRPr="0027489C" w:rsidRDefault="0027489C">
      <w:pPr>
        <w:spacing w:line="360" w:lineRule="auto"/>
        <w:jc w:val="center"/>
        <w:rPr>
          <w:rFonts w:ascii="Arial" w:hAnsi="Arial"/>
          <w:sz w:val="28"/>
          <w:szCs w:val="28"/>
          <w:rtl/>
        </w:rPr>
      </w:pPr>
      <w:bookmarkStart w:id="4" w:name="LawTable_End"/>
      <w:bookmarkEnd w:id="4"/>
    </w:p>
    <w:p w14:paraId="062C2AAD" w14:textId="77777777" w:rsidR="0027489C" w:rsidRPr="0027489C" w:rsidRDefault="0027489C">
      <w:pPr>
        <w:spacing w:line="360" w:lineRule="auto"/>
        <w:jc w:val="center"/>
        <w:rPr>
          <w:rFonts w:ascii="Arial" w:hAnsi="Arial"/>
          <w:b/>
          <w:bCs/>
          <w:sz w:val="28"/>
          <w:szCs w:val="28"/>
          <w:rtl/>
        </w:rPr>
      </w:pPr>
    </w:p>
    <w:p w14:paraId="676DF414" w14:textId="77777777" w:rsidR="009233E5" w:rsidRPr="0027489C" w:rsidRDefault="009233E5">
      <w:pPr>
        <w:spacing w:line="360" w:lineRule="auto"/>
        <w:jc w:val="center"/>
        <w:rPr>
          <w:rFonts w:ascii="Arial" w:hAnsi="Arial"/>
          <w:b/>
          <w:bCs/>
          <w:sz w:val="28"/>
          <w:szCs w:val="28"/>
          <w:rtl/>
        </w:rPr>
      </w:pPr>
    </w:p>
    <w:p w14:paraId="00399D2E" w14:textId="77777777" w:rsidR="00591433" w:rsidRPr="00591433" w:rsidRDefault="00591433">
      <w:pPr>
        <w:spacing w:line="360" w:lineRule="auto"/>
        <w:jc w:val="center"/>
        <w:rPr>
          <w:rFonts w:ascii="Arial" w:hAnsi="Arial"/>
          <w:sz w:val="28"/>
          <w:szCs w:val="28"/>
          <w:rtl/>
        </w:rPr>
      </w:pPr>
    </w:p>
    <w:p w14:paraId="3D4F8F21" w14:textId="77777777" w:rsidR="00591433" w:rsidRPr="00591433" w:rsidRDefault="00591433">
      <w:pPr>
        <w:spacing w:line="360" w:lineRule="auto"/>
        <w:jc w:val="center"/>
        <w:rPr>
          <w:rFonts w:ascii="Arial" w:hAnsi="Arial"/>
          <w:b/>
          <w:bCs/>
          <w:sz w:val="28"/>
          <w:szCs w:val="28"/>
          <w:rtl/>
        </w:rPr>
      </w:pPr>
    </w:p>
    <w:p w14:paraId="3032BF48" w14:textId="77777777" w:rsidR="002967FA" w:rsidRPr="00591433" w:rsidRDefault="002967FA">
      <w:pPr>
        <w:spacing w:line="360" w:lineRule="auto"/>
        <w:jc w:val="center"/>
        <w:rPr>
          <w:rFonts w:ascii="Arial" w:hAnsi="Arial"/>
          <w:b/>
          <w:bCs/>
          <w:sz w:val="28"/>
          <w:szCs w:val="28"/>
          <w:rtl/>
        </w:rPr>
      </w:pPr>
    </w:p>
    <w:p w14:paraId="25E0EA4D" w14:textId="77777777" w:rsidR="002967FA" w:rsidRPr="002967FA" w:rsidRDefault="002967FA" w:rsidP="002967FA">
      <w:pPr>
        <w:spacing w:line="360" w:lineRule="auto"/>
        <w:jc w:val="center"/>
        <w:rPr>
          <w:rFonts w:ascii="Arial" w:hAnsi="Arial"/>
          <w:b/>
          <w:bCs/>
          <w:sz w:val="28"/>
          <w:szCs w:val="28"/>
          <w:u w:val="single"/>
          <w:rtl/>
        </w:rPr>
      </w:pPr>
      <w:bookmarkStart w:id="5" w:name="PsakDin"/>
      <w:bookmarkEnd w:id="0"/>
      <w:r w:rsidRPr="002967FA">
        <w:rPr>
          <w:rFonts w:ascii="Arial" w:hAnsi="Arial"/>
          <w:b/>
          <w:bCs/>
          <w:sz w:val="28"/>
          <w:szCs w:val="28"/>
          <w:u w:val="single"/>
          <w:rtl/>
        </w:rPr>
        <w:t>גזר דין</w:t>
      </w:r>
    </w:p>
    <w:bookmarkEnd w:id="5"/>
    <w:p w14:paraId="408947D7" w14:textId="77777777" w:rsidR="009233E5" w:rsidRDefault="002967FA">
      <w:pPr>
        <w:spacing w:line="360" w:lineRule="auto"/>
        <w:jc w:val="both"/>
        <w:rPr>
          <w:rFonts w:ascii="Arial" w:hAnsi="Arial"/>
          <w:b/>
          <w:bCs/>
          <w:u w:val="single"/>
        </w:rPr>
      </w:pPr>
      <w:r>
        <w:rPr>
          <w:rFonts w:ascii="Arial" w:hAnsi="Arial" w:hint="cs"/>
          <w:b/>
          <w:bCs/>
          <w:u w:val="single"/>
          <w:rtl/>
        </w:rPr>
        <w:t>נתוני רקע:</w:t>
      </w:r>
    </w:p>
    <w:p w14:paraId="6D95E1F6" w14:textId="77777777" w:rsidR="009233E5" w:rsidRDefault="002967FA">
      <w:pPr>
        <w:spacing w:line="360" w:lineRule="auto"/>
        <w:jc w:val="both"/>
        <w:rPr>
          <w:rFonts w:ascii="Arial" w:hAnsi="Arial"/>
          <w:rtl/>
        </w:rPr>
      </w:pPr>
      <w:bookmarkStart w:id="6" w:name="ABSTRACT_START"/>
      <w:bookmarkEnd w:id="6"/>
      <w:r>
        <w:rPr>
          <w:rFonts w:ascii="Arial" w:hAnsi="Arial" w:hint="cs"/>
          <w:rtl/>
        </w:rPr>
        <w:t xml:space="preserve">הנאשם הורשע עפ"י הודאתו בסחר בסמים מסוכנים, עבירה לפי סעיפים </w:t>
      </w:r>
      <w:hyperlink r:id="rId14" w:history="1">
        <w:r w:rsidR="0027489C" w:rsidRPr="0027489C">
          <w:rPr>
            <w:rFonts w:ascii="Arial" w:hAnsi="Arial"/>
            <w:color w:val="0000FF"/>
            <w:u w:val="single"/>
            <w:rtl/>
          </w:rPr>
          <w:t>13+19א</w:t>
        </w:r>
      </w:hyperlink>
      <w:r>
        <w:rPr>
          <w:rFonts w:ascii="Arial" w:hAnsi="Arial" w:hint="cs"/>
          <w:rtl/>
        </w:rPr>
        <w:t xml:space="preserve"> </w:t>
      </w:r>
      <w:r>
        <w:rPr>
          <w:rFonts w:ascii="Arial" w:hAnsi="Arial" w:hint="cs"/>
          <w:b/>
          <w:bCs/>
          <w:rtl/>
        </w:rPr>
        <w:t>ל</w:t>
      </w:r>
      <w:hyperlink r:id="rId15" w:history="1">
        <w:r w:rsidR="00591433" w:rsidRPr="00591433">
          <w:rPr>
            <w:rStyle w:val="Hyperlink"/>
            <w:rFonts w:ascii="Arial" w:hAnsi="Arial"/>
            <w:b/>
            <w:bCs/>
            <w:rtl/>
          </w:rPr>
          <w:t>פקודת הסמים המסוכנים</w:t>
        </w:r>
      </w:hyperlink>
      <w:r>
        <w:rPr>
          <w:rFonts w:ascii="Arial" w:hAnsi="Arial" w:hint="cs"/>
          <w:b/>
          <w:bCs/>
          <w:rtl/>
        </w:rPr>
        <w:t xml:space="preserve"> (נוסח חדש), תשל"ג – 1973</w:t>
      </w:r>
      <w:r>
        <w:rPr>
          <w:rFonts w:ascii="Arial" w:hAnsi="Arial" w:hint="cs"/>
          <w:rtl/>
        </w:rPr>
        <w:t>, וזאת בגין שני מקרי סחר שונים.</w:t>
      </w:r>
    </w:p>
    <w:p w14:paraId="2A0A98EC" w14:textId="77777777" w:rsidR="009233E5" w:rsidRDefault="009233E5">
      <w:pPr>
        <w:spacing w:line="360" w:lineRule="auto"/>
        <w:jc w:val="both"/>
        <w:rPr>
          <w:rFonts w:ascii="Arial" w:hAnsi="Arial"/>
          <w:rtl/>
        </w:rPr>
      </w:pPr>
    </w:p>
    <w:p w14:paraId="739967A1" w14:textId="77777777" w:rsidR="009233E5" w:rsidRDefault="002967FA">
      <w:pPr>
        <w:spacing w:line="360" w:lineRule="auto"/>
        <w:jc w:val="both"/>
        <w:rPr>
          <w:rFonts w:ascii="Arial" w:hAnsi="Arial"/>
          <w:rtl/>
        </w:rPr>
      </w:pPr>
      <w:r>
        <w:rPr>
          <w:rFonts w:ascii="Arial" w:hAnsi="Arial" w:hint="cs"/>
          <w:rtl/>
        </w:rPr>
        <w:t>עפ"י עובדות כתב האישום, במקרה הראשון, הנאשם מכר לסוכן משטרתי סמוי 1.34 גר' של סם מסוג חשיש ועוד 5 טבליות של סם מסוג</w:t>
      </w:r>
      <w:r>
        <w:rPr>
          <w:rFonts w:ascii="Arial" w:hAnsi="Arial"/>
        </w:rPr>
        <w:t xml:space="preserve">MDPV </w:t>
      </w:r>
      <w:r>
        <w:rPr>
          <w:rFonts w:ascii="Arial" w:hAnsi="Arial" w:hint="cs"/>
          <w:rtl/>
        </w:rPr>
        <w:t xml:space="preserve"> בתמורה לסך של 700 ₪. במקרה השני ובמועד </w:t>
      </w:r>
      <w:r>
        <w:rPr>
          <w:rFonts w:ascii="Arial" w:hAnsi="Arial" w:hint="cs"/>
          <w:rtl/>
        </w:rPr>
        <w:lastRenderedPageBreak/>
        <w:t xml:space="preserve">אחר, מכר הנאשם לאותו סוכן 5.44 גר' סם מסוג חשיש ועוד 10 טבליות סם מסוג </w:t>
      </w:r>
      <w:r>
        <w:rPr>
          <w:rFonts w:ascii="Arial" w:hAnsi="Arial"/>
        </w:rPr>
        <w:t>MDPV</w:t>
      </w:r>
      <w:r>
        <w:rPr>
          <w:rFonts w:ascii="Arial" w:hAnsi="Arial" w:hint="cs"/>
          <w:rtl/>
        </w:rPr>
        <w:t xml:space="preserve"> תמורת 2,100 ₪. </w:t>
      </w:r>
    </w:p>
    <w:p w14:paraId="5F2979C8" w14:textId="77777777" w:rsidR="009233E5" w:rsidRDefault="009233E5">
      <w:pPr>
        <w:spacing w:line="360" w:lineRule="auto"/>
        <w:jc w:val="both"/>
        <w:rPr>
          <w:rFonts w:ascii="Arial" w:hAnsi="Arial"/>
          <w:rtl/>
        </w:rPr>
      </w:pPr>
      <w:bookmarkStart w:id="7" w:name="ABSTRACT_END"/>
      <w:bookmarkEnd w:id="7"/>
    </w:p>
    <w:p w14:paraId="5531D5E1" w14:textId="77777777" w:rsidR="009233E5" w:rsidRDefault="002967FA">
      <w:pPr>
        <w:spacing w:line="360" w:lineRule="auto"/>
        <w:jc w:val="both"/>
        <w:rPr>
          <w:rFonts w:ascii="Arial" w:hAnsi="Arial"/>
          <w:b/>
          <w:bCs/>
          <w:u w:val="single"/>
          <w:rtl/>
        </w:rPr>
      </w:pPr>
      <w:r>
        <w:rPr>
          <w:rFonts w:ascii="Arial" w:hAnsi="Arial" w:hint="cs"/>
          <w:b/>
          <w:bCs/>
          <w:u w:val="single"/>
          <w:rtl/>
        </w:rPr>
        <w:t>טענות ב"כ המאשימה לעונש:</w:t>
      </w:r>
    </w:p>
    <w:p w14:paraId="73E70BFA" w14:textId="77777777" w:rsidR="009233E5" w:rsidRDefault="002967FA">
      <w:pPr>
        <w:spacing w:line="360" w:lineRule="auto"/>
        <w:jc w:val="both"/>
        <w:rPr>
          <w:rFonts w:ascii="Arial" w:hAnsi="Arial"/>
          <w:rtl/>
        </w:rPr>
      </w:pPr>
      <w:r>
        <w:rPr>
          <w:rFonts w:ascii="Arial" w:hAnsi="Arial" w:hint="cs"/>
          <w:rtl/>
        </w:rPr>
        <w:t xml:space="preserve">המאשימה הגישה את טיעוניה בכתב ובגדרם טען בא כוחה, כי לנוכח החשיבות במיגור נגע הסמים אשר פשה בארץ כמגיפה, יש למצות את הדין עם הנאשמים על ידי הטלת עונשים חמורים ומרתיעים על כל החוליות בשרשרת המסתיימת בהגעת הסם לציבור. </w:t>
      </w:r>
    </w:p>
    <w:p w14:paraId="01C35D9A" w14:textId="77777777" w:rsidR="009233E5" w:rsidRDefault="009233E5">
      <w:pPr>
        <w:spacing w:line="360" w:lineRule="auto"/>
        <w:jc w:val="both"/>
        <w:rPr>
          <w:rFonts w:ascii="Arial" w:hAnsi="Arial"/>
          <w:rtl/>
        </w:rPr>
      </w:pPr>
    </w:p>
    <w:p w14:paraId="3EEA8016" w14:textId="77777777" w:rsidR="009233E5" w:rsidRDefault="002967FA">
      <w:pPr>
        <w:spacing w:line="360" w:lineRule="auto"/>
        <w:jc w:val="both"/>
        <w:rPr>
          <w:rFonts w:ascii="Arial" w:hAnsi="Arial"/>
          <w:rtl/>
        </w:rPr>
      </w:pPr>
      <w:r>
        <w:rPr>
          <w:rFonts w:ascii="Arial" w:hAnsi="Arial" w:hint="cs"/>
          <w:rtl/>
        </w:rPr>
        <w:t xml:space="preserve">עוד נטען ע"י ב"כ המאשימה, כי בעבירות מסוג זה יש ליתן משקל מכריע לשיקולים הציבוריים ורק משקל קטן ביחס לנסיבותיו האישיות של העבריין. אלא שגם הנסיבות הקשורות בביצוע העבירה נשוא כתב האישום וגם יתר הנסיבות הרלוונטיות מצדיקות כולן הטלת עונש כבד ומרתיע, זאת משום שהנאשם סחר בסמים מסוגים שונים ובשתי הזדמנויות שונות. יתרה מזאת, עפ"י תמורה שנתקבלה תמורת הסמים, ניתן ללמוד כי הנאשם אינו במדרג הנמוך של שרשרת הפצת הסם שכן אין המדובר בסוחר מזדמן ובמכירה של כמות קטנה לשימוש עצמי. </w:t>
      </w:r>
    </w:p>
    <w:p w14:paraId="4540AD1A" w14:textId="77777777" w:rsidR="009233E5" w:rsidRDefault="009233E5">
      <w:pPr>
        <w:spacing w:line="360" w:lineRule="auto"/>
        <w:jc w:val="both"/>
        <w:rPr>
          <w:rFonts w:ascii="Arial" w:hAnsi="Arial"/>
          <w:rtl/>
        </w:rPr>
      </w:pPr>
    </w:p>
    <w:p w14:paraId="5D3D9882" w14:textId="77777777" w:rsidR="009233E5" w:rsidRDefault="002967FA">
      <w:pPr>
        <w:spacing w:line="360" w:lineRule="auto"/>
        <w:jc w:val="both"/>
        <w:rPr>
          <w:rFonts w:ascii="Arial" w:hAnsi="Arial"/>
          <w:rtl/>
        </w:rPr>
      </w:pPr>
      <w:r>
        <w:rPr>
          <w:rFonts w:ascii="Arial" w:hAnsi="Arial" w:hint="cs"/>
          <w:rtl/>
        </w:rPr>
        <w:t>לסיום טען ב"כ המאשימה, כי לנאשם עבר פלילי הכולל שתי הרשעות בעבירות סמים, האחת באחזקת סם שלא לצריכה עצמית ובגינה נידון ל-6 חודשי מאסר בפועל, והשניה בגין אחזקת סמים לצריכה עצמית.</w:t>
      </w:r>
    </w:p>
    <w:p w14:paraId="1F1099CE" w14:textId="77777777" w:rsidR="009233E5" w:rsidRDefault="009233E5">
      <w:pPr>
        <w:spacing w:line="360" w:lineRule="auto"/>
        <w:jc w:val="both"/>
        <w:rPr>
          <w:rFonts w:ascii="Arial" w:hAnsi="Arial"/>
          <w:rtl/>
        </w:rPr>
      </w:pPr>
    </w:p>
    <w:p w14:paraId="5AE940DC" w14:textId="77777777" w:rsidR="009233E5" w:rsidRDefault="002967FA">
      <w:pPr>
        <w:spacing w:line="360" w:lineRule="auto"/>
        <w:jc w:val="both"/>
        <w:rPr>
          <w:rFonts w:ascii="Arial" w:hAnsi="Arial"/>
          <w:rtl/>
        </w:rPr>
      </w:pPr>
      <w:r>
        <w:rPr>
          <w:rFonts w:ascii="Arial" w:hAnsi="Arial" w:hint="cs"/>
          <w:rtl/>
        </w:rPr>
        <w:t>בהתאם לכך עתר ב"כ המאשימה להטיל על הנאשם עונש מאסר במתחם העונש ההולם, שנע בין</w:t>
      </w:r>
      <w:r>
        <w:rPr>
          <w:rFonts w:ascii="Arial" w:hAnsi="Arial" w:hint="cs"/>
          <w:rtl/>
        </w:rPr>
        <w:br/>
        <w:t xml:space="preserve">7-18 חודשים בגין כל עבירה ועבירה, לפי האמור בהחלטת בית משפט העליון בתיק </w:t>
      </w:r>
      <w:hyperlink r:id="rId16" w:history="1">
        <w:r w:rsidR="00591433" w:rsidRPr="00591433">
          <w:rPr>
            <w:rStyle w:val="Hyperlink"/>
            <w:rFonts w:ascii="Arial" w:hAnsi="Arial"/>
            <w:rtl/>
          </w:rPr>
          <w:t>רע"פ 7996/12</w:t>
        </w:r>
      </w:hyperlink>
      <w:r>
        <w:rPr>
          <w:rFonts w:ascii="Arial" w:hAnsi="Arial" w:hint="cs"/>
          <w:rtl/>
        </w:rPr>
        <w:t xml:space="preserve"> </w:t>
      </w:r>
      <w:r>
        <w:rPr>
          <w:rFonts w:ascii="Arial" w:hAnsi="Arial" w:hint="cs"/>
          <w:b/>
          <w:bCs/>
          <w:rtl/>
        </w:rPr>
        <w:t>אליהו יוסף נ' מ"י</w:t>
      </w:r>
      <w:r>
        <w:rPr>
          <w:rFonts w:ascii="Arial" w:hAnsi="Arial" w:hint="cs"/>
          <w:rtl/>
        </w:rPr>
        <w:t xml:space="preserve"> (החלטת כב' השופט ס' ג'ובראן מיום 23.1.13), וכן מאסר על תנאי ארוך ומרתיע, קנס מכביד ופסילה מלהחזיק רישיון נהיגה.</w:t>
      </w:r>
    </w:p>
    <w:p w14:paraId="416A2DA2" w14:textId="77777777" w:rsidR="009233E5" w:rsidRDefault="009233E5">
      <w:pPr>
        <w:spacing w:line="360" w:lineRule="auto"/>
        <w:jc w:val="both"/>
        <w:rPr>
          <w:rFonts w:ascii="Arial" w:hAnsi="Arial"/>
          <w:rtl/>
        </w:rPr>
      </w:pPr>
    </w:p>
    <w:p w14:paraId="21658768" w14:textId="77777777" w:rsidR="009233E5" w:rsidRDefault="002967FA">
      <w:pPr>
        <w:spacing w:line="360" w:lineRule="auto"/>
        <w:jc w:val="both"/>
        <w:rPr>
          <w:rFonts w:ascii="Arial" w:hAnsi="Arial"/>
          <w:b/>
          <w:bCs/>
          <w:u w:val="single"/>
          <w:rtl/>
        </w:rPr>
      </w:pPr>
      <w:r>
        <w:rPr>
          <w:rFonts w:ascii="Arial" w:hAnsi="Arial" w:hint="cs"/>
          <w:b/>
          <w:bCs/>
          <w:u w:val="single"/>
          <w:rtl/>
        </w:rPr>
        <w:t>טענות הסנגור לעונש:</w:t>
      </w:r>
    </w:p>
    <w:p w14:paraId="4F08554E" w14:textId="77777777" w:rsidR="009233E5" w:rsidRDefault="002967FA">
      <w:pPr>
        <w:spacing w:line="360" w:lineRule="auto"/>
        <w:jc w:val="both"/>
        <w:rPr>
          <w:rFonts w:ascii="Arial" w:hAnsi="Arial"/>
          <w:rtl/>
        </w:rPr>
      </w:pPr>
      <w:r>
        <w:rPr>
          <w:rFonts w:ascii="Arial" w:hAnsi="Arial" w:hint="cs"/>
          <w:rtl/>
        </w:rPr>
        <w:t xml:space="preserve">לעומת זאת טען הסניגור, כי חרף החומרה העולה כביכול מסוג העבירות המיוחסות לנאשם, אין זה המקרה המצדיק הטלת עונש מאסר ממושך, זאת משום שסוג הסם המדובר בתיק דנן הוא סם 'קל' ואילו הכמות המדוברת היא כמות קטנה שמתבטאת במספר גרמים בודדים. </w:t>
      </w:r>
    </w:p>
    <w:p w14:paraId="0DBD77D7" w14:textId="77777777" w:rsidR="009233E5" w:rsidRDefault="009233E5">
      <w:pPr>
        <w:spacing w:line="360" w:lineRule="auto"/>
        <w:jc w:val="both"/>
        <w:rPr>
          <w:rFonts w:ascii="Arial" w:hAnsi="Arial"/>
          <w:rtl/>
        </w:rPr>
      </w:pPr>
    </w:p>
    <w:p w14:paraId="38AB392A" w14:textId="77777777" w:rsidR="009233E5" w:rsidRDefault="002967FA">
      <w:pPr>
        <w:spacing w:line="360" w:lineRule="auto"/>
        <w:jc w:val="both"/>
        <w:rPr>
          <w:rFonts w:ascii="Arial" w:hAnsi="Arial"/>
          <w:rtl/>
        </w:rPr>
      </w:pPr>
      <w:r>
        <w:rPr>
          <w:rFonts w:ascii="Arial" w:hAnsi="Arial" w:hint="cs"/>
          <w:rtl/>
        </w:rPr>
        <w:t xml:space="preserve">עוד טען הסניגור, כי הנאשם ביצע את העסקאות עם הסוכן המשטרתי בתור מתווך בלבד וכטובה לחבר, וזאת על רקע היכרות קודמת ויחסי חברות ביניהם מזה מספר שנים. </w:t>
      </w:r>
    </w:p>
    <w:p w14:paraId="1BBCD3BB" w14:textId="77777777" w:rsidR="009233E5" w:rsidRDefault="009233E5">
      <w:pPr>
        <w:spacing w:line="360" w:lineRule="auto"/>
        <w:jc w:val="both"/>
        <w:rPr>
          <w:rFonts w:ascii="Arial" w:hAnsi="Arial"/>
          <w:rtl/>
        </w:rPr>
      </w:pPr>
    </w:p>
    <w:p w14:paraId="36136DBF" w14:textId="77777777" w:rsidR="009233E5" w:rsidRDefault="002967FA">
      <w:pPr>
        <w:spacing w:line="360" w:lineRule="auto"/>
        <w:jc w:val="both"/>
        <w:rPr>
          <w:rFonts w:ascii="Arial" w:hAnsi="Arial"/>
          <w:rtl/>
        </w:rPr>
      </w:pPr>
      <w:r>
        <w:rPr>
          <w:rFonts w:ascii="Arial" w:hAnsi="Arial" w:hint="cs"/>
          <w:rtl/>
        </w:rPr>
        <w:t xml:space="preserve">שיקול אחר שלגביו ביקש הסניגור לתת את הדעת, מתבטא בהודאתו של הנאשם בהזדמנות הראשונה המהווה למעשה הבעת חרטה ונטילת אחריות. באותה מידה הודאה זו חסכה מזמנו  היקר של בית המשפט וחסכה את כל העלויות והטרחה הכרוכות בזימון הסוכן המשטרתי למתן עדות. </w:t>
      </w:r>
    </w:p>
    <w:p w14:paraId="226616CC" w14:textId="77777777" w:rsidR="009233E5" w:rsidRDefault="009233E5">
      <w:pPr>
        <w:spacing w:line="360" w:lineRule="auto"/>
        <w:jc w:val="both"/>
        <w:rPr>
          <w:rFonts w:ascii="Arial" w:hAnsi="Arial"/>
          <w:rtl/>
        </w:rPr>
      </w:pPr>
    </w:p>
    <w:p w14:paraId="418564DA" w14:textId="77777777" w:rsidR="009233E5" w:rsidRDefault="002967FA">
      <w:pPr>
        <w:spacing w:line="360" w:lineRule="auto"/>
        <w:jc w:val="both"/>
        <w:rPr>
          <w:rFonts w:ascii="Arial" w:hAnsi="Arial"/>
          <w:rtl/>
        </w:rPr>
      </w:pPr>
      <w:r>
        <w:rPr>
          <w:rFonts w:ascii="Arial" w:hAnsi="Arial" w:hint="cs"/>
          <w:rtl/>
        </w:rPr>
        <w:lastRenderedPageBreak/>
        <w:t xml:space="preserve">הסניגור אישר כי לנאשם שתי הרשעות קודמות בעבירות סמים, אך מדובר בהרשעות ישנות משנת 2004 ומאז לא היתה לחובתו הרשעה בעבירה כלשהי. </w:t>
      </w:r>
    </w:p>
    <w:p w14:paraId="357AE9BF" w14:textId="77777777" w:rsidR="009233E5" w:rsidRDefault="009233E5">
      <w:pPr>
        <w:spacing w:line="360" w:lineRule="auto"/>
        <w:jc w:val="both"/>
        <w:rPr>
          <w:rFonts w:ascii="Arial" w:hAnsi="Arial"/>
          <w:rtl/>
        </w:rPr>
      </w:pPr>
    </w:p>
    <w:p w14:paraId="4766031A" w14:textId="77777777" w:rsidR="009233E5" w:rsidRDefault="002967FA">
      <w:pPr>
        <w:spacing w:line="360" w:lineRule="auto"/>
        <w:jc w:val="both"/>
        <w:rPr>
          <w:rFonts w:ascii="Arial" w:hAnsi="Arial"/>
          <w:rtl/>
        </w:rPr>
      </w:pPr>
      <w:r>
        <w:rPr>
          <w:rFonts w:ascii="Arial" w:hAnsi="Arial" w:hint="cs"/>
          <w:rtl/>
        </w:rPr>
        <w:t xml:space="preserve">הסניגור ביקש להדגיש את נסיבותיו הקשות של הנאשם כמי שמפרנס ומטפל באשה חולת אפילפסיה ובשל כך עול גידול בנו הקטן נופל בעיקר על כתפיו. </w:t>
      </w:r>
    </w:p>
    <w:p w14:paraId="2F91D78F" w14:textId="77777777" w:rsidR="009233E5" w:rsidRDefault="002967FA">
      <w:pPr>
        <w:spacing w:line="360" w:lineRule="auto"/>
        <w:jc w:val="both"/>
        <w:rPr>
          <w:rFonts w:ascii="Arial" w:hAnsi="Arial"/>
          <w:rtl/>
        </w:rPr>
      </w:pPr>
      <w:r>
        <w:rPr>
          <w:rFonts w:ascii="Arial" w:hAnsi="Arial" w:hint="cs"/>
          <w:rtl/>
        </w:rPr>
        <w:t xml:space="preserve">לדידו של הסניגור, מתחם העונש ההולם נע בין מאסר אשר יכול וירוצה בעבודות שירות לבין 12 חודשי מאסר. </w:t>
      </w:r>
    </w:p>
    <w:p w14:paraId="09075DFF" w14:textId="77777777" w:rsidR="009233E5" w:rsidRDefault="009233E5">
      <w:pPr>
        <w:spacing w:line="360" w:lineRule="auto"/>
        <w:jc w:val="both"/>
        <w:rPr>
          <w:rFonts w:ascii="Arial" w:hAnsi="Arial"/>
          <w:rtl/>
        </w:rPr>
      </w:pPr>
    </w:p>
    <w:p w14:paraId="7AADB954" w14:textId="77777777" w:rsidR="009233E5" w:rsidRDefault="002967FA">
      <w:pPr>
        <w:spacing w:line="360" w:lineRule="auto"/>
        <w:jc w:val="both"/>
        <w:rPr>
          <w:rFonts w:ascii="Arial" w:hAnsi="Arial"/>
          <w:rtl/>
        </w:rPr>
      </w:pPr>
      <w:r>
        <w:rPr>
          <w:rFonts w:ascii="Arial" w:hAnsi="Arial" w:hint="cs"/>
          <w:rtl/>
        </w:rPr>
        <w:t>לפיכך ביקש הסניגור להקל עם הנאשם ולהטיל עליו עונש הנופל ממתחם העונש ההולם.</w:t>
      </w:r>
    </w:p>
    <w:p w14:paraId="75ABC678" w14:textId="77777777" w:rsidR="009233E5" w:rsidRDefault="002967FA">
      <w:pPr>
        <w:spacing w:line="360" w:lineRule="auto"/>
        <w:jc w:val="both"/>
        <w:rPr>
          <w:rFonts w:ascii="Arial" w:hAnsi="Arial"/>
          <w:rtl/>
        </w:rPr>
      </w:pPr>
      <w:r>
        <w:rPr>
          <w:rFonts w:ascii="Arial" w:hAnsi="Arial" w:hint="cs"/>
          <w:rtl/>
        </w:rPr>
        <w:t xml:space="preserve"> </w:t>
      </w:r>
    </w:p>
    <w:p w14:paraId="59E9ECA4" w14:textId="77777777" w:rsidR="009233E5" w:rsidRDefault="002967FA">
      <w:pPr>
        <w:spacing w:line="360" w:lineRule="auto"/>
        <w:jc w:val="both"/>
        <w:rPr>
          <w:rFonts w:ascii="Arial" w:hAnsi="Arial"/>
          <w:b/>
          <w:bCs/>
          <w:rtl/>
        </w:rPr>
      </w:pPr>
      <w:r>
        <w:rPr>
          <w:rFonts w:ascii="Arial" w:hAnsi="Arial" w:hint="cs"/>
          <w:b/>
          <w:bCs/>
          <w:u w:val="single"/>
          <w:rtl/>
        </w:rPr>
        <w:t>דיון</w:t>
      </w:r>
      <w:r>
        <w:rPr>
          <w:rFonts w:ascii="Arial" w:hAnsi="Arial" w:hint="cs"/>
          <w:b/>
          <w:bCs/>
          <w:rtl/>
        </w:rPr>
        <w:t>:</w:t>
      </w:r>
    </w:p>
    <w:p w14:paraId="7E2843F0" w14:textId="77777777" w:rsidR="009233E5" w:rsidRDefault="002967FA">
      <w:pPr>
        <w:spacing w:line="360" w:lineRule="auto"/>
        <w:jc w:val="both"/>
        <w:rPr>
          <w:rStyle w:val="normal-h"/>
          <w:noProof/>
          <w:rtl/>
        </w:rPr>
      </w:pPr>
      <w:r>
        <w:rPr>
          <w:rFonts w:hint="cs"/>
          <w:rtl/>
        </w:rPr>
        <w:t xml:space="preserve">לפי </w:t>
      </w:r>
      <w:hyperlink r:id="rId17" w:history="1">
        <w:r w:rsidR="0027489C" w:rsidRPr="0027489C">
          <w:rPr>
            <w:color w:val="0000FF"/>
            <w:u w:val="single"/>
            <w:rtl/>
          </w:rPr>
          <w:t>סעיף 40ב</w:t>
        </w:r>
      </w:hyperlink>
      <w:r>
        <w:rPr>
          <w:rFonts w:hint="cs"/>
          <w:rtl/>
        </w:rPr>
        <w:t xml:space="preserve"> </w:t>
      </w:r>
      <w:r>
        <w:rPr>
          <w:rFonts w:hint="cs"/>
          <w:b/>
          <w:bCs/>
          <w:rtl/>
        </w:rPr>
        <w:t>ל</w:t>
      </w:r>
      <w:hyperlink r:id="rId18" w:history="1">
        <w:r w:rsidR="00591433" w:rsidRPr="00591433">
          <w:rPr>
            <w:rStyle w:val="Hyperlink"/>
            <w:b/>
            <w:bCs/>
            <w:rtl/>
          </w:rPr>
          <w:t>חוק העונשין</w:t>
        </w:r>
      </w:hyperlink>
      <w:r>
        <w:rPr>
          <w:rFonts w:hint="cs"/>
          <w:b/>
          <w:bCs/>
          <w:rtl/>
        </w:rPr>
        <w:t>, תשל"ז-1977</w:t>
      </w:r>
      <w:r>
        <w:rPr>
          <w:rFonts w:hint="cs"/>
          <w:rtl/>
        </w:rPr>
        <w:t xml:space="preserve"> (להלן – </w:t>
      </w:r>
      <w:r>
        <w:rPr>
          <w:rFonts w:hint="cs"/>
          <w:b/>
          <w:bCs/>
          <w:rtl/>
        </w:rPr>
        <w:t>"חוק העונשין"</w:t>
      </w:r>
      <w:r>
        <w:rPr>
          <w:rFonts w:hint="cs"/>
          <w:rtl/>
        </w:rPr>
        <w:t xml:space="preserve">), העיקרון המנחה בגזירת עונשו של נאשם הוא קיומו של יחס הולם בין חומרת העבירה בנסיבותיה ומידת אשמו של הנאשם, ובין סוג העונש המוטל עליו ומידתו. לפי הקבוע </w:t>
      </w:r>
      <w:hyperlink r:id="rId19" w:history="1">
        <w:r w:rsidR="0027489C" w:rsidRPr="0027489C">
          <w:rPr>
            <w:color w:val="0000FF"/>
            <w:u w:val="single"/>
            <w:rtl/>
          </w:rPr>
          <w:t>בסעיף 40ג(א)</w:t>
        </w:r>
      </w:hyperlink>
      <w:r>
        <w:rPr>
          <w:rFonts w:hint="cs"/>
          <w:rtl/>
        </w:rPr>
        <w:t xml:space="preserve"> ל</w:t>
      </w:r>
      <w:hyperlink r:id="rId20" w:history="1">
        <w:r w:rsidR="00591433" w:rsidRPr="00591433">
          <w:rPr>
            <w:rStyle w:val="Hyperlink"/>
            <w:rtl/>
          </w:rPr>
          <w:t>חוק העונשין</w:t>
        </w:r>
      </w:hyperlink>
      <w:r>
        <w:rPr>
          <w:rFonts w:hint="cs"/>
          <w:rtl/>
        </w:rPr>
        <w:t xml:space="preserve">, השיקולים לבחינת מתחם העונש ההולם למעשה העבירה הם הערך החברתי שנפגע מביצוע העבירה ומידת הפגיעה בו, מדיניות הענישה הנהוגה, ונסיבות הקשורות בביצוע העבירה כאמור </w:t>
      </w:r>
      <w:hyperlink r:id="rId21" w:history="1">
        <w:r w:rsidR="0027489C" w:rsidRPr="0027489C">
          <w:rPr>
            <w:color w:val="0000FF"/>
            <w:u w:val="single"/>
            <w:rtl/>
          </w:rPr>
          <w:t>בסעיף 40ט</w:t>
        </w:r>
      </w:hyperlink>
      <w:r>
        <w:rPr>
          <w:rFonts w:hint="cs"/>
          <w:rtl/>
        </w:rPr>
        <w:t xml:space="preserve"> לחוק.</w:t>
      </w:r>
      <w:r>
        <w:rPr>
          <w:rStyle w:val="normal-h"/>
          <w:rFonts w:hint="cs"/>
          <w:rtl/>
        </w:rPr>
        <w:t xml:space="preserve"> על פי </w:t>
      </w:r>
      <w:hyperlink r:id="rId22" w:history="1">
        <w:r w:rsidR="0027489C" w:rsidRPr="0027489C">
          <w:rPr>
            <w:rStyle w:val="normal-h"/>
            <w:color w:val="0000FF"/>
            <w:u w:val="single"/>
            <w:rtl/>
          </w:rPr>
          <w:t>סעיף 40יב</w:t>
        </w:r>
      </w:hyperlink>
      <w:r>
        <w:rPr>
          <w:rStyle w:val="normal-h"/>
          <w:rFonts w:hint="cs"/>
          <w:rtl/>
        </w:rPr>
        <w:t xml:space="preserve"> ל</w:t>
      </w:r>
      <w:hyperlink r:id="rId23" w:history="1">
        <w:r w:rsidR="00591433" w:rsidRPr="00591433">
          <w:rPr>
            <w:rStyle w:val="Hyperlink"/>
            <w:rFonts w:ascii="Times New Roman" w:hAnsi="Times New Roman" w:cs="Times New Roman"/>
            <w:rtl/>
          </w:rPr>
          <w:t>חוק העונשין</w:t>
        </w:r>
      </w:hyperlink>
      <w:r>
        <w:rPr>
          <w:rStyle w:val="normal-h"/>
          <w:rFonts w:hint="cs"/>
          <w:rtl/>
        </w:rPr>
        <w:t xml:space="preserve">, בית המשפט רשאי לשקול נסיבות נוספות הקשורות בביצוע העבירה לשם קביעת העונש ההולם. </w:t>
      </w:r>
    </w:p>
    <w:p w14:paraId="69C351C2" w14:textId="77777777" w:rsidR="009233E5" w:rsidRDefault="009233E5">
      <w:pPr>
        <w:spacing w:line="360" w:lineRule="auto"/>
        <w:jc w:val="both"/>
        <w:rPr>
          <w:rFonts w:ascii="Arial" w:hAnsi="Arial"/>
          <w:rtl/>
        </w:rPr>
      </w:pPr>
    </w:p>
    <w:p w14:paraId="05247E2F" w14:textId="77777777" w:rsidR="009233E5" w:rsidRDefault="002967FA">
      <w:pPr>
        <w:spacing w:line="360" w:lineRule="auto"/>
        <w:jc w:val="both"/>
        <w:rPr>
          <w:rFonts w:ascii="Arial" w:hAnsi="Arial"/>
          <w:rtl/>
        </w:rPr>
      </w:pPr>
      <w:r>
        <w:rPr>
          <w:rFonts w:ascii="Arial" w:hAnsi="Arial" w:hint="cs"/>
          <w:rtl/>
        </w:rPr>
        <w:t>העבירה בה הורשע הנאשם בשני האישומים היא חמורה וניצבת במרכז הקונצנזוס של העבירות שיש לנקוט לגביהן יד קשה לנוכח הפגיעה החמורה שהן גורמות הן לחברה והן לפרט.</w:t>
      </w:r>
    </w:p>
    <w:p w14:paraId="64098A78" w14:textId="77777777" w:rsidR="009233E5" w:rsidRDefault="002967FA">
      <w:pPr>
        <w:spacing w:line="360" w:lineRule="auto"/>
        <w:jc w:val="both"/>
        <w:rPr>
          <w:rFonts w:ascii="Arial" w:hAnsi="Arial"/>
          <w:rtl/>
        </w:rPr>
      </w:pPr>
      <w:r>
        <w:rPr>
          <w:rFonts w:ascii="Arial" w:hAnsi="Arial" w:hint="cs"/>
          <w:rtl/>
        </w:rPr>
        <w:t xml:space="preserve"> </w:t>
      </w:r>
    </w:p>
    <w:p w14:paraId="5D11FCAD" w14:textId="77777777" w:rsidR="009233E5" w:rsidRDefault="002967FA">
      <w:pPr>
        <w:spacing w:line="360" w:lineRule="auto"/>
        <w:jc w:val="both"/>
        <w:rPr>
          <w:rFonts w:ascii="Times New Roman" w:hAnsi="Times New Roman"/>
          <w:noProof/>
          <w:rtl/>
        </w:rPr>
      </w:pPr>
      <w:r>
        <w:rPr>
          <w:rFonts w:hint="cs"/>
          <w:rtl/>
        </w:rPr>
        <w:t>כידוע, לעבירות בתחום הסמים המסוכנים השלכות הרסניות על שלומה, ביטחונה ובריאותה של החברה בכללותה - האחד מייבא, השני סוחר והאחר משתמש. כבר נאמר כי הסמים משחיתים כל חלקה טובה בחברה: היבואנים והסוחרים עוברים על החוק ומנצלים את תלותם להרוויח כסף שאין בו ברכה; ההיזקקות להם מדרדרת אנשים טובים שלרוב אין הפרוטה מצויה בכיסם ולכן הם פושטים על אחרים, שודדים אותם, פורצים לבתיהם ותוקפים אותם, והכול כדי להשיג מימון לרכישתו של הסם. ודוק, הגם שנאשם אינו חב מבחינה משפטית בעבירות שעוברים אחרים, אך לעת גזירת העונש יש להביא את כל האמור לעיל במניין השיקולים הרלוונטיים לגזירת העונש (</w:t>
      </w:r>
      <w:hyperlink r:id="rId24" w:history="1">
        <w:r w:rsidR="00591433" w:rsidRPr="00591433">
          <w:rPr>
            <w:rStyle w:val="Hyperlink"/>
            <w:rtl/>
          </w:rPr>
          <w:t>ע"פ 4998/95 מדינת ישראל נ' גומז-קרדוסו, פ"ד נא</w:t>
        </w:r>
      </w:hyperlink>
      <w:r>
        <w:rPr>
          <w:rFonts w:hint="cs"/>
          <w:rtl/>
        </w:rPr>
        <w:t>(3), 769, 787).</w:t>
      </w:r>
    </w:p>
    <w:p w14:paraId="161765F2" w14:textId="77777777" w:rsidR="009233E5" w:rsidRDefault="009233E5">
      <w:pPr>
        <w:spacing w:line="360" w:lineRule="auto"/>
        <w:jc w:val="both"/>
        <w:rPr>
          <w:rtl/>
        </w:rPr>
      </w:pPr>
    </w:p>
    <w:p w14:paraId="1AAEBA60" w14:textId="77777777" w:rsidR="009233E5" w:rsidRDefault="002967FA">
      <w:pPr>
        <w:spacing w:line="360" w:lineRule="auto"/>
        <w:jc w:val="both"/>
        <w:rPr>
          <w:rFonts w:ascii="Arial" w:hAnsi="Arial"/>
          <w:rtl/>
        </w:rPr>
      </w:pPr>
      <w:r>
        <w:rPr>
          <w:rFonts w:ascii="Arial" w:hAnsi="Arial" w:hint="cs"/>
          <w:rtl/>
        </w:rPr>
        <w:t xml:space="preserve">במסגרת המאבק בעבירות הסמים, ובפרט בעבירת הסחר בסמים, יש לשוות לנגד עינינו בגדר מדיניות הענישה את טובת הציבור כשיקול ממדרגה ראשונה, וכן העובדה המצערת, כי סחר בסמים מסוכנים הוא אמצעי קל ונוח לעשיית רווח. וכך נקבע על ידי בית המשפט העליון בסוגיה זו:  </w:t>
      </w:r>
    </w:p>
    <w:p w14:paraId="3C30B6F6" w14:textId="77777777" w:rsidR="009233E5" w:rsidRDefault="002967FA">
      <w:pPr>
        <w:pStyle w:val="Ruller40"/>
        <w:ind w:left="567" w:right="540"/>
        <w:rPr>
          <w:rFonts w:cs="David"/>
          <w:b/>
          <w:bCs/>
          <w:sz w:val="24"/>
          <w:szCs w:val="24"/>
          <w:rtl/>
        </w:rPr>
      </w:pPr>
      <w:r>
        <w:rPr>
          <w:rFonts w:cs="David" w:hint="cs"/>
          <w:b/>
          <w:bCs/>
          <w:sz w:val="24"/>
          <w:szCs w:val="24"/>
          <w:rtl/>
        </w:rPr>
        <w:t xml:space="preserve">"על מדיניות הענישה בעבירות של סחר בסמים, ניתן ללמוד מדברי השופטת </w:t>
      </w:r>
      <w:r>
        <w:rPr>
          <w:rFonts w:ascii="Times New Roman" w:hAnsi="Times New Roman" w:cs="David" w:hint="cs"/>
          <w:b/>
          <w:bCs/>
          <w:spacing w:val="0"/>
          <w:sz w:val="24"/>
          <w:szCs w:val="24"/>
          <w:rtl/>
        </w:rPr>
        <w:t>א' פרוקצ'יה</w:t>
      </w:r>
      <w:r>
        <w:rPr>
          <w:rFonts w:cs="David" w:hint="cs"/>
          <w:b/>
          <w:bCs/>
          <w:sz w:val="24"/>
          <w:szCs w:val="24"/>
          <w:rtl/>
        </w:rPr>
        <w:t xml:space="preserve"> ב</w:t>
      </w:r>
      <w:hyperlink r:id="rId25" w:history="1">
        <w:r w:rsidR="00591433" w:rsidRPr="00591433">
          <w:rPr>
            <w:rStyle w:val="Hyperlink"/>
            <w:rFonts w:cs="David"/>
            <w:b/>
            <w:bCs/>
            <w:sz w:val="24"/>
            <w:szCs w:val="24"/>
            <w:rtl/>
          </w:rPr>
          <w:t>ע"פ 211/09</w:t>
        </w:r>
      </w:hyperlink>
      <w:r>
        <w:rPr>
          <w:rFonts w:cs="David" w:hint="cs"/>
          <w:b/>
          <w:bCs/>
          <w:sz w:val="24"/>
          <w:szCs w:val="24"/>
          <w:rtl/>
        </w:rPr>
        <w:t xml:space="preserve"> אזולאי נ' מדינת ישראל (22.6.2010):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33E7DD26" w14:textId="77777777" w:rsidR="009233E5" w:rsidRDefault="002967FA">
      <w:pPr>
        <w:pStyle w:val="Ruller40"/>
        <w:ind w:left="567" w:right="540"/>
        <w:rPr>
          <w:rFonts w:cs="David"/>
          <w:sz w:val="24"/>
          <w:szCs w:val="24"/>
          <w:rtl/>
        </w:rPr>
      </w:pPr>
      <w:r>
        <w:rPr>
          <w:rFonts w:cs="David" w:hint="cs"/>
          <w:sz w:val="24"/>
          <w:szCs w:val="24"/>
          <w:rtl/>
        </w:rPr>
        <w:t>(</w:t>
      </w:r>
      <w:hyperlink r:id="rId26" w:history="1">
        <w:r w:rsidR="00591433" w:rsidRPr="00591433">
          <w:rPr>
            <w:rStyle w:val="Hyperlink"/>
            <w:rFonts w:cs="David"/>
            <w:sz w:val="24"/>
            <w:szCs w:val="24"/>
            <w:rtl/>
          </w:rPr>
          <w:t>ע"פ 9229/12</w:t>
        </w:r>
      </w:hyperlink>
      <w:r>
        <w:rPr>
          <w:rFonts w:cs="David" w:hint="cs"/>
          <w:sz w:val="24"/>
          <w:szCs w:val="24"/>
          <w:rtl/>
        </w:rPr>
        <w:t xml:space="preserve"> </w:t>
      </w:r>
      <w:r>
        <w:rPr>
          <w:rFonts w:cs="David" w:hint="cs"/>
          <w:b/>
          <w:bCs/>
          <w:sz w:val="24"/>
          <w:szCs w:val="24"/>
          <w:rtl/>
        </w:rPr>
        <w:t>טרבאני נ' מדינת ישראל</w:t>
      </w:r>
      <w:r>
        <w:rPr>
          <w:rFonts w:cs="David" w:hint="cs"/>
          <w:sz w:val="24"/>
          <w:szCs w:val="24"/>
          <w:rtl/>
        </w:rPr>
        <w:t>, ניתן ביום 24.7.13).</w:t>
      </w:r>
    </w:p>
    <w:p w14:paraId="611BD637" w14:textId="77777777" w:rsidR="009233E5" w:rsidRDefault="009233E5">
      <w:pPr>
        <w:spacing w:line="360" w:lineRule="auto"/>
        <w:jc w:val="both"/>
        <w:rPr>
          <w:rFonts w:ascii="Arial" w:hAnsi="Arial"/>
          <w:rtl/>
        </w:rPr>
      </w:pPr>
    </w:p>
    <w:p w14:paraId="03F5ECE7" w14:textId="77777777" w:rsidR="009233E5" w:rsidRDefault="002967FA">
      <w:pPr>
        <w:spacing w:line="360" w:lineRule="auto"/>
        <w:jc w:val="both"/>
        <w:rPr>
          <w:rFonts w:ascii="Arial" w:hAnsi="Arial"/>
          <w:rtl/>
        </w:rPr>
      </w:pPr>
      <w:r>
        <w:rPr>
          <w:rFonts w:hint="cs"/>
          <w:rtl/>
        </w:rPr>
        <w:t>ומן הכלל אל הפרט - טווח הענישה הנהוג בעבירות סמים הנו רחב, ותלוי בסוג ובכמות הסם, תדירות העיסוק, ובנסיבות ביצוע העבירות</w:t>
      </w:r>
      <w:r>
        <w:rPr>
          <w:rFonts w:ascii="Arial" w:hAnsi="Arial" w:hint="cs"/>
          <w:rtl/>
        </w:rPr>
        <w:t>. בהתאם לכך, אבחן פרמטרים אלה על רקע נסיבות המקרה שבפניי.</w:t>
      </w:r>
    </w:p>
    <w:p w14:paraId="0C8E0322" w14:textId="77777777" w:rsidR="009233E5" w:rsidRDefault="009233E5">
      <w:pPr>
        <w:spacing w:line="360" w:lineRule="auto"/>
        <w:jc w:val="both"/>
        <w:rPr>
          <w:rFonts w:ascii="Arial" w:hAnsi="Arial"/>
          <w:rtl/>
        </w:rPr>
      </w:pPr>
    </w:p>
    <w:p w14:paraId="3F1ADF15" w14:textId="77777777" w:rsidR="009233E5" w:rsidRDefault="002967FA">
      <w:pPr>
        <w:spacing w:line="360" w:lineRule="auto"/>
        <w:jc w:val="both"/>
        <w:rPr>
          <w:rFonts w:ascii="Arial" w:hAnsi="Arial"/>
          <w:rtl/>
        </w:rPr>
      </w:pPr>
      <w:r>
        <w:rPr>
          <w:rFonts w:hint="cs"/>
          <w:sz w:val="28"/>
          <w:rtl/>
        </w:rPr>
        <w:t>באשר לנסיבות הקשורות בביצוע העבירה</w:t>
      </w:r>
      <w:r>
        <w:rPr>
          <w:rFonts w:ascii="Arial" w:hAnsi="Arial" w:hint="cs"/>
          <w:rtl/>
        </w:rPr>
        <w:t xml:space="preserve"> - לצד החומרה העולה מסוג העבירה המיוחסת לנאשם, אין להתעלם מהעובדה שלא מדובר במעידה חד-פעמית של הנאשם, שכן האחרון ביצע 2 עסקאות של סחר בסמים מסוכנים, כל פעם בשני סוגי סם שונים, אם כי בסמים הנחשבים לסמים קלים. </w:t>
      </w:r>
    </w:p>
    <w:p w14:paraId="04ECF728" w14:textId="77777777" w:rsidR="009233E5" w:rsidRDefault="009233E5">
      <w:pPr>
        <w:spacing w:line="360" w:lineRule="auto"/>
        <w:jc w:val="both"/>
        <w:rPr>
          <w:rFonts w:ascii="Arial" w:hAnsi="Arial"/>
          <w:rtl/>
        </w:rPr>
      </w:pPr>
    </w:p>
    <w:p w14:paraId="11D27ACC" w14:textId="77777777" w:rsidR="009233E5" w:rsidRDefault="002967FA">
      <w:pPr>
        <w:spacing w:line="360" w:lineRule="auto"/>
        <w:jc w:val="both"/>
        <w:rPr>
          <w:rFonts w:ascii="Arial" w:hAnsi="Arial"/>
          <w:rtl/>
        </w:rPr>
      </w:pPr>
      <w:r>
        <w:rPr>
          <w:rFonts w:ascii="Arial" w:hAnsi="Arial" w:hint="cs"/>
          <w:rtl/>
        </w:rPr>
        <w:t>אשר לכמות הסמים - בית המשפט העליון קבע לעניין זה בפרשת אליהו יוסף, כי:</w:t>
      </w:r>
    </w:p>
    <w:p w14:paraId="52BD9F9A" w14:textId="77777777" w:rsidR="009233E5" w:rsidRDefault="002967FA">
      <w:pPr>
        <w:spacing w:line="360" w:lineRule="auto"/>
        <w:ind w:left="708" w:right="567"/>
        <w:jc w:val="both"/>
        <w:rPr>
          <w:rFonts w:ascii="Arial" w:hAnsi="Arial"/>
          <w:rtl/>
        </w:rPr>
      </w:pPr>
      <w:r>
        <w:rPr>
          <w:rFonts w:ascii="Arial" w:hAnsi="Arial" w:hint="cs"/>
          <w:b/>
          <w:bCs/>
          <w:rtl/>
        </w:rPr>
        <w:t xml:space="preserve">"אף אם כמויות הסמים נושא העבירות 'קטנות' ...אין בכך כדי להפחית מחומרתן של עבירות אלה ומהצורך למגר אותן באמצעות הטלת עונש בעל היבט הרתעתי" </w:t>
      </w:r>
    </w:p>
    <w:p w14:paraId="4FA0B953" w14:textId="77777777" w:rsidR="009233E5" w:rsidRDefault="009233E5">
      <w:pPr>
        <w:spacing w:line="360" w:lineRule="auto"/>
        <w:jc w:val="both"/>
        <w:rPr>
          <w:rFonts w:ascii="Arial" w:hAnsi="Arial"/>
          <w:rtl/>
        </w:rPr>
      </w:pPr>
    </w:p>
    <w:p w14:paraId="63F291F2" w14:textId="77777777" w:rsidR="009233E5" w:rsidRDefault="002967FA">
      <w:pPr>
        <w:spacing w:line="360" w:lineRule="auto"/>
        <w:jc w:val="both"/>
        <w:rPr>
          <w:rFonts w:ascii="Times New Roman" w:hAnsi="Times New Roman"/>
          <w:noProof/>
          <w:rtl/>
        </w:rPr>
      </w:pPr>
      <w:r>
        <w:rPr>
          <w:rFonts w:ascii="Arial" w:hAnsi="Arial" w:hint="cs"/>
          <w:rtl/>
        </w:rPr>
        <w:t>כמובן, שהדברים המצוטטים לעיל לגבי כמות הסם מכוונים לצורך בענישה מחמירה גם כאשר מדובר בכמות סם קטנה. אך לא יכולה להיות מחלוקת, כי אין לנהוג דין שווה לגבי עבירה המתייחסת לגרמים בודדים של סם מסוים לבין עבירה המתייחסת לכמות משמעותית יותר של הסם. וכך נקבע על ידי בית המשפט העליון בהקשר זה:</w:t>
      </w:r>
    </w:p>
    <w:p w14:paraId="6BD5E739" w14:textId="77777777" w:rsidR="009233E5" w:rsidRDefault="002967FA">
      <w:pPr>
        <w:spacing w:line="360" w:lineRule="auto"/>
        <w:ind w:left="720" w:right="709"/>
        <w:jc w:val="both"/>
        <w:rPr>
          <w:rtl/>
        </w:rPr>
      </w:pPr>
      <w:r>
        <w:rPr>
          <w:rFonts w:hint="cs"/>
          <w:rtl/>
        </w:rPr>
        <w:t>"</w:t>
      </w:r>
      <w:r>
        <w:rPr>
          <w:rFonts w:hint="cs"/>
          <w:b/>
          <w:bCs/>
          <w:rtl/>
        </w:rPr>
        <w:t>מלאכת גזירת הדין היא מלאכת מחשבת אך לא מלאכת מחשב. עם זאת, "הכמות" מהווה מרכיב, ולעיתים מרכיב דומיננטי, במעשה העבירה, ובתור שכזה כבודו במקומו מונח. הענקת משקל למשקל הסם אינה בגדר שיקול זר או לא רלוונטי. ... בהקשר זה יש לזכור כי עבירות הסם שלא לשימוש עצמי, לרבות ייבוא, מכוערות הן בהיותן דומות לשילוח אש בשדה קוצים. לצערנו הנגע מגיע לכל פינה בחברה. אמת מידה זו של ההרס הטמון בסם מלמדת כי כמות קיצונית כזו של סם פוגעת בצורה קשה יותר באינטרס הציבורי. לכל גרם נוסף יש כתובת</w:t>
      </w:r>
      <w:r>
        <w:rPr>
          <w:rFonts w:hint="cs"/>
          <w:rtl/>
        </w:rPr>
        <w:t>."</w:t>
      </w:r>
    </w:p>
    <w:p w14:paraId="08146EA5" w14:textId="77777777" w:rsidR="009233E5" w:rsidRDefault="002967FA">
      <w:pPr>
        <w:spacing w:line="360" w:lineRule="auto"/>
        <w:ind w:left="720" w:right="709"/>
        <w:jc w:val="both"/>
        <w:rPr>
          <w:rtl/>
        </w:rPr>
      </w:pPr>
      <w:r>
        <w:rPr>
          <w:rFonts w:hint="cs"/>
          <w:rtl/>
        </w:rPr>
        <w:t>(</w:t>
      </w:r>
      <w:hyperlink r:id="rId27" w:history="1">
        <w:r w:rsidR="00591433" w:rsidRPr="00591433">
          <w:rPr>
            <w:rStyle w:val="Hyperlink"/>
            <w:rtl/>
          </w:rPr>
          <w:t>ע"פ 5741/11</w:t>
        </w:r>
      </w:hyperlink>
      <w:r>
        <w:rPr>
          <w:rFonts w:hint="cs"/>
          <w:rtl/>
        </w:rPr>
        <w:t xml:space="preserve"> </w:t>
      </w:r>
      <w:r>
        <w:rPr>
          <w:rFonts w:hint="cs"/>
          <w:b/>
          <w:bCs/>
          <w:rtl/>
        </w:rPr>
        <w:t>סוארכה נ' מינת ישראל</w:t>
      </w:r>
      <w:r>
        <w:rPr>
          <w:rFonts w:hint="cs"/>
          <w:rtl/>
        </w:rPr>
        <w:t>, ניתן ביום 20.1.13).</w:t>
      </w:r>
    </w:p>
    <w:p w14:paraId="12E56A04" w14:textId="77777777" w:rsidR="009233E5" w:rsidRDefault="009233E5">
      <w:pPr>
        <w:spacing w:line="360" w:lineRule="auto"/>
        <w:jc w:val="both"/>
        <w:rPr>
          <w:rFonts w:ascii="Arial" w:hAnsi="Arial"/>
          <w:rtl/>
        </w:rPr>
      </w:pPr>
    </w:p>
    <w:p w14:paraId="0620C62B" w14:textId="77777777" w:rsidR="009233E5" w:rsidRDefault="002967FA">
      <w:pPr>
        <w:spacing w:line="360" w:lineRule="auto"/>
        <w:jc w:val="both"/>
        <w:rPr>
          <w:rFonts w:ascii="Arial" w:hAnsi="Arial"/>
          <w:rtl/>
        </w:rPr>
      </w:pPr>
      <w:r>
        <w:rPr>
          <w:rFonts w:ascii="Arial" w:hAnsi="Arial" w:hint="cs"/>
          <w:rtl/>
        </w:rPr>
        <w:t xml:space="preserve">אוסיף עוד לגבי הנסיבות הקשורות בביצוע העבירה, כי עדותו של הסוכן מיום 1.7.13 מפריכה את המסקנה אליה כיוון הסנגור בטיעוניו, לפיה הנאשם סיפק את הסמים לסוכן בתור טובה לחבר. מהודעתו של הסוכן עולה אמנם כי מדובר בחברים, אך הוא הבהיר בצורה שאינה משתמעת לשתי פנים, כי מערכת היחסים עם הנאשם היא על רקע עסקאות שביצע עמו בעבר לשם רכישת סמים! </w:t>
      </w:r>
    </w:p>
    <w:p w14:paraId="325F0144" w14:textId="77777777" w:rsidR="009233E5" w:rsidRDefault="009233E5">
      <w:pPr>
        <w:spacing w:line="360" w:lineRule="auto"/>
        <w:jc w:val="both"/>
        <w:rPr>
          <w:rFonts w:ascii="Arial" w:hAnsi="Arial"/>
          <w:rtl/>
        </w:rPr>
      </w:pPr>
    </w:p>
    <w:p w14:paraId="01C0568A" w14:textId="77777777" w:rsidR="009233E5" w:rsidRDefault="002967FA">
      <w:pPr>
        <w:spacing w:line="360" w:lineRule="auto"/>
        <w:jc w:val="both"/>
        <w:rPr>
          <w:rFonts w:ascii="Arial" w:hAnsi="Arial"/>
          <w:rtl/>
        </w:rPr>
      </w:pPr>
      <w:r>
        <w:rPr>
          <w:rFonts w:ascii="Arial" w:hAnsi="Arial" w:hint="cs"/>
          <w:rtl/>
        </w:rPr>
        <w:t>על יסוד האמור לעיל אני קובעת, כי העונש ההולם בנסיבות העניין בגין עבירות מהסוג שבנדון, הוא עונש של מאסר בפועל לתקופה שנעה בין 7-18 חודשים לכל עבירה, יחד עם רכיבי ענישה נוספים, כפי שאושר בבית המשפט העליון בעניין אליהו יוסף.</w:t>
      </w:r>
    </w:p>
    <w:p w14:paraId="4AC48E86" w14:textId="77777777" w:rsidR="009233E5" w:rsidRDefault="009233E5">
      <w:pPr>
        <w:spacing w:line="360" w:lineRule="auto"/>
        <w:jc w:val="both"/>
        <w:rPr>
          <w:rFonts w:ascii="Arial" w:hAnsi="Arial"/>
          <w:rtl/>
        </w:rPr>
      </w:pPr>
    </w:p>
    <w:p w14:paraId="719C92D4" w14:textId="77777777" w:rsidR="009233E5" w:rsidRDefault="002967FA">
      <w:pPr>
        <w:spacing w:line="360" w:lineRule="auto"/>
        <w:jc w:val="both"/>
        <w:rPr>
          <w:rFonts w:ascii="Arial" w:hAnsi="Arial"/>
          <w:rtl/>
        </w:rPr>
      </w:pPr>
      <w:r>
        <w:rPr>
          <w:rFonts w:ascii="Arial" w:hAnsi="Arial" w:hint="cs"/>
          <w:rtl/>
        </w:rPr>
        <w:t xml:space="preserve">לצד האמור עד כה, אני לוקחת בחשבון את הודאתו של הנאשם בהזדמנות הראשונה, שאכן חסכה מזמנו של בית המשפט וחסכה מהמדינה את ההוצאות הצפויות בגין העדתו של הסוכן הסמוי. </w:t>
      </w:r>
    </w:p>
    <w:p w14:paraId="1EB9D24B" w14:textId="77777777" w:rsidR="009233E5" w:rsidRDefault="009233E5">
      <w:pPr>
        <w:spacing w:line="360" w:lineRule="auto"/>
        <w:jc w:val="both"/>
        <w:rPr>
          <w:rFonts w:ascii="Arial" w:hAnsi="Arial"/>
          <w:rtl/>
        </w:rPr>
      </w:pPr>
    </w:p>
    <w:p w14:paraId="59C543B6" w14:textId="77777777" w:rsidR="009233E5" w:rsidRDefault="002967FA">
      <w:pPr>
        <w:spacing w:line="360" w:lineRule="auto"/>
        <w:jc w:val="both"/>
        <w:rPr>
          <w:rFonts w:ascii="Arial" w:hAnsi="Arial"/>
          <w:rtl/>
        </w:rPr>
      </w:pPr>
      <w:r>
        <w:rPr>
          <w:rFonts w:ascii="Arial" w:hAnsi="Arial" w:hint="cs"/>
          <w:rtl/>
        </w:rPr>
        <w:t>כמו כן, מקובלת עלי טענת הסניגור, כי ההודאה בהזדמנות הראשונה טומנת בחובה נטילת אחריות מצד הנאשם בגין מעשיו, הגם שהוא לא אמר זאת במלים מפורשות.</w:t>
      </w:r>
    </w:p>
    <w:p w14:paraId="7FC38D5B" w14:textId="77777777" w:rsidR="009233E5" w:rsidRDefault="009233E5">
      <w:pPr>
        <w:spacing w:line="360" w:lineRule="auto"/>
        <w:jc w:val="both"/>
        <w:rPr>
          <w:rFonts w:ascii="Arial" w:hAnsi="Arial"/>
          <w:rtl/>
        </w:rPr>
      </w:pPr>
    </w:p>
    <w:p w14:paraId="0C12E003" w14:textId="77777777" w:rsidR="009233E5" w:rsidRDefault="002967FA">
      <w:pPr>
        <w:spacing w:line="360" w:lineRule="auto"/>
        <w:jc w:val="both"/>
        <w:rPr>
          <w:rFonts w:ascii="Arial" w:hAnsi="Arial"/>
          <w:rtl/>
        </w:rPr>
      </w:pPr>
      <w:r>
        <w:rPr>
          <w:rFonts w:ascii="Arial" w:hAnsi="Arial" w:hint="cs"/>
          <w:rtl/>
        </w:rPr>
        <w:t>לבסוף, לקחתי בחשבון במידה מסוימת את נסיבותיו האישיות של הנאשם, כבעל לאשה חולת אפילפסיה ואב לילד קטן, וכמי שעברו הפלילי אינו מכביד יתר על המידה (לחובת הנאשם שתי הרשעות בעבירות של החזקת סמים מסוכנים, האחת לצריכה עצמית והשניה שלא לצריכה עצמית, מלפני כעשר שנים).</w:t>
      </w:r>
    </w:p>
    <w:p w14:paraId="4B28819F" w14:textId="77777777" w:rsidR="009233E5" w:rsidRDefault="009233E5">
      <w:pPr>
        <w:spacing w:line="360" w:lineRule="auto"/>
        <w:jc w:val="both"/>
        <w:rPr>
          <w:rFonts w:ascii="Arial" w:hAnsi="Arial"/>
          <w:rtl/>
        </w:rPr>
      </w:pPr>
    </w:p>
    <w:p w14:paraId="6C0182E1" w14:textId="77777777" w:rsidR="009233E5" w:rsidRDefault="002967FA">
      <w:pPr>
        <w:spacing w:line="360" w:lineRule="auto"/>
        <w:jc w:val="both"/>
        <w:rPr>
          <w:rFonts w:ascii="Arial" w:hAnsi="Arial"/>
          <w:rtl/>
        </w:rPr>
      </w:pPr>
      <w:r>
        <w:rPr>
          <w:rFonts w:ascii="Arial" w:hAnsi="Arial" w:hint="cs"/>
          <w:rtl/>
        </w:rPr>
        <w:t xml:space="preserve">באיזון הראוי, אני מוצאת כי העונש שיש להטיל על הנאשם הוא בגבולות מתחם העונש ההולם, באופן כולל לשתי העבירות יחד תוך הטלת עונש צופה פני עתיד מרתיע לצד קנס כספי הולם. </w:t>
      </w:r>
    </w:p>
    <w:p w14:paraId="1106F4F1" w14:textId="77777777" w:rsidR="009233E5" w:rsidRDefault="009233E5">
      <w:pPr>
        <w:spacing w:line="360" w:lineRule="auto"/>
        <w:jc w:val="both"/>
        <w:rPr>
          <w:rFonts w:ascii="Arial" w:hAnsi="Arial"/>
          <w:rtl/>
        </w:rPr>
      </w:pPr>
    </w:p>
    <w:p w14:paraId="52EF7720" w14:textId="77777777" w:rsidR="009233E5" w:rsidRDefault="002967FA">
      <w:pPr>
        <w:spacing w:line="360" w:lineRule="auto"/>
        <w:jc w:val="both"/>
        <w:rPr>
          <w:rFonts w:ascii="Arial" w:hAnsi="Arial"/>
          <w:rtl/>
        </w:rPr>
      </w:pPr>
      <w:r>
        <w:rPr>
          <w:rFonts w:ascii="Arial" w:hAnsi="Arial" w:hint="cs"/>
          <w:rtl/>
        </w:rPr>
        <w:t xml:space="preserve">אשר על כן, אני גוזרת על הנאשם את העונשים הבאים:     </w:t>
      </w:r>
    </w:p>
    <w:p w14:paraId="47B9DB98" w14:textId="77777777" w:rsidR="009233E5" w:rsidRDefault="009233E5">
      <w:pPr>
        <w:spacing w:line="360" w:lineRule="auto"/>
        <w:jc w:val="both"/>
        <w:rPr>
          <w:rFonts w:ascii="Arial" w:hAnsi="Arial"/>
          <w:rtl/>
        </w:rPr>
      </w:pPr>
    </w:p>
    <w:p w14:paraId="402A2F4F" w14:textId="77777777" w:rsidR="009233E5" w:rsidRDefault="002967FA">
      <w:pPr>
        <w:spacing w:line="360" w:lineRule="auto"/>
        <w:ind w:left="720" w:hanging="720"/>
        <w:jc w:val="both"/>
        <w:rPr>
          <w:rFonts w:ascii="Arial" w:hAnsi="Arial"/>
          <w:rtl/>
        </w:rPr>
      </w:pPr>
      <w:r>
        <w:rPr>
          <w:rFonts w:ascii="Arial" w:hAnsi="Arial" w:hint="cs"/>
          <w:rtl/>
        </w:rPr>
        <w:t>1.</w:t>
      </w:r>
      <w:r>
        <w:rPr>
          <w:rFonts w:ascii="Arial" w:hAnsi="Arial" w:hint="cs"/>
          <w:rtl/>
        </w:rPr>
        <w:tab/>
        <w:t>עונש מאסר בפועל למשך 10 חודשים החל מיום מעצרו בתאריך 17.7.13.</w:t>
      </w:r>
    </w:p>
    <w:p w14:paraId="2D65C26A" w14:textId="77777777" w:rsidR="009233E5" w:rsidRDefault="002967FA">
      <w:pPr>
        <w:spacing w:line="360" w:lineRule="auto"/>
        <w:ind w:left="720" w:hanging="720"/>
        <w:jc w:val="both"/>
        <w:rPr>
          <w:rFonts w:ascii="Arial" w:hAnsi="Arial"/>
          <w:rtl/>
        </w:rPr>
      </w:pPr>
      <w:r>
        <w:rPr>
          <w:rFonts w:ascii="Arial" w:hAnsi="Arial" w:hint="cs"/>
          <w:rtl/>
        </w:rPr>
        <w:t>2.</w:t>
      </w:r>
      <w:r>
        <w:rPr>
          <w:rFonts w:ascii="Arial" w:hAnsi="Arial" w:hint="cs"/>
          <w:rtl/>
        </w:rPr>
        <w:tab/>
        <w:t xml:space="preserve">מאסר על תנאי של 12 חודשים למשך 3 שנים, והתנאי הוא כי הנאשם לא יבצע עבירה לפי </w:t>
      </w:r>
      <w:hyperlink r:id="rId28" w:history="1">
        <w:r w:rsidR="00591433" w:rsidRPr="00591433">
          <w:rPr>
            <w:rStyle w:val="Hyperlink"/>
            <w:rFonts w:ascii="Arial" w:hAnsi="Arial"/>
            <w:rtl/>
          </w:rPr>
          <w:t>פקודת הסמים המסוכנים</w:t>
        </w:r>
      </w:hyperlink>
      <w:r>
        <w:rPr>
          <w:rFonts w:ascii="Arial" w:hAnsi="Arial" w:hint="cs"/>
          <w:rtl/>
        </w:rPr>
        <w:t xml:space="preserve"> מסוג פשע, ויורשע בגינה. </w:t>
      </w:r>
    </w:p>
    <w:p w14:paraId="33E038BF" w14:textId="77777777" w:rsidR="009233E5" w:rsidRDefault="002967FA">
      <w:pPr>
        <w:spacing w:line="360" w:lineRule="auto"/>
        <w:ind w:left="720" w:hanging="720"/>
        <w:jc w:val="both"/>
        <w:rPr>
          <w:rFonts w:ascii="Arial" w:hAnsi="Arial"/>
          <w:rtl/>
        </w:rPr>
      </w:pPr>
      <w:r>
        <w:rPr>
          <w:rFonts w:ascii="Arial" w:hAnsi="Arial" w:hint="cs"/>
          <w:rtl/>
        </w:rPr>
        <w:t>3.</w:t>
      </w:r>
      <w:r>
        <w:rPr>
          <w:rFonts w:ascii="Arial" w:hAnsi="Arial" w:hint="cs"/>
          <w:rtl/>
        </w:rPr>
        <w:tab/>
        <w:t xml:space="preserve">מאסר על תנאי של 5 חודשים למשך 3 שנים, והתנאי הוא כי הנאשם לא יבצע עבירה לפי </w:t>
      </w:r>
      <w:hyperlink r:id="rId29" w:history="1">
        <w:r w:rsidR="00591433" w:rsidRPr="00591433">
          <w:rPr>
            <w:rStyle w:val="Hyperlink"/>
            <w:rFonts w:ascii="Arial" w:hAnsi="Arial"/>
            <w:rtl/>
          </w:rPr>
          <w:t>פקודת הסמים המסוכנים</w:t>
        </w:r>
      </w:hyperlink>
      <w:r>
        <w:rPr>
          <w:rFonts w:ascii="Arial" w:hAnsi="Arial" w:hint="cs"/>
          <w:rtl/>
        </w:rPr>
        <w:t xml:space="preserve"> מסוג עוון, ויורשע בגינה. </w:t>
      </w:r>
    </w:p>
    <w:p w14:paraId="3BEDC1DE" w14:textId="77777777" w:rsidR="009233E5" w:rsidRDefault="002967FA">
      <w:pPr>
        <w:spacing w:line="360" w:lineRule="auto"/>
        <w:ind w:left="720" w:hanging="720"/>
        <w:jc w:val="both"/>
        <w:rPr>
          <w:rFonts w:ascii="Arial" w:hAnsi="Arial"/>
          <w:rtl/>
        </w:rPr>
      </w:pPr>
      <w:r>
        <w:rPr>
          <w:rFonts w:ascii="Arial" w:hAnsi="Arial" w:hint="cs"/>
          <w:rtl/>
        </w:rPr>
        <w:t xml:space="preserve">4. </w:t>
      </w:r>
      <w:r>
        <w:rPr>
          <w:rFonts w:ascii="Arial" w:hAnsi="Arial" w:hint="cs"/>
          <w:rtl/>
        </w:rPr>
        <w:tab/>
        <w:t>קנס בסך של 3,000 ₪ או 30 ימי מאסר תמורתו. הקנס ישולם ב- 6 תשלומים שווים ורצופים בסך של  500 כל תשלום, החל מיום 1.6.14 ובכל ראשון לחודש עוקב.</w:t>
      </w:r>
    </w:p>
    <w:p w14:paraId="2B332A41" w14:textId="77777777" w:rsidR="009233E5" w:rsidRDefault="009233E5">
      <w:pPr>
        <w:spacing w:line="360" w:lineRule="auto"/>
        <w:ind w:left="720" w:hanging="720"/>
        <w:jc w:val="both"/>
        <w:rPr>
          <w:rFonts w:ascii="Arial" w:hAnsi="Arial"/>
          <w:rtl/>
        </w:rPr>
      </w:pPr>
    </w:p>
    <w:p w14:paraId="64E8D9D3" w14:textId="77777777" w:rsidR="009233E5" w:rsidRDefault="002967FA">
      <w:pPr>
        <w:spacing w:line="360" w:lineRule="auto"/>
        <w:jc w:val="both"/>
        <w:rPr>
          <w:rFonts w:ascii="Arial" w:hAnsi="Arial"/>
          <w:rtl/>
        </w:rPr>
      </w:pPr>
      <w:r>
        <w:rPr>
          <w:rFonts w:ascii="Arial" w:hAnsi="Arial" w:hint="cs"/>
          <w:rtl/>
        </w:rPr>
        <w:t>לסיום, אני מורה על השמדת הסם וחילוט הטלפון הנייד התפוס בידי המאשימה לטובת המדינה.</w:t>
      </w:r>
    </w:p>
    <w:p w14:paraId="53F9682A" w14:textId="77777777" w:rsidR="009233E5" w:rsidRDefault="009233E5">
      <w:pPr>
        <w:spacing w:line="360" w:lineRule="auto"/>
        <w:jc w:val="both"/>
        <w:rPr>
          <w:rFonts w:ascii="Arial" w:hAnsi="Arial"/>
          <w:rtl/>
        </w:rPr>
      </w:pPr>
    </w:p>
    <w:p w14:paraId="221DFE68" w14:textId="77777777" w:rsidR="009233E5" w:rsidRDefault="002967FA">
      <w:pPr>
        <w:spacing w:line="360" w:lineRule="auto"/>
        <w:ind w:left="720" w:hanging="720"/>
        <w:jc w:val="both"/>
        <w:rPr>
          <w:rFonts w:ascii="Arial" w:hAnsi="Arial"/>
          <w:rtl/>
        </w:rPr>
      </w:pPr>
      <w:r>
        <w:rPr>
          <w:rFonts w:ascii="Arial" w:hAnsi="Arial" w:hint="cs"/>
          <w:rtl/>
        </w:rPr>
        <w:t>זכות ערעור תוך 45 ימים מהיום.</w:t>
      </w:r>
    </w:p>
    <w:p w14:paraId="73B5ABE0" w14:textId="77777777" w:rsidR="009233E5" w:rsidRDefault="002967FA">
      <w:pPr>
        <w:spacing w:line="360" w:lineRule="auto"/>
        <w:ind w:left="720" w:hanging="720"/>
        <w:jc w:val="both"/>
        <w:rPr>
          <w:rFonts w:ascii="Arial" w:hAnsi="Arial"/>
          <w:sz w:val="6"/>
          <w:szCs w:val="6"/>
          <w:rtl/>
        </w:rPr>
      </w:pPr>
      <w:r>
        <w:rPr>
          <w:rFonts w:ascii="Arial" w:hAnsi="Arial"/>
          <w:sz w:val="6"/>
          <w:szCs w:val="6"/>
          <w:rtl/>
        </w:rPr>
        <w:t>&lt;#4#&gt;</w:t>
      </w:r>
    </w:p>
    <w:p w14:paraId="1B8FB740" w14:textId="77777777" w:rsidR="009233E5" w:rsidRDefault="009233E5">
      <w:pPr>
        <w:jc w:val="right"/>
        <w:rPr>
          <w:rtl/>
        </w:rPr>
      </w:pPr>
    </w:p>
    <w:p w14:paraId="7375C3ED" w14:textId="77777777" w:rsidR="009233E5" w:rsidRDefault="002967FA">
      <w:pPr>
        <w:jc w:val="center"/>
        <w:rPr>
          <w:rtl/>
        </w:rPr>
      </w:pPr>
      <w:r w:rsidRPr="002967FA">
        <w:rPr>
          <w:b/>
          <w:bCs/>
          <w:color w:val="FFFFFF"/>
          <w:sz w:val="2"/>
          <w:szCs w:val="2"/>
          <w:rtl/>
        </w:rPr>
        <w:t>5129371</w:t>
      </w:r>
      <w:r>
        <w:rPr>
          <w:b/>
          <w:bCs/>
          <w:rtl/>
        </w:rPr>
        <w:t xml:space="preserve">ניתנה והודעה היום י"ב חשון תשע"ד, 16/10/2013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9233E5" w14:paraId="7B1FA31B" w14:textId="77777777">
        <w:trPr>
          <w:trHeight w:val="364"/>
          <w:jc w:val="right"/>
        </w:trPr>
        <w:tc>
          <w:tcPr>
            <w:tcW w:w="3708" w:type="dxa"/>
          </w:tcPr>
          <w:p w14:paraId="07EA455A" w14:textId="77777777" w:rsidR="009233E5" w:rsidRPr="002967FA" w:rsidRDefault="002967FA">
            <w:pPr>
              <w:jc w:val="center"/>
              <w:rPr>
                <w:rFonts w:ascii="Times New Roman" w:eastAsia="Times New Roman" w:hAnsi="Times New Roman" w:cs="Times New Roman"/>
                <w:color w:val="FFFFFF"/>
                <w:sz w:val="2"/>
                <w:szCs w:val="2"/>
              </w:rPr>
            </w:pPr>
            <w:r w:rsidRPr="002967FA">
              <w:rPr>
                <w:rFonts w:ascii="Times New Roman" w:eastAsia="Times New Roman" w:hAnsi="Times New Roman" w:cs="Times New Roman"/>
                <w:color w:val="FFFFFF"/>
                <w:sz w:val="2"/>
                <w:szCs w:val="2"/>
                <w:rtl/>
              </w:rPr>
              <w:t>54678313</w:t>
            </w:r>
          </w:p>
          <w:p w14:paraId="417330B0" w14:textId="77777777" w:rsidR="009233E5" w:rsidRDefault="009233E5">
            <w:pPr>
              <w:jc w:val="center"/>
              <w:rPr>
                <w:rFonts w:ascii="Times New Roman" w:eastAsia="Times New Roman" w:hAnsi="Times New Roman" w:cs="Times New Roman"/>
                <w:rtl/>
              </w:rPr>
            </w:pPr>
          </w:p>
        </w:tc>
      </w:tr>
      <w:tr w:rsidR="009233E5" w14:paraId="1A06F4EE" w14:textId="77777777">
        <w:trPr>
          <w:trHeight w:val="415"/>
          <w:jc w:val="right"/>
        </w:trPr>
        <w:tc>
          <w:tcPr>
            <w:tcW w:w="3708" w:type="dxa"/>
          </w:tcPr>
          <w:p w14:paraId="07C1347B" w14:textId="77777777" w:rsidR="009233E5" w:rsidRDefault="002967FA">
            <w:pPr>
              <w:jc w:val="center"/>
              <w:rPr>
                <w:rFonts w:ascii="Times New Roman" w:eastAsia="Times New Roman" w:hAnsi="Times New Roman"/>
                <w:b/>
                <w:bCs/>
                <w:rtl/>
              </w:rPr>
            </w:pPr>
            <w:r>
              <w:rPr>
                <w:rFonts w:ascii="Times New Roman" w:eastAsia="Times New Roman" w:hAnsi="Times New Roman" w:hint="cs"/>
                <w:rtl/>
              </w:rPr>
              <w:t>ג'ני</w:t>
            </w:r>
            <w:r>
              <w:rPr>
                <w:rFonts w:ascii="Times New Roman" w:eastAsia="Times New Roman" w:hAnsi="Times New Roman" w:hint="cs"/>
                <w:b/>
                <w:bCs/>
                <w:rtl/>
              </w:rPr>
              <w:t xml:space="preserve"> </w:t>
            </w:r>
            <w:r>
              <w:rPr>
                <w:rFonts w:ascii="Times New Roman" w:eastAsia="Times New Roman" w:hAnsi="Times New Roman" w:hint="cs"/>
                <w:rtl/>
              </w:rPr>
              <w:t>טנוס</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17EF0250" w14:textId="77777777" w:rsidR="009233E5" w:rsidRDefault="009233E5">
      <w:pPr>
        <w:jc w:val="right"/>
        <w:rPr>
          <w:rtl/>
        </w:rPr>
      </w:pPr>
      <w:bookmarkStart w:id="8" w:name="_GoBack"/>
      <w:bookmarkEnd w:id="8"/>
    </w:p>
    <w:p w14:paraId="47388536" w14:textId="77777777" w:rsidR="002967FA" w:rsidRPr="002967FA" w:rsidRDefault="002967FA" w:rsidP="002967FA">
      <w:pPr>
        <w:keepNext/>
        <w:rPr>
          <w:color w:val="000000"/>
          <w:sz w:val="22"/>
          <w:szCs w:val="22"/>
          <w:rtl/>
        </w:rPr>
      </w:pPr>
    </w:p>
    <w:p w14:paraId="5E5B53C3" w14:textId="77777777" w:rsidR="002967FA" w:rsidRPr="002967FA" w:rsidRDefault="002967FA" w:rsidP="002967FA">
      <w:pPr>
        <w:keepNext/>
        <w:rPr>
          <w:color w:val="000000"/>
          <w:sz w:val="22"/>
          <w:szCs w:val="22"/>
          <w:rtl/>
        </w:rPr>
      </w:pPr>
      <w:r w:rsidRPr="002967FA">
        <w:rPr>
          <w:color w:val="000000"/>
          <w:sz w:val="22"/>
          <w:szCs w:val="22"/>
          <w:rtl/>
        </w:rPr>
        <w:t>ג'ני טנוס 54678313</w:t>
      </w:r>
    </w:p>
    <w:p w14:paraId="70A9564C" w14:textId="77777777" w:rsidR="002967FA" w:rsidRDefault="002967FA" w:rsidP="002967FA">
      <w:r w:rsidRPr="002967FA">
        <w:rPr>
          <w:color w:val="000000"/>
          <w:rtl/>
        </w:rPr>
        <w:t>נוסח מסמך זה כפוף לשינויי ניסוח ועריכה</w:t>
      </w:r>
    </w:p>
    <w:p w14:paraId="2B60A87B" w14:textId="77777777" w:rsidR="002967FA" w:rsidRDefault="002967FA" w:rsidP="002967FA">
      <w:pPr>
        <w:rPr>
          <w:rtl/>
        </w:rPr>
      </w:pPr>
    </w:p>
    <w:p w14:paraId="362C4EBA" w14:textId="77777777" w:rsidR="002967FA" w:rsidRDefault="002967FA" w:rsidP="002967FA">
      <w:pPr>
        <w:jc w:val="center"/>
        <w:rPr>
          <w:color w:val="0000FF"/>
          <w:u w:val="single"/>
        </w:rPr>
      </w:pPr>
      <w:r w:rsidRPr="00317B84">
        <w:rPr>
          <w:color w:val="000000"/>
          <w:rtl/>
        </w:rPr>
        <w:t>בעניין עריכה ושינויים במסמכי פסיקה, חקיקה ועוד באתר נבו – הקש כאן</w:t>
      </w:r>
    </w:p>
    <w:p w14:paraId="5CD4F974" w14:textId="77777777" w:rsidR="009233E5" w:rsidRPr="002967FA" w:rsidRDefault="009233E5" w:rsidP="002967FA">
      <w:pPr>
        <w:jc w:val="center"/>
        <w:rPr>
          <w:color w:val="0000FF"/>
          <w:u w:val="single"/>
        </w:rPr>
      </w:pPr>
    </w:p>
    <w:sectPr w:rsidR="009233E5" w:rsidRPr="002967FA" w:rsidSect="002967FA">
      <w:headerReference w:type="even" r:id="rId30"/>
      <w:headerReference w:type="default" r:id="rId31"/>
      <w:footerReference w:type="even" r:id="rId32"/>
      <w:footerReference w:type="default" r:id="rId3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9ABFD" w14:textId="77777777" w:rsidR="00674926" w:rsidRPr="00841603" w:rsidRDefault="00674926">
      <w:pPr>
        <w:rPr>
          <w:rFonts w:cs="Arial"/>
          <w:szCs w:val="20"/>
        </w:rPr>
      </w:pPr>
      <w:r>
        <w:separator/>
      </w:r>
    </w:p>
  </w:endnote>
  <w:endnote w:type="continuationSeparator" w:id="0">
    <w:p w14:paraId="4BD0AB1A" w14:textId="77777777" w:rsidR="00674926" w:rsidRPr="00841603" w:rsidRDefault="0067492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FC373" w14:textId="77777777" w:rsidR="00663D03" w:rsidRDefault="00663D03" w:rsidP="002967F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12</w:t>
    </w:r>
    <w:r>
      <w:rPr>
        <w:rFonts w:ascii="FrankRuehl" w:hAnsi="FrankRuehl" w:cs="FrankRuehl"/>
        <w:rtl/>
      </w:rPr>
      <w:fldChar w:fldCharType="end"/>
    </w:r>
  </w:p>
  <w:p w14:paraId="157A0558" w14:textId="77777777" w:rsidR="00663D03" w:rsidRPr="002967FA" w:rsidRDefault="00663D03" w:rsidP="002967FA">
    <w:pPr>
      <w:pStyle w:val="a4"/>
      <w:pBdr>
        <w:top w:val="single" w:sz="4" w:space="1" w:color="auto"/>
        <w:between w:val="single" w:sz="4" w:space="0" w:color="auto"/>
      </w:pBdr>
      <w:spacing w:after="60"/>
      <w:jc w:val="center"/>
      <w:rPr>
        <w:rFonts w:ascii="FrankRuehl" w:hAnsi="FrankRuehl" w:cs="FrankRuehl"/>
        <w:color w:val="000000"/>
      </w:rPr>
    </w:pPr>
    <w:r w:rsidRPr="002967F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67AD8" w14:textId="77777777" w:rsidR="00663D03" w:rsidRDefault="00663D03" w:rsidP="002967F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806C6">
      <w:rPr>
        <w:rFonts w:ascii="FrankRuehl" w:hAnsi="FrankRuehl" w:cs="FrankRuehl"/>
        <w:noProof/>
        <w:rtl/>
      </w:rPr>
      <w:t>1</w:t>
    </w:r>
    <w:r>
      <w:rPr>
        <w:rFonts w:ascii="FrankRuehl" w:hAnsi="FrankRuehl" w:cs="FrankRuehl"/>
        <w:rtl/>
      </w:rPr>
      <w:fldChar w:fldCharType="end"/>
    </w:r>
  </w:p>
  <w:p w14:paraId="3103AD9A" w14:textId="77777777" w:rsidR="00663D03" w:rsidRPr="002967FA" w:rsidRDefault="00663D03" w:rsidP="002967FA">
    <w:pPr>
      <w:pStyle w:val="a4"/>
      <w:pBdr>
        <w:top w:val="single" w:sz="4" w:space="1" w:color="auto"/>
        <w:between w:val="single" w:sz="4" w:space="0" w:color="auto"/>
      </w:pBdr>
      <w:spacing w:after="60"/>
      <w:jc w:val="center"/>
      <w:rPr>
        <w:rFonts w:ascii="FrankRuehl" w:hAnsi="FrankRuehl" w:cs="FrankRuehl"/>
        <w:color w:val="000000"/>
      </w:rPr>
    </w:pPr>
    <w:r w:rsidRPr="002967FA">
      <w:rPr>
        <w:rFonts w:ascii="FrankRuehl" w:hAnsi="FrankRuehl" w:cs="FrankRuehl"/>
        <w:color w:val="000000"/>
      </w:rPr>
      <w:pict w14:anchorId="305E0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DF959" w14:textId="77777777" w:rsidR="00674926" w:rsidRPr="00841603" w:rsidRDefault="00674926">
      <w:pPr>
        <w:rPr>
          <w:rFonts w:cs="Arial"/>
          <w:szCs w:val="20"/>
        </w:rPr>
      </w:pPr>
      <w:r>
        <w:separator/>
      </w:r>
    </w:p>
  </w:footnote>
  <w:footnote w:type="continuationSeparator" w:id="0">
    <w:p w14:paraId="0702A34F" w14:textId="77777777" w:rsidR="00674926" w:rsidRPr="00841603" w:rsidRDefault="0067492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6EEEB" w14:textId="77777777" w:rsidR="00663D03" w:rsidRPr="002967FA" w:rsidRDefault="00663D03" w:rsidP="002967FA">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39589-07-13</w:t>
    </w:r>
    <w:r>
      <w:rPr>
        <w:color w:val="000000"/>
        <w:sz w:val="22"/>
        <w:szCs w:val="22"/>
        <w:rtl/>
      </w:rPr>
      <w:tab/>
      <w:t xml:space="preserve"> מדינת ישראל נ' קנאר אסדי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5507C" w14:textId="77777777" w:rsidR="00663D03" w:rsidRPr="002967FA" w:rsidRDefault="00663D03" w:rsidP="002967FA">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39589-07-13</w:t>
    </w:r>
    <w:r>
      <w:rPr>
        <w:color w:val="000000"/>
        <w:sz w:val="22"/>
        <w:szCs w:val="22"/>
        <w:rtl/>
      </w:rPr>
      <w:tab/>
      <w:t xml:space="preserve"> מדינת ישראל נ' קנאר אסדי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233E5"/>
    <w:rsid w:val="0027489C"/>
    <w:rsid w:val="002967FA"/>
    <w:rsid w:val="00317B84"/>
    <w:rsid w:val="00517C4D"/>
    <w:rsid w:val="00591433"/>
    <w:rsid w:val="00663D03"/>
    <w:rsid w:val="00674926"/>
    <w:rsid w:val="00864564"/>
    <w:rsid w:val="009138C7"/>
    <w:rsid w:val="009233E5"/>
    <w:rsid w:val="00950057"/>
    <w:rsid w:val="00B932FA"/>
    <w:rsid w:val="00C806C6"/>
    <w:rsid w:val="00E21B4D"/>
    <w:rsid w:val="00F440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5DA9F99"/>
  <w15:chartTrackingRefBased/>
  <w15:docId w15:val="{E481DBB3-7E07-4C10-97C5-BE5186683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233E5"/>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233E5"/>
    <w:pPr>
      <w:tabs>
        <w:tab w:val="center" w:pos="4153"/>
        <w:tab w:val="right" w:pos="8306"/>
      </w:tabs>
    </w:pPr>
  </w:style>
  <w:style w:type="paragraph" w:styleId="a4">
    <w:name w:val="footer"/>
    <w:basedOn w:val="a"/>
    <w:rsid w:val="009233E5"/>
    <w:pPr>
      <w:tabs>
        <w:tab w:val="center" w:pos="4153"/>
        <w:tab w:val="right" w:pos="8306"/>
      </w:tabs>
    </w:pPr>
  </w:style>
  <w:style w:type="character" w:styleId="a5">
    <w:name w:val="page number"/>
    <w:basedOn w:val="a0"/>
    <w:rsid w:val="009233E5"/>
  </w:style>
  <w:style w:type="character" w:customStyle="1" w:styleId="TimesNewRomanTimesNewRoman">
    <w:name w:val="סגנון (לטיני) Times New Roman (עברית ושפות אחרות) Times New Roman..."/>
    <w:basedOn w:val="a0"/>
    <w:rsid w:val="009233E5"/>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9233E5"/>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9233E5"/>
    <w:pPr>
      <w:spacing w:line="360" w:lineRule="auto"/>
      <w:jc w:val="both"/>
    </w:pPr>
    <w:rPr>
      <w:rFonts w:ascii="Times New Roman" w:eastAsia="Times New Roman" w:hAnsi="Times New Roman"/>
    </w:rPr>
  </w:style>
  <w:style w:type="character" w:customStyle="1" w:styleId="Ruller4">
    <w:name w:val="Ruller4 תו"/>
    <w:basedOn w:val="a0"/>
    <w:link w:val="Ruller40"/>
    <w:locked/>
    <w:rsid w:val="009233E5"/>
    <w:rPr>
      <w:rFonts w:ascii="Arial TUR" w:hAnsi="Arial TUR"/>
      <w:spacing w:val="10"/>
      <w:sz w:val="22"/>
      <w:szCs w:val="28"/>
      <w:lang w:bidi="he-IL"/>
    </w:rPr>
  </w:style>
  <w:style w:type="paragraph" w:customStyle="1" w:styleId="Ruller40">
    <w:name w:val="Ruller4"/>
    <w:basedOn w:val="a"/>
    <w:link w:val="Ruller4"/>
    <w:rsid w:val="009233E5"/>
    <w:pPr>
      <w:tabs>
        <w:tab w:val="left" w:pos="800"/>
      </w:tabs>
      <w:overflowPunct w:val="0"/>
      <w:adjustRightInd w:val="0"/>
      <w:spacing w:line="360" w:lineRule="auto"/>
      <w:jc w:val="both"/>
    </w:pPr>
    <w:rPr>
      <w:rFonts w:ascii="Arial TUR" w:eastAsia="Times New Roman" w:hAnsi="Arial TUR" w:cs="Times New Roman"/>
      <w:spacing w:val="10"/>
      <w:sz w:val="22"/>
      <w:szCs w:val="28"/>
    </w:rPr>
  </w:style>
  <w:style w:type="character" w:customStyle="1" w:styleId="normal-h">
    <w:name w:val="normal-h"/>
    <w:basedOn w:val="a0"/>
    <w:rsid w:val="009233E5"/>
    <w:rPr>
      <w:rFonts w:ascii="Times New Roman" w:hAnsi="Times New Roman" w:cs="Times New Roman" w:hint="default"/>
    </w:rPr>
  </w:style>
  <w:style w:type="character" w:styleId="a6">
    <w:name w:val="line number"/>
    <w:basedOn w:val="a0"/>
    <w:rsid w:val="009233E5"/>
  </w:style>
  <w:style w:type="character" w:styleId="Hyperlink">
    <w:name w:val="Hyperlink"/>
    <w:basedOn w:val="a0"/>
    <w:rsid w:val="002967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b"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612280" TargetMode="External"/><Relationship Id="rId3" Type="http://schemas.openxmlformats.org/officeDocument/2006/relationships/webSettings" Target="webSettings.xml"/><Relationship Id="rId21" Type="http://schemas.openxmlformats.org/officeDocument/2006/relationships/hyperlink" Target="http://www.nevo.co.il/law/70301/40i" TargetMode="External"/><Relationship Id="rId34" Type="http://schemas.openxmlformats.org/officeDocument/2006/relationships/fontTable" Target="fontTable.xml"/><Relationship Id="rId7" Type="http://schemas.openxmlformats.org/officeDocument/2006/relationships/hyperlink" Target="http://www.nevo.co.il/law/4216/13a" TargetMode="External"/><Relationship Id="rId12" Type="http://schemas.openxmlformats.org/officeDocument/2006/relationships/hyperlink" Target="http://www.nevo.co.il/law/70301/40i" TargetMode="External"/><Relationship Id="rId17" Type="http://schemas.openxmlformats.org/officeDocument/2006/relationships/hyperlink" Target="http://www.nevo.co.il/law/70301/40b" TargetMode="External"/><Relationship Id="rId25" Type="http://schemas.openxmlformats.org/officeDocument/2006/relationships/hyperlink" Target="http://www.nevo.co.il/case/5698919"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5605484" TargetMode="External"/><Relationship Id="rId20" Type="http://schemas.openxmlformats.org/officeDocument/2006/relationships/hyperlink" Target="http://www.nevo.co.il/law/70301" TargetMode="External"/><Relationship Id="rId29" Type="http://schemas.openxmlformats.org/officeDocument/2006/relationships/hyperlink" Target="http://www.nevo.co.il/law/4216"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case/5988308"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law/70301" TargetMode="External"/><Relationship Id="rId28" Type="http://schemas.openxmlformats.org/officeDocument/2006/relationships/hyperlink" Target="http://www.nevo.co.il/law/4216" TargetMode="External"/><Relationship Id="rId10" Type="http://schemas.openxmlformats.org/officeDocument/2006/relationships/hyperlink" Target="http://www.nevo.co.il/law/70301/40b" TargetMode="External"/><Relationship Id="rId19" Type="http://schemas.openxmlformats.org/officeDocument/2006/relationships/hyperlink" Target="http://www.nevo.co.il/law/70301/40c.a"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13a;19" TargetMode="External"/><Relationship Id="rId22" Type="http://schemas.openxmlformats.org/officeDocument/2006/relationships/hyperlink" Target="http://www.nevo.co.il/law/70301/40jb" TargetMode="External"/><Relationship Id="rId27" Type="http://schemas.openxmlformats.org/officeDocument/2006/relationships/hyperlink" Target="http://www.nevo.co.il/case/6030418"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1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1709</Words>
  <Characters>8550</Characters>
  <Application>Microsoft Office Word</Application>
  <DocSecurity>0</DocSecurity>
  <Lines>71</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10239</CharactersWithSpaces>
  <SharedDoc>false</SharedDoc>
  <HLinks>
    <vt:vector size="144" baseType="variant">
      <vt:variant>
        <vt:i4>8257637</vt:i4>
      </vt:variant>
      <vt:variant>
        <vt:i4>69</vt:i4>
      </vt:variant>
      <vt:variant>
        <vt:i4>0</vt:i4>
      </vt:variant>
      <vt:variant>
        <vt:i4>5</vt:i4>
      </vt:variant>
      <vt:variant>
        <vt:lpwstr>http://www.nevo.co.il/law/4216</vt:lpwstr>
      </vt:variant>
      <vt:variant>
        <vt:lpwstr/>
      </vt:variant>
      <vt:variant>
        <vt:i4>8257637</vt:i4>
      </vt:variant>
      <vt:variant>
        <vt:i4>66</vt:i4>
      </vt:variant>
      <vt:variant>
        <vt:i4>0</vt:i4>
      </vt:variant>
      <vt:variant>
        <vt:i4>5</vt:i4>
      </vt:variant>
      <vt:variant>
        <vt:lpwstr>http://www.nevo.co.il/law/4216</vt:lpwstr>
      </vt:variant>
      <vt:variant>
        <vt:lpwstr/>
      </vt:variant>
      <vt:variant>
        <vt:i4>3735669</vt:i4>
      </vt:variant>
      <vt:variant>
        <vt:i4>63</vt:i4>
      </vt:variant>
      <vt:variant>
        <vt:i4>0</vt:i4>
      </vt:variant>
      <vt:variant>
        <vt:i4>5</vt:i4>
      </vt:variant>
      <vt:variant>
        <vt:lpwstr>http://www.nevo.co.il/case/6030418</vt:lpwstr>
      </vt:variant>
      <vt:variant>
        <vt:lpwstr/>
      </vt:variant>
      <vt:variant>
        <vt:i4>3539064</vt:i4>
      </vt:variant>
      <vt:variant>
        <vt:i4>60</vt:i4>
      </vt:variant>
      <vt:variant>
        <vt:i4>0</vt:i4>
      </vt:variant>
      <vt:variant>
        <vt:i4>5</vt:i4>
      </vt:variant>
      <vt:variant>
        <vt:lpwstr>http://www.nevo.co.il/case/5612280</vt:lpwstr>
      </vt:variant>
      <vt:variant>
        <vt:lpwstr/>
      </vt:variant>
      <vt:variant>
        <vt:i4>3932283</vt:i4>
      </vt:variant>
      <vt:variant>
        <vt:i4>57</vt:i4>
      </vt:variant>
      <vt:variant>
        <vt:i4>0</vt:i4>
      </vt:variant>
      <vt:variant>
        <vt:i4>5</vt:i4>
      </vt:variant>
      <vt:variant>
        <vt:lpwstr>http://www.nevo.co.il/case/5698919</vt:lpwstr>
      </vt:variant>
      <vt:variant>
        <vt:lpwstr/>
      </vt:variant>
      <vt:variant>
        <vt:i4>3539061</vt:i4>
      </vt:variant>
      <vt:variant>
        <vt:i4>54</vt:i4>
      </vt:variant>
      <vt:variant>
        <vt:i4>0</vt:i4>
      </vt:variant>
      <vt:variant>
        <vt:i4>5</vt:i4>
      </vt:variant>
      <vt:variant>
        <vt:lpwstr>http://www.nevo.co.il/case/5988308</vt:lpwstr>
      </vt:variant>
      <vt:variant>
        <vt:lpwstr/>
      </vt:variant>
      <vt:variant>
        <vt:i4>7995492</vt:i4>
      </vt:variant>
      <vt:variant>
        <vt:i4>51</vt:i4>
      </vt:variant>
      <vt:variant>
        <vt:i4>0</vt:i4>
      </vt:variant>
      <vt:variant>
        <vt:i4>5</vt:i4>
      </vt:variant>
      <vt:variant>
        <vt:lpwstr>http://www.nevo.co.il/law/70301</vt:lpwstr>
      </vt:variant>
      <vt:variant>
        <vt:lpwstr/>
      </vt:variant>
      <vt:variant>
        <vt:i4>458763</vt:i4>
      </vt:variant>
      <vt:variant>
        <vt:i4>48</vt:i4>
      </vt:variant>
      <vt:variant>
        <vt:i4>0</vt:i4>
      </vt:variant>
      <vt:variant>
        <vt:i4>5</vt:i4>
      </vt:variant>
      <vt:variant>
        <vt:lpwstr>http://www.nevo.co.il/law/70301/40jb</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7995492</vt:i4>
      </vt:variant>
      <vt:variant>
        <vt:i4>42</vt:i4>
      </vt:variant>
      <vt:variant>
        <vt:i4>0</vt:i4>
      </vt:variant>
      <vt:variant>
        <vt:i4>5</vt:i4>
      </vt:variant>
      <vt:variant>
        <vt:lpwstr>http://www.nevo.co.il/law/70301</vt:lpwstr>
      </vt:variant>
      <vt:variant>
        <vt:lpwstr/>
      </vt:variant>
      <vt:variant>
        <vt:i4>4915202</vt:i4>
      </vt:variant>
      <vt:variant>
        <vt:i4>39</vt:i4>
      </vt:variant>
      <vt:variant>
        <vt:i4>0</vt:i4>
      </vt:variant>
      <vt:variant>
        <vt:i4>5</vt:i4>
      </vt:variant>
      <vt:variant>
        <vt:lpwstr>http://www.nevo.co.il/law/70301/40c.a</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http://www.nevo.co.il/law/70301/40b</vt:lpwstr>
      </vt:variant>
      <vt:variant>
        <vt:lpwstr/>
      </vt:variant>
      <vt:variant>
        <vt:i4>3473535</vt:i4>
      </vt:variant>
      <vt:variant>
        <vt:i4>30</vt:i4>
      </vt:variant>
      <vt:variant>
        <vt:i4>0</vt:i4>
      </vt:variant>
      <vt:variant>
        <vt:i4>5</vt:i4>
      </vt:variant>
      <vt:variant>
        <vt:lpwstr>http://www.nevo.co.il/case/5605484</vt:lpwstr>
      </vt:variant>
      <vt:variant>
        <vt:lpwstr/>
      </vt:variant>
      <vt:variant>
        <vt:i4>8257637</vt:i4>
      </vt:variant>
      <vt:variant>
        <vt:i4>27</vt:i4>
      </vt:variant>
      <vt:variant>
        <vt:i4>0</vt:i4>
      </vt:variant>
      <vt:variant>
        <vt:i4>5</vt:i4>
      </vt:variant>
      <vt:variant>
        <vt:lpwstr>http://www.nevo.co.il/law/4216</vt:lpwstr>
      </vt:variant>
      <vt:variant>
        <vt:lpwstr/>
      </vt:variant>
      <vt:variant>
        <vt:i4>2031682</vt:i4>
      </vt:variant>
      <vt:variant>
        <vt:i4>24</vt:i4>
      </vt:variant>
      <vt:variant>
        <vt:i4>0</vt:i4>
      </vt:variant>
      <vt:variant>
        <vt:i4>5</vt:i4>
      </vt:variant>
      <vt:variant>
        <vt:lpwstr>http://www.nevo.co.il/law/4216/13a;19</vt:lpwstr>
      </vt:variant>
      <vt:variant>
        <vt:lpwstr/>
      </vt:variant>
      <vt:variant>
        <vt:i4>458763</vt:i4>
      </vt:variant>
      <vt:variant>
        <vt:i4>21</vt:i4>
      </vt:variant>
      <vt:variant>
        <vt:i4>0</vt:i4>
      </vt:variant>
      <vt:variant>
        <vt:i4>5</vt:i4>
      </vt:variant>
      <vt:variant>
        <vt:lpwstr>http://www.nevo.co.il/law/70301/40jb</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http://www.nevo.co.il/law/4216/19</vt:lpwstr>
      </vt:variant>
      <vt:variant>
        <vt:lpwstr/>
      </vt:variant>
      <vt:variant>
        <vt:i4>3014777</vt:i4>
      </vt:variant>
      <vt:variant>
        <vt:i4>3</vt:i4>
      </vt:variant>
      <vt:variant>
        <vt:i4>0</vt:i4>
      </vt:variant>
      <vt:variant>
        <vt:i4>5</vt:i4>
      </vt:variant>
      <vt:variant>
        <vt:lpwstr>http://www.nevo.co.il/law/4216/13a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2025-04-22T22:05:00Z</dcterms:created>
  <dcterms:modified xsi:type="dcterms:W3CDTF">2025-04-22T22:05:00Z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39589</vt:lpwstr>
  </property>
  <property fmtid="{D5CDD505-2E9C-101B-9397-08002B2CF9AE}" pid="6" name="NEWPARTB">
    <vt:lpwstr>07</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קנאר אסדי</vt:lpwstr>
  </property>
  <property fmtid="{D5CDD505-2E9C-101B-9397-08002B2CF9AE}" pid="10" name="LAWYER">
    <vt:lpwstr>צביקה שרייר</vt:lpwstr>
  </property>
  <property fmtid="{D5CDD505-2E9C-101B-9397-08002B2CF9AE}" pid="11" name="JUDGE">
    <vt:lpwstr>ג'ני טנוס</vt:lpwstr>
  </property>
  <property fmtid="{D5CDD505-2E9C-101B-9397-08002B2CF9AE}" pid="12" name="CITY">
    <vt:lpwstr>עכו</vt:lpwstr>
  </property>
  <property fmtid="{D5CDD505-2E9C-101B-9397-08002B2CF9AE}" pid="13" name="DATE">
    <vt:lpwstr>20131016</vt:lpwstr>
  </property>
  <property fmtid="{D5CDD505-2E9C-101B-9397-08002B2CF9AE}" pid="14" name="TYPE_N_DATE">
    <vt:lpwstr>38020131016</vt:lpwstr>
  </property>
  <property fmtid="{D5CDD505-2E9C-101B-9397-08002B2CF9AE}" pid="15" name="WORDNUMPAGES">
    <vt:lpwstr>5</vt:lpwstr>
  </property>
  <property fmtid="{D5CDD505-2E9C-101B-9397-08002B2CF9AE}" pid="16" name="TYPE_ABS_DATE">
    <vt:lpwstr>380020131016</vt:lpwstr>
  </property>
  <property fmtid="{D5CDD505-2E9C-101B-9397-08002B2CF9AE}" pid="17" name="ISABSTRACT">
    <vt:lpwstr>Y</vt:lpwstr>
  </property>
  <property fmtid="{D5CDD505-2E9C-101B-9397-08002B2CF9AE}" pid="18" name="CASESLISTTMP1">
    <vt:lpwstr>5605484;5988308;5698919;5612280;6030418</vt:lpwstr>
  </property>
  <property fmtid="{D5CDD505-2E9C-101B-9397-08002B2CF9AE}" pid="19" name="LAWLISTTMP1">
    <vt:lpwstr>4216/013a;019</vt:lpwstr>
  </property>
  <property fmtid="{D5CDD505-2E9C-101B-9397-08002B2CF9AE}" pid="20" name="LAWLISTTMP2">
    <vt:lpwstr>70301/040b;040c.a;040i;40jb</vt:lpwstr>
  </property>
</Properties>
</file>