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D3FF3" w:rsidRPr="00116AD5" w14:paraId="4D4CB2B7" w14:textId="77777777">
        <w:trPr>
          <w:trHeight w:hRule="exact" w:val="418"/>
          <w:jc w:val="center"/>
        </w:trPr>
        <w:tc>
          <w:tcPr>
            <w:tcW w:w="8720" w:type="dxa"/>
            <w:gridSpan w:val="3"/>
          </w:tcPr>
          <w:p w14:paraId="7BB0EBA2" w14:textId="77777777" w:rsidR="006D3FF3" w:rsidRPr="00116AD5" w:rsidRDefault="00116AD5">
            <w:pPr>
              <w:pStyle w:val="a3"/>
              <w:tabs>
                <w:tab w:val="clear" w:pos="8306"/>
              </w:tabs>
              <w:jc w:val="center"/>
              <w:rPr>
                <w:rFonts w:ascii="Tahoma" w:hAnsi="Tahoma" w:cs="Tahoma"/>
                <w:b/>
                <w:bCs/>
                <w:color w:val="000080"/>
                <w:sz w:val="20"/>
                <w:szCs w:val="20"/>
                <w:rtl/>
              </w:rPr>
            </w:pPr>
            <w:bookmarkStart w:id="0" w:name="LastJudge"/>
            <w:r w:rsidRPr="00116AD5">
              <w:rPr>
                <w:rFonts w:ascii="Tahoma" w:hAnsi="Tahoma" w:cs="Tahoma"/>
                <w:b/>
                <w:bCs/>
                <w:color w:val="000080"/>
                <w:sz w:val="20"/>
                <w:szCs w:val="20"/>
                <w:rtl/>
              </w:rPr>
              <w:t>בית משפט השלום בעכו</w:t>
            </w:r>
          </w:p>
        </w:tc>
      </w:tr>
      <w:tr w:rsidR="006D3FF3" w:rsidRPr="00116AD5" w14:paraId="6E4A2327" w14:textId="77777777">
        <w:trPr>
          <w:trHeight w:val="337"/>
          <w:jc w:val="center"/>
        </w:trPr>
        <w:tc>
          <w:tcPr>
            <w:tcW w:w="6396" w:type="dxa"/>
          </w:tcPr>
          <w:p w14:paraId="127102E8" w14:textId="77777777" w:rsidR="006D3FF3" w:rsidRPr="00116AD5" w:rsidRDefault="00116AD5">
            <w:pPr>
              <w:rPr>
                <w:b/>
                <w:bCs/>
                <w:sz w:val="26"/>
                <w:szCs w:val="26"/>
                <w:rtl/>
              </w:rPr>
            </w:pPr>
            <w:r w:rsidRPr="00116AD5">
              <w:rPr>
                <w:b/>
                <w:bCs/>
                <w:sz w:val="26"/>
                <w:szCs w:val="26"/>
                <w:rtl/>
              </w:rPr>
              <w:t>ת"פ</w:t>
            </w:r>
            <w:r w:rsidRPr="00116AD5">
              <w:rPr>
                <w:rFonts w:hint="cs"/>
                <w:b/>
                <w:bCs/>
                <w:sz w:val="26"/>
                <w:szCs w:val="26"/>
                <w:rtl/>
              </w:rPr>
              <w:t xml:space="preserve"> </w:t>
            </w:r>
            <w:r w:rsidRPr="00116AD5">
              <w:rPr>
                <w:b/>
                <w:bCs/>
                <w:sz w:val="26"/>
                <w:szCs w:val="26"/>
                <w:rtl/>
              </w:rPr>
              <w:t>39965-07-13</w:t>
            </w:r>
            <w:r w:rsidRPr="00116AD5">
              <w:rPr>
                <w:rFonts w:hint="cs"/>
                <w:b/>
                <w:bCs/>
                <w:sz w:val="26"/>
                <w:szCs w:val="26"/>
                <w:rtl/>
              </w:rPr>
              <w:t xml:space="preserve"> </w:t>
            </w:r>
            <w:r w:rsidRPr="00116AD5">
              <w:rPr>
                <w:b/>
                <w:bCs/>
                <w:sz w:val="26"/>
                <w:szCs w:val="26"/>
                <w:rtl/>
              </w:rPr>
              <w:t>מדינת ישראל ואח'</w:t>
            </w:r>
          </w:p>
          <w:p w14:paraId="14892B64" w14:textId="77777777" w:rsidR="006D3FF3" w:rsidRPr="00116AD5" w:rsidRDefault="006D3FF3">
            <w:pPr>
              <w:rPr>
                <w:b/>
                <w:bCs/>
                <w:sz w:val="26"/>
                <w:szCs w:val="26"/>
                <w:rtl/>
              </w:rPr>
            </w:pPr>
          </w:p>
        </w:tc>
        <w:tc>
          <w:tcPr>
            <w:tcW w:w="236" w:type="dxa"/>
          </w:tcPr>
          <w:p w14:paraId="6D525C23" w14:textId="77777777" w:rsidR="006D3FF3" w:rsidRPr="00116AD5" w:rsidRDefault="006D3FF3">
            <w:pPr>
              <w:pStyle w:val="a3"/>
              <w:jc w:val="right"/>
              <w:rPr>
                <w:b/>
                <w:bCs/>
                <w:sz w:val="26"/>
                <w:szCs w:val="26"/>
                <w:rtl/>
              </w:rPr>
            </w:pPr>
          </w:p>
        </w:tc>
        <w:tc>
          <w:tcPr>
            <w:tcW w:w="2088" w:type="dxa"/>
          </w:tcPr>
          <w:p w14:paraId="0BA5AF7E" w14:textId="77777777" w:rsidR="006D3FF3" w:rsidRPr="00116AD5" w:rsidRDefault="00116AD5">
            <w:pPr>
              <w:pStyle w:val="a3"/>
              <w:tabs>
                <w:tab w:val="clear" w:pos="4153"/>
              </w:tabs>
              <w:jc w:val="right"/>
              <w:rPr>
                <w:b/>
                <w:bCs/>
                <w:sz w:val="26"/>
                <w:szCs w:val="26"/>
                <w:rtl/>
              </w:rPr>
            </w:pPr>
            <w:r w:rsidRPr="00116AD5">
              <w:rPr>
                <w:b/>
                <w:bCs/>
                <w:sz w:val="26"/>
                <w:szCs w:val="26"/>
                <w:rtl/>
              </w:rPr>
              <w:t>24 פברואר 2014</w:t>
            </w:r>
          </w:p>
        </w:tc>
      </w:tr>
    </w:tbl>
    <w:p w14:paraId="2D3379B8" w14:textId="77777777" w:rsidR="006D3FF3" w:rsidRPr="00116AD5" w:rsidRDefault="006D3FF3">
      <w:pPr>
        <w:pStyle w:val="a3"/>
        <w:jc w:val="center"/>
        <w:rPr>
          <w:rFonts w:ascii="Tahoma" w:hAnsi="Tahoma" w:cs="Tahoma"/>
          <w:b/>
          <w:bCs/>
          <w:color w:val="000080"/>
          <w:sz w:val="20"/>
          <w:szCs w:val="20"/>
          <w:rtl/>
        </w:rPr>
      </w:pPr>
    </w:p>
    <w:p w14:paraId="2AD146B6" w14:textId="77777777" w:rsidR="006D3FF3" w:rsidRPr="00116AD5" w:rsidRDefault="006D3FF3">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6D3FF3" w:rsidRPr="00116AD5" w14:paraId="54811305" w14:textId="77777777">
        <w:trPr>
          <w:trHeight w:val="337"/>
          <w:jc w:val="center"/>
        </w:trPr>
        <w:tc>
          <w:tcPr>
            <w:tcW w:w="1592" w:type="dxa"/>
          </w:tcPr>
          <w:p w14:paraId="399276CE" w14:textId="77777777" w:rsidR="006D3FF3" w:rsidRPr="00116AD5" w:rsidRDefault="00116AD5">
            <w:pPr>
              <w:pStyle w:val="a3"/>
              <w:bidi w:val="0"/>
              <w:spacing w:line="360" w:lineRule="auto"/>
              <w:jc w:val="both"/>
              <w:rPr>
                <w:rFonts w:ascii="Times New Roman" w:hAnsi="Times New Roman"/>
              </w:rPr>
            </w:pPr>
            <w:r w:rsidRPr="00116AD5">
              <w:rPr>
                <w:rFonts w:ascii="Times New Roman" w:hAnsi="Times New Roman"/>
              </w:rPr>
              <w:t xml:space="preserve">  </w:t>
            </w:r>
          </w:p>
        </w:tc>
        <w:tc>
          <w:tcPr>
            <w:tcW w:w="7128" w:type="dxa"/>
          </w:tcPr>
          <w:p w14:paraId="42E489A3" w14:textId="77777777" w:rsidR="006D3FF3" w:rsidRPr="00116AD5" w:rsidRDefault="00116AD5">
            <w:pPr>
              <w:pStyle w:val="a3"/>
              <w:jc w:val="right"/>
              <w:rPr>
                <w:b/>
                <w:bCs/>
                <w:sz w:val="26"/>
                <w:szCs w:val="26"/>
                <w:rtl/>
              </w:rPr>
            </w:pPr>
            <w:r w:rsidRPr="00116AD5">
              <w:rPr>
                <w:rFonts w:hint="cs"/>
                <w:rtl/>
              </w:rPr>
              <w:t xml:space="preserve"> 40012-07-13</w:t>
            </w:r>
          </w:p>
        </w:tc>
      </w:tr>
    </w:tbl>
    <w:p w14:paraId="76C39ABA" w14:textId="77777777" w:rsidR="006D3FF3" w:rsidRPr="00116AD5" w:rsidRDefault="006D3FF3">
      <w:pPr>
        <w:spacing w:line="360" w:lineRule="auto"/>
        <w:jc w:val="both"/>
        <w:rPr>
          <w:rFonts w:ascii="Arial" w:hAnsi="Arial"/>
          <w:rtl/>
        </w:rPr>
      </w:pPr>
    </w:p>
    <w:p w14:paraId="4913D1B3" w14:textId="77777777" w:rsidR="006D3FF3" w:rsidRPr="00116AD5" w:rsidRDefault="006D3FF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6D3FF3" w:rsidRPr="00116AD5" w14:paraId="4ABCC52F" w14:textId="77777777">
        <w:trPr>
          <w:gridAfter w:val="1"/>
          <w:wAfter w:w="83" w:type="dxa"/>
        </w:trPr>
        <w:tc>
          <w:tcPr>
            <w:tcW w:w="8719" w:type="dxa"/>
            <w:gridSpan w:val="2"/>
          </w:tcPr>
          <w:p w14:paraId="18608AE2" w14:textId="77777777" w:rsidR="006D3FF3" w:rsidRPr="00116AD5" w:rsidRDefault="00116AD5">
            <w:pPr>
              <w:spacing w:line="360" w:lineRule="auto"/>
              <w:rPr>
                <w:rFonts w:ascii="Times New Roman" w:eastAsia="Times New Roman" w:hAnsi="Times New Roman"/>
                <w:b/>
                <w:bCs/>
                <w:sz w:val="26"/>
                <w:szCs w:val="26"/>
                <w:rtl/>
              </w:rPr>
            </w:pPr>
            <w:r w:rsidRPr="00116AD5">
              <w:rPr>
                <w:rFonts w:ascii="Times New Roman" w:eastAsia="Times New Roman" w:hAnsi="Times New Roman" w:hint="cs"/>
                <w:b/>
                <w:bCs/>
                <w:sz w:val="26"/>
                <w:szCs w:val="26"/>
                <w:rtl/>
              </w:rPr>
              <w:t>בפני כב' ה</w:t>
            </w:r>
            <w:r w:rsidRPr="00116AD5">
              <w:rPr>
                <w:rFonts w:ascii="Times New Roman" w:eastAsia="Times New Roman" w:hAnsi="Times New Roman" w:hint="cs"/>
                <w:rtl/>
              </w:rPr>
              <w:t>שופטת ג'ני טנוס</w:t>
            </w:r>
            <w:r w:rsidRPr="00116AD5">
              <w:rPr>
                <w:rStyle w:val="TimesNewRomanTimesNewRoman"/>
                <w:rFonts w:eastAsia="Times New Roman"/>
                <w:rtl/>
              </w:rPr>
              <w:t xml:space="preserve"> </w:t>
            </w:r>
          </w:p>
        </w:tc>
      </w:tr>
      <w:tr w:rsidR="006D3FF3" w:rsidRPr="00116AD5" w14:paraId="42C92A51" w14:textId="77777777">
        <w:tc>
          <w:tcPr>
            <w:tcW w:w="2880" w:type="dxa"/>
          </w:tcPr>
          <w:p w14:paraId="46E5880C" w14:textId="77777777" w:rsidR="006D3FF3" w:rsidRPr="00116AD5" w:rsidRDefault="00116AD5">
            <w:pPr>
              <w:ind w:left="26"/>
              <w:rPr>
                <w:rFonts w:ascii="Times New Roman" w:eastAsia="Times New Roman" w:hAnsi="Times New Roman"/>
                <w:b/>
                <w:bCs/>
                <w:sz w:val="26"/>
                <w:szCs w:val="26"/>
                <w:rtl/>
              </w:rPr>
            </w:pPr>
            <w:bookmarkStart w:id="1" w:name="FirstAppellant"/>
            <w:r w:rsidRPr="00116AD5">
              <w:rPr>
                <w:rFonts w:ascii="Times New Roman" w:eastAsia="Times New Roman" w:hAnsi="Times New Roman" w:hint="cs"/>
                <w:b/>
                <w:bCs/>
                <w:sz w:val="26"/>
                <w:szCs w:val="26"/>
                <w:rtl/>
              </w:rPr>
              <w:t>ה</w:t>
            </w:r>
            <w:r w:rsidRPr="00116AD5">
              <w:rPr>
                <w:rFonts w:ascii="Times New Roman" w:eastAsia="Times New Roman" w:hAnsi="Times New Roman" w:hint="cs"/>
                <w:rtl/>
              </w:rPr>
              <w:t>מאשימה</w:t>
            </w:r>
          </w:p>
        </w:tc>
        <w:tc>
          <w:tcPr>
            <w:tcW w:w="5922" w:type="dxa"/>
            <w:gridSpan w:val="2"/>
          </w:tcPr>
          <w:p w14:paraId="6EA10461" w14:textId="77777777" w:rsidR="006D3FF3" w:rsidRPr="00116AD5" w:rsidRDefault="00116AD5">
            <w:pPr>
              <w:rPr>
                <w:rFonts w:ascii="Times New Roman" w:eastAsia="Times New Roman" w:hAnsi="Times New Roman"/>
                <w:b/>
                <w:bCs/>
                <w:sz w:val="26"/>
                <w:szCs w:val="26"/>
                <w:rtl/>
              </w:rPr>
            </w:pPr>
            <w:r w:rsidRPr="00116AD5">
              <w:rPr>
                <w:rFonts w:ascii="Times New Roman" w:eastAsia="Times New Roman" w:hAnsi="Times New Roman" w:hint="cs"/>
                <w:rtl/>
              </w:rPr>
              <w:t>מדינת ישראל</w:t>
            </w:r>
          </w:p>
          <w:p w14:paraId="3231FD24" w14:textId="77777777" w:rsidR="006D3FF3" w:rsidRPr="00116AD5" w:rsidRDefault="006D3FF3">
            <w:pPr>
              <w:rPr>
                <w:rFonts w:ascii="Times New Roman" w:eastAsia="Times New Roman" w:hAnsi="Times New Roman"/>
                <w:b/>
                <w:bCs/>
                <w:sz w:val="26"/>
                <w:szCs w:val="26"/>
                <w:rtl/>
              </w:rPr>
            </w:pPr>
          </w:p>
        </w:tc>
      </w:tr>
      <w:bookmarkEnd w:id="1"/>
      <w:tr w:rsidR="006D3FF3" w:rsidRPr="00116AD5" w14:paraId="1F85A1AE" w14:textId="77777777">
        <w:tc>
          <w:tcPr>
            <w:tcW w:w="8802" w:type="dxa"/>
            <w:gridSpan w:val="3"/>
          </w:tcPr>
          <w:p w14:paraId="3A692FE8" w14:textId="77777777" w:rsidR="006D3FF3" w:rsidRPr="00116AD5" w:rsidRDefault="00116AD5">
            <w:pPr>
              <w:jc w:val="center"/>
              <w:rPr>
                <w:rFonts w:ascii="Arial" w:eastAsia="Times New Roman" w:hAnsi="Arial"/>
                <w:b/>
                <w:bCs/>
                <w:sz w:val="26"/>
                <w:szCs w:val="26"/>
                <w:rtl/>
              </w:rPr>
            </w:pPr>
            <w:r w:rsidRPr="00116AD5">
              <w:rPr>
                <w:rFonts w:ascii="Arial" w:eastAsia="Times New Roman" w:hAnsi="Arial"/>
                <w:b/>
                <w:bCs/>
                <w:sz w:val="26"/>
                <w:szCs w:val="26"/>
                <w:rtl/>
              </w:rPr>
              <w:t>נגד</w:t>
            </w:r>
          </w:p>
          <w:p w14:paraId="705F9FE2" w14:textId="77777777" w:rsidR="006D3FF3" w:rsidRPr="00116AD5" w:rsidRDefault="006D3FF3">
            <w:pPr>
              <w:jc w:val="center"/>
              <w:rPr>
                <w:rFonts w:ascii="Arial" w:eastAsia="Times New Roman" w:hAnsi="Arial"/>
                <w:b/>
                <w:bCs/>
                <w:sz w:val="26"/>
                <w:szCs w:val="26"/>
              </w:rPr>
            </w:pPr>
          </w:p>
        </w:tc>
      </w:tr>
      <w:tr w:rsidR="006D3FF3" w:rsidRPr="00116AD5" w14:paraId="0595E324" w14:textId="77777777">
        <w:tc>
          <w:tcPr>
            <w:tcW w:w="2880" w:type="dxa"/>
          </w:tcPr>
          <w:p w14:paraId="64985E5C" w14:textId="77777777" w:rsidR="006D3FF3" w:rsidRPr="00116AD5" w:rsidRDefault="00116AD5">
            <w:pPr>
              <w:ind w:left="26"/>
              <w:rPr>
                <w:rFonts w:ascii="Times New Roman" w:eastAsia="Times New Roman" w:hAnsi="Times New Roman"/>
                <w:b/>
                <w:bCs/>
                <w:sz w:val="26"/>
                <w:szCs w:val="26"/>
                <w:rtl/>
              </w:rPr>
            </w:pPr>
            <w:r w:rsidRPr="00116AD5">
              <w:rPr>
                <w:rFonts w:ascii="Times New Roman" w:eastAsia="Times New Roman" w:hAnsi="Times New Roman" w:hint="cs"/>
                <w:b/>
                <w:bCs/>
                <w:sz w:val="26"/>
                <w:szCs w:val="26"/>
                <w:rtl/>
              </w:rPr>
              <w:t>הנאשם</w:t>
            </w:r>
          </w:p>
        </w:tc>
        <w:tc>
          <w:tcPr>
            <w:tcW w:w="5922" w:type="dxa"/>
            <w:gridSpan w:val="2"/>
          </w:tcPr>
          <w:p w14:paraId="4468DA92" w14:textId="77777777" w:rsidR="006D3FF3" w:rsidRPr="00116AD5" w:rsidRDefault="00116AD5">
            <w:pPr>
              <w:rPr>
                <w:rFonts w:ascii="Times New Roman" w:eastAsia="Times New Roman" w:hAnsi="Times New Roman"/>
                <w:b/>
                <w:bCs/>
                <w:sz w:val="26"/>
                <w:szCs w:val="26"/>
                <w:rtl/>
              </w:rPr>
            </w:pPr>
            <w:r w:rsidRPr="00116AD5">
              <w:rPr>
                <w:rFonts w:ascii="Times New Roman" w:eastAsia="Times New Roman" w:hAnsi="Times New Roman" w:hint="cs"/>
                <w:b/>
                <w:bCs/>
                <w:sz w:val="26"/>
                <w:szCs w:val="26"/>
                <w:rtl/>
              </w:rPr>
              <w:t>טארק סואעד</w:t>
            </w:r>
          </w:p>
        </w:tc>
      </w:tr>
    </w:tbl>
    <w:p w14:paraId="62379639" w14:textId="77777777" w:rsidR="006D3FF3" w:rsidRPr="00116AD5" w:rsidRDefault="00116AD5">
      <w:pPr>
        <w:pStyle w:val="12"/>
        <w:rPr>
          <w:u w:val="none"/>
          <w:rtl/>
        </w:rPr>
      </w:pPr>
      <w:r w:rsidRPr="00116AD5">
        <w:rPr>
          <w:rFonts w:hint="cs"/>
          <w:u w:val="none"/>
          <w:rtl/>
        </w:rPr>
        <w:t>נוכחים:</w:t>
      </w:r>
    </w:p>
    <w:p w14:paraId="098AE0C0" w14:textId="77777777" w:rsidR="006D3FF3" w:rsidRPr="00116AD5" w:rsidRDefault="00116AD5">
      <w:pPr>
        <w:pStyle w:val="12"/>
        <w:rPr>
          <w:b w:val="0"/>
          <w:bCs w:val="0"/>
          <w:u w:val="none"/>
          <w:rtl/>
        </w:rPr>
      </w:pPr>
      <w:bookmarkStart w:id="2" w:name="FirstLawyer"/>
      <w:r w:rsidRPr="00116AD5">
        <w:rPr>
          <w:rFonts w:hint="cs"/>
          <w:b w:val="0"/>
          <w:bCs w:val="0"/>
          <w:u w:val="none"/>
          <w:rtl/>
        </w:rPr>
        <w:t>ב"כ</w:t>
      </w:r>
      <w:bookmarkEnd w:id="2"/>
      <w:r w:rsidRPr="00116AD5">
        <w:rPr>
          <w:rFonts w:hint="cs"/>
          <w:b w:val="0"/>
          <w:bCs w:val="0"/>
          <w:u w:val="none"/>
          <w:rtl/>
        </w:rPr>
        <w:t xml:space="preserve"> המאשימה </w:t>
      </w:r>
      <w:r w:rsidRPr="00116AD5">
        <w:rPr>
          <w:b w:val="0"/>
          <w:bCs w:val="0"/>
          <w:u w:val="none"/>
          <w:rtl/>
        </w:rPr>
        <w:t>–</w:t>
      </w:r>
      <w:r w:rsidRPr="00116AD5">
        <w:rPr>
          <w:rFonts w:hint="cs"/>
          <w:b w:val="0"/>
          <w:bCs w:val="0"/>
          <w:u w:val="none"/>
          <w:rtl/>
        </w:rPr>
        <w:t xml:space="preserve"> עו"ד סמוכה</w:t>
      </w:r>
    </w:p>
    <w:p w14:paraId="2FDCE9A3" w14:textId="77777777" w:rsidR="006D3FF3" w:rsidRPr="00116AD5" w:rsidRDefault="00116AD5">
      <w:pPr>
        <w:pStyle w:val="12"/>
        <w:rPr>
          <w:b w:val="0"/>
          <w:bCs w:val="0"/>
          <w:u w:val="none"/>
          <w:rtl/>
        </w:rPr>
      </w:pPr>
      <w:r w:rsidRPr="00116AD5">
        <w:rPr>
          <w:rFonts w:hint="cs"/>
          <w:b w:val="0"/>
          <w:bCs w:val="0"/>
          <w:u w:val="none"/>
          <w:rtl/>
        </w:rPr>
        <w:t xml:space="preserve">הנאשם </w:t>
      </w:r>
      <w:r w:rsidRPr="00116AD5">
        <w:rPr>
          <w:b w:val="0"/>
          <w:bCs w:val="0"/>
          <w:u w:val="none"/>
          <w:rtl/>
        </w:rPr>
        <w:t>–</w:t>
      </w:r>
      <w:r w:rsidRPr="00116AD5">
        <w:rPr>
          <w:rFonts w:hint="cs"/>
          <w:b w:val="0"/>
          <w:bCs w:val="0"/>
          <w:u w:val="none"/>
          <w:rtl/>
        </w:rPr>
        <w:t xml:space="preserve"> הובא</w:t>
      </w:r>
    </w:p>
    <w:p w14:paraId="48FBDB6B" w14:textId="77777777" w:rsidR="006D3FF3" w:rsidRPr="00116AD5" w:rsidRDefault="00116AD5">
      <w:pPr>
        <w:pStyle w:val="12"/>
        <w:rPr>
          <w:b w:val="0"/>
          <w:bCs w:val="0"/>
          <w:u w:val="none"/>
          <w:rtl/>
        </w:rPr>
      </w:pPr>
      <w:r w:rsidRPr="00116AD5">
        <w:rPr>
          <w:rFonts w:hint="cs"/>
          <w:b w:val="0"/>
          <w:bCs w:val="0"/>
          <w:u w:val="none"/>
          <w:rtl/>
        </w:rPr>
        <w:t xml:space="preserve">הסניגורית </w:t>
      </w:r>
      <w:r w:rsidRPr="00116AD5">
        <w:rPr>
          <w:b w:val="0"/>
          <w:bCs w:val="0"/>
          <w:u w:val="none"/>
          <w:rtl/>
        </w:rPr>
        <w:t>–</w:t>
      </w:r>
      <w:r w:rsidRPr="00116AD5">
        <w:rPr>
          <w:rFonts w:hint="cs"/>
          <w:b w:val="0"/>
          <w:bCs w:val="0"/>
          <w:u w:val="none"/>
          <w:rtl/>
        </w:rPr>
        <w:t xml:space="preserve"> עו"ד חיר</w:t>
      </w:r>
    </w:p>
    <w:p w14:paraId="011D8379" w14:textId="77777777" w:rsidR="001675ED" w:rsidRDefault="001675ED">
      <w:pPr>
        <w:spacing w:line="360" w:lineRule="auto"/>
        <w:jc w:val="center"/>
        <w:rPr>
          <w:rFonts w:ascii="Arial" w:hAnsi="Arial"/>
          <w:color w:val="FF0000"/>
          <w:sz w:val="28"/>
          <w:rtl/>
        </w:rPr>
      </w:pPr>
      <w:bookmarkStart w:id="3" w:name="LawTable"/>
    </w:p>
    <w:p w14:paraId="64496623" w14:textId="77777777" w:rsidR="001675ED" w:rsidRPr="001675ED" w:rsidRDefault="001675ED" w:rsidP="001675ED">
      <w:pPr>
        <w:spacing w:after="120" w:line="240" w:lineRule="exact"/>
        <w:ind w:left="283" w:hanging="283"/>
        <w:jc w:val="both"/>
        <w:rPr>
          <w:rFonts w:ascii="FrankRuehl" w:hAnsi="FrankRuehl" w:cs="FrankRuehl"/>
          <w:color w:val="FF0000"/>
          <w:rtl/>
        </w:rPr>
      </w:pPr>
      <w:r w:rsidRPr="001675ED">
        <w:rPr>
          <w:rFonts w:ascii="FrankRuehl" w:hAnsi="FrankRuehl" w:cs="FrankRuehl"/>
          <w:color w:val="FF0000"/>
          <w:rtl/>
        </w:rPr>
        <w:t xml:space="preserve">חקיקה שאוזכרה: </w:t>
      </w:r>
    </w:p>
    <w:p w14:paraId="6EE03ADC" w14:textId="77777777" w:rsidR="001675ED" w:rsidRPr="001675ED" w:rsidRDefault="001675ED" w:rsidP="001675ED">
      <w:pPr>
        <w:spacing w:after="120" w:line="240" w:lineRule="exact"/>
        <w:ind w:left="283" w:hanging="283"/>
        <w:jc w:val="both"/>
        <w:rPr>
          <w:rFonts w:ascii="FrankRuehl" w:hAnsi="FrankRuehl" w:cs="FrankRuehl"/>
          <w:rtl/>
        </w:rPr>
      </w:pPr>
      <w:hyperlink r:id="rId6" w:history="1">
        <w:r w:rsidRPr="001675ED">
          <w:rPr>
            <w:rFonts w:ascii="FrankRuehl" w:hAnsi="FrankRuehl" w:cs="FrankRuehl"/>
            <w:color w:val="0000FF"/>
            <w:u w:val="single"/>
            <w:rtl/>
          </w:rPr>
          <w:t>פקודת הסמים המסוכנים [נוסח חדש], תשל"ג-1973</w:t>
        </w:r>
      </w:hyperlink>
      <w:r w:rsidRPr="001675ED">
        <w:rPr>
          <w:rFonts w:ascii="FrankRuehl" w:hAnsi="FrankRuehl" w:cs="FrankRuehl"/>
          <w:rtl/>
        </w:rPr>
        <w:t xml:space="preserve">: סע'  </w:t>
      </w:r>
      <w:hyperlink r:id="rId7" w:history="1">
        <w:r w:rsidRPr="001675ED">
          <w:rPr>
            <w:rFonts w:ascii="FrankRuehl" w:hAnsi="FrankRuehl" w:cs="FrankRuehl"/>
            <w:color w:val="0000FF"/>
            <w:u w:val="single"/>
            <w:rtl/>
          </w:rPr>
          <w:t>13</w:t>
        </w:r>
      </w:hyperlink>
      <w:r w:rsidRPr="001675ED">
        <w:rPr>
          <w:rFonts w:ascii="FrankRuehl" w:hAnsi="FrankRuehl" w:cs="FrankRuehl"/>
          <w:rtl/>
        </w:rPr>
        <w:t xml:space="preserve">, </w:t>
      </w:r>
      <w:hyperlink r:id="rId8" w:history="1">
        <w:r w:rsidRPr="001675ED">
          <w:rPr>
            <w:rFonts w:ascii="FrankRuehl" w:hAnsi="FrankRuehl" w:cs="FrankRuehl"/>
            <w:color w:val="0000FF"/>
            <w:u w:val="single"/>
            <w:rtl/>
          </w:rPr>
          <w:t>19א'</w:t>
        </w:r>
      </w:hyperlink>
      <w:r w:rsidRPr="001675ED">
        <w:rPr>
          <w:rFonts w:ascii="FrankRuehl" w:hAnsi="FrankRuehl" w:cs="FrankRuehl"/>
          <w:rtl/>
        </w:rPr>
        <w:t xml:space="preserve">, </w:t>
      </w:r>
      <w:hyperlink r:id="rId9" w:history="1">
        <w:r w:rsidRPr="001675ED">
          <w:rPr>
            <w:rFonts w:ascii="FrankRuehl" w:hAnsi="FrankRuehl" w:cs="FrankRuehl"/>
            <w:color w:val="0000FF"/>
            <w:u w:val="single"/>
            <w:rtl/>
          </w:rPr>
          <w:t>36א(ב)</w:t>
        </w:r>
      </w:hyperlink>
    </w:p>
    <w:p w14:paraId="2B3EEFAD" w14:textId="77777777" w:rsidR="001675ED" w:rsidRPr="001675ED" w:rsidRDefault="001675ED" w:rsidP="001675ED">
      <w:pPr>
        <w:spacing w:after="120" w:line="240" w:lineRule="exact"/>
        <w:ind w:left="283" w:hanging="283"/>
        <w:jc w:val="both"/>
        <w:rPr>
          <w:rFonts w:ascii="FrankRuehl" w:hAnsi="FrankRuehl" w:cs="FrankRuehl"/>
          <w:rtl/>
        </w:rPr>
      </w:pPr>
      <w:hyperlink r:id="rId10" w:history="1">
        <w:r w:rsidRPr="001675ED">
          <w:rPr>
            <w:rFonts w:ascii="FrankRuehl" w:hAnsi="FrankRuehl" w:cs="FrankRuehl"/>
            <w:color w:val="0000FF"/>
            <w:u w:val="single"/>
            <w:rtl/>
          </w:rPr>
          <w:t>חוק העונשין, תשל"ז-1977</w:t>
        </w:r>
      </w:hyperlink>
      <w:r w:rsidRPr="001675ED">
        <w:rPr>
          <w:rFonts w:ascii="FrankRuehl" w:hAnsi="FrankRuehl" w:cs="FrankRuehl"/>
          <w:rtl/>
        </w:rPr>
        <w:t xml:space="preserve">: סע'  </w:t>
      </w:r>
      <w:hyperlink r:id="rId11" w:history="1">
        <w:r w:rsidRPr="001675ED">
          <w:rPr>
            <w:rFonts w:ascii="FrankRuehl" w:hAnsi="FrankRuehl" w:cs="FrankRuehl"/>
            <w:color w:val="0000FF"/>
            <w:u w:val="single"/>
            <w:rtl/>
          </w:rPr>
          <w:t>40י"ג(ב)</w:t>
        </w:r>
      </w:hyperlink>
    </w:p>
    <w:p w14:paraId="287D8D1A" w14:textId="77777777" w:rsidR="001675ED" w:rsidRPr="001675ED" w:rsidRDefault="001675ED">
      <w:pPr>
        <w:spacing w:line="360" w:lineRule="auto"/>
        <w:jc w:val="center"/>
        <w:rPr>
          <w:rFonts w:ascii="Arial" w:hAnsi="Arial"/>
          <w:b/>
          <w:color w:val="FF0000"/>
          <w:sz w:val="28"/>
          <w:rtl/>
        </w:rPr>
      </w:pPr>
    </w:p>
    <w:bookmarkEnd w:id="3"/>
    <w:p w14:paraId="739ADC55" w14:textId="77777777" w:rsidR="006D3FF3" w:rsidRPr="00116AD5" w:rsidRDefault="00116AD5">
      <w:pPr>
        <w:spacing w:line="360" w:lineRule="auto"/>
        <w:jc w:val="center"/>
        <w:rPr>
          <w:rFonts w:ascii="Arial" w:hAnsi="Arial"/>
          <w:b/>
          <w:bCs/>
          <w:sz w:val="28"/>
          <w:szCs w:val="28"/>
          <w:rtl/>
        </w:rPr>
      </w:pPr>
      <w:r w:rsidRPr="00116AD5">
        <w:rPr>
          <w:rFonts w:ascii="Arial" w:hAnsi="Arial"/>
          <w:b/>
          <w:color w:val="FF0000"/>
          <w:sz w:val="28"/>
          <w:rtl/>
        </w:rPr>
        <w:t>במסמך זה הושמטו פרוטוקולים</w:t>
      </w:r>
    </w:p>
    <w:p w14:paraId="1703AA6F" w14:textId="77777777" w:rsidR="00116AD5" w:rsidRPr="00116AD5" w:rsidRDefault="00116AD5" w:rsidP="00116AD5">
      <w:pPr>
        <w:spacing w:line="360" w:lineRule="auto"/>
        <w:jc w:val="center"/>
        <w:rPr>
          <w:rFonts w:ascii="Arial" w:hAnsi="Arial"/>
          <w:b/>
          <w:bCs/>
          <w:sz w:val="28"/>
          <w:szCs w:val="28"/>
          <w:u w:val="single"/>
          <w:rtl/>
        </w:rPr>
      </w:pPr>
      <w:bookmarkStart w:id="4" w:name="PsakDin"/>
      <w:bookmarkEnd w:id="0"/>
      <w:r w:rsidRPr="00116AD5">
        <w:rPr>
          <w:rFonts w:ascii="Arial" w:hAnsi="Arial"/>
          <w:b/>
          <w:bCs/>
          <w:sz w:val="28"/>
          <w:szCs w:val="28"/>
          <w:u w:val="single"/>
          <w:rtl/>
        </w:rPr>
        <w:t>גזר דין</w:t>
      </w:r>
    </w:p>
    <w:bookmarkEnd w:id="4"/>
    <w:p w14:paraId="02AE1A0D" w14:textId="77777777" w:rsidR="006D3FF3" w:rsidRDefault="00116AD5">
      <w:pPr>
        <w:spacing w:line="360" w:lineRule="auto"/>
        <w:jc w:val="both"/>
        <w:rPr>
          <w:rtl/>
        </w:rPr>
      </w:pPr>
      <w:r>
        <w:rPr>
          <w:rtl/>
        </w:rPr>
        <w:t xml:space="preserve"> </w:t>
      </w:r>
    </w:p>
    <w:p w14:paraId="6C2A2143" w14:textId="77777777" w:rsidR="006D3FF3" w:rsidRDefault="00116AD5">
      <w:pPr>
        <w:spacing w:line="360" w:lineRule="auto"/>
        <w:jc w:val="both"/>
        <w:rPr>
          <w:rFonts w:ascii="Arial" w:hAnsi="Arial"/>
        </w:rPr>
      </w:pPr>
      <w:bookmarkStart w:id="5" w:name="ABSTRACT_START"/>
      <w:bookmarkEnd w:id="5"/>
      <w:r>
        <w:rPr>
          <w:rFonts w:ascii="Arial" w:hAnsi="Arial" w:hint="cs"/>
          <w:rtl/>
        </w:rPr>
        <w:t xml:space="preserve">הנאשם הורשע עפ"י הודאתו בסחר בסמים מסוכנים, עבירה לפי </w:t>
      </w:r>
      <w:hyperlink r:id="rId12" w:history="1">
        <w:r w:rsidR="001675ED" w:rsidRPr="001675ED">
          <w:rPr>
            <w:rFonts w:ascii="Arial" w:hAnsi="Arial"/>
            <w:color w:val="0000FF"/>
            <w:u w:val="single"/>
            <w:rtl/>
          </w:rPr>
          <w:t>סעיפים 13</w:t>
        </w:r>
      </w:hyperlink>
      <w:r>
        <w:rPr>
          <w:rFonts w:ascii="Arial" w:hAnsi="Arial" w:hint="cs"/>
          <w:rtl/>
        </w:rPr>
        <w:t xml:space="preserve"> + </w:t>
      </w:r>
      <w:hyperlink r:id="rId13" w:history="1">
        <w:r w:rsidR="001675ED" w:rsidRPr="001675ED">
          <w:rPr>
            <w:rFonts w:ascii="Arial" w:hAnsi="Arial"/>
            <w:color w:val="0000FF"/>
            <w:u w:val="single"/>
            <w:rtl/>
          </w:rPr>
          <w:t>19א'</w:t>
        </w:r>
      </w:hyperlink>
      <w:r>
        <w:rPr>
          <w:rFonts w:ascii="Arial" w:hAnsi="Arial" w:hint="cs"/>
          <w:rtl/>
        </w:rPr>
        <w:t xml:space="preserve"> ל</w:t>
      </w:r>
      <w:hyperlink r:id="rId14" w:history="1">
        <w:r w:rsidRPr="00116AD5">
          <w:rPr>
            <w:rFonts w:ascii="Arial" w:hAnsi="Arial"/>
            <w:color w:val="0000FF"/>
            <w:u w:val="single"/>
            <w:rtl/>
          </w:rPr>
          <w:t>פקודת הסמים המסוכנים</w:t>
        </w:r>
      </w:hyperlink>
      <w:r>
        <w:rPr>
          <w:rFonts w:ascii="Arial" w:hAnsi="Arial" w:hint="cs"/>
          <w:rtl/>
        </w:rPr>
        <w:t xml:space="preserve"> (נוסח חדש) תשל"ג – 1973 (להלן – </w:t>
      </w:r>
      <w:r>
        <w:rPr>
          <w:rFonts w:ascii="Arial" w:hAnsi="Arial" w:hint="cs"/>
          <w:b/>
          <w:bCs/>
          <w:rtl/>
        </w:rPr>
        <w:t>"פקודת הסמים המסוכנים"</w:t>
      </w:r>
      <w:r>
        <w:rPr>
          <w:rFonts w:ascii="Arial" w:hAnsi="Arial" w:hint="cs"/>
          <w:rtl/>
        </w:rPr>
        <w:t xml:space="preserve">), וזאת בשתי הזדמנויות שונות. </w:t>
      </w:r>
    </w:p>
    <w:p w14:paraId="274AFE8E" w14:textId="77777777" w:rsidR="006D3FF3" w:rsidRDefault="006D3FF3">
      <w:pPr>
        <w:spacing w:line="360" w:lineRule="auto"/>
        <w:jc w:val="both"/>
        <w:rPr>
          <w:rFonts w:ascii="Arial" w:hAnsi="Arial"/>
          <w:rtl/>
        </w:rPr>
      </w:pPr>
      <w:bookmarkStart w:id="6" w:name="ABSTRACT_END"/>
      <w:bookmarkEnd w:id="6"/>
    </w:p>
    <w:p w14:paraId="031457B2" w14:textId="77777777" w:rsidR="006D3FF3" w:rsidRDefault="00116AD5">
      <w:pPr>
        <w:spacing w:line="360" w:lineRule="auto"/>
        <w:jc w:val="both"/>
        <w:rPr>
          <w:rFonts w:ascii="Arial" w:hAnsi="Arial"/>
          <w:rtl/>
        </w:rPr>
      </w:pPr>
      <w:r>
        <w:rPr>
          <w:rFonts w:ascii="Arial" w:hAnsi="Arial" w:hint="cs"/>
          <w:rtl/>
        </w:rPr>
        <w:t xml:space="preserve">לפי עובדות כתב האישום, בתאריך 30.5.13 ולאחר מספר שיחות טלפוניות בין הנאשם לבין סוכן סמוי אשר פעל וסייע למשטרת ישראל (להלן – </w:t>
      </w:r>
      <w:r>
        <w:rPr>
          <w:rFonts w:ascii="Arial" w:hAnsi="Arial" w:hint="cs"/>
          <w:b/>
          <w:bCs/>
          <w:rtl/>
        </w:rPr>
        <w:t>"הסוכן הסמוי"</w:t>
      </w:r>
      <w:r>
        <w:rPr>
          <w:rFonts w:ascii="Arial" w:hAnsi="Arial" w:hint="cs"/>
          <w:rtl/>
        </w:rPr>
        <w:t xml:space="preserve">) באיסוף ראיות כנגד עבריינים, הגיע הנאשם כשהוא נוהג ברכב מזדה מס' רישוי 69-556-35 למגרש חניה באזור כרמיאל ומכר לידי הסוכן הסמוי סם מסוכן מסוג קוקאין במשקל כולל של 3.614 גרם בתמורה לסכום מזומן בסך של 2,000 ₪. </w:t>
      </w:r>
    </w:p>
    <w:p w14:paraId="3E74ED6E" w14:textId="77777777" w:rsidR="006D3FF3" w:rsidRDefault="006D3FF3">
      <w:pPr>
        <w:spacing w:line="360" w:lineRule="auto"/>
        <w:jc w:val="both"/>
        <w:rPr>
          <w:rFonts w:ascii="Arial" w:hAnsi="Arial"/>
          <w:rtl/>
        </w:rPr>
      </w:pPr>
    </w:p>
    <w:p w14:paraId="26C55D6C" w14:textId="77777777" w:rsidR="006D3FF3" w:rsidRDefault="00116AD5">
      <w:pPr>
        <w:spacing w:line="360" w:lineRule="auto"/>
        <w:jc w:val="both"/>
        <w:rPr>
          <w:rFonts w:ascii="Arial" w:hAnsi="Arial"/>
          <w:rtl/>
        </w:rPr>
      </w:pPr>
      <w:r>
        <w:rPr>
          <w:rFonts w:ascii="Arial" w:hAnsi="Arial" w:hint="cs"/>
          <w:rtl/>
        </w:rPr>
        <w:t xml:space="preserve">יומיים לאחר מכן, בתאריך 2.6.13, וגם אז לאחר מספר שיחות טלפוניות בין הנאשם לבין הסוכן הסמוי, הגיע הנאשם לאותו מגרש חניה כשהוא נוהג ברכב אחר, רכב מזדה מס' רישוי 56-793-75, ומכר לסוכן הסמוי סם מסוכן מסוג קוקאין במשקל כולל של 4.351 גרם. </w:t>
      </w:r>
    </w:p>
    <w:p w14:paraId="7C9DB526" w14:textId="77777777" w:rsidR="006D3FF3" w:rsidRDefault="006D3FF3">
      <w:pPr>
        <w:spacing w:line="360" w:lineRule="auto"/>
        <w:jc w:val="both"/>
        <w:rPr>
          <w:rFonts w:ascii="Arial" w:hAnsi="Arial"/>
          <w:rtl/>
        </w:rPr>
      </w:pPr>
    </w:p>
    <w:p w14:paraId="493B667E" w14:textId="77777777" w:rsidR="006D3FF3" w:rsidRDefault="00116AD5">
      <w:pPr>
        <w:spacing w:line="360" w:lineRule="auto"/>
        <w:jc w:val="both"/>
        <w:rPr>
          <w:rFonts w:ascii="Arial" w:hAnsi="Arial"/>
          <w:b/>
          <w:bCs/>
          <w:rtl/>
        </w:rPr>
      </w:pPr>
      <w:r>
        <w:rPr>
          <w:rFonts w:ascii="Arial" w:hAnsi="Arial" w:hint="cs"/>
          <w:b/>
          <w:bCs/>
          <w:u w:val="single"/>
          <w:rtl/>
        </w:rPr>
        <w:t>טיעוני הצדדים לעונש</w:t>
      </w:r>
      <w:r>
        <w:rPr>
          <w:rFonts w:ascii="Arial" w:hAnsi="Arial" w:hint="cs"/>
          <w:b/>
          <w:bCs/>
          <w:rtl/>
        </w:rPr>
        <w:t>:</w:t>
      </w:r>
    </w:p>
    <w:p w14:paraId="06D7DB00" w14:textId="77777777" w:rsidR="006D3FF3" w:rsidRDefault="00116AD5">
      <w:pPr>
        <w:spacing w:line="360" w:lineRule="auto"/>
        <w:jc w:val="both"/>
        <w:rPr>
          <w:rFonts w:ascii="Arial" w:hAnsi="Arial"/>
          <w:rtl/>
        </w:rPr>
      </w:pPr>
      <w:r>
        <w:rPr>
          <w:rFonts w:ascii="Arial" w:hAnsi="Arial" w:hint="cs"/>
          <w:rtl/>
        </w:rPr>
        <w:lastRenderedPageBreak/>
        <w:t xml:space="preserve">בטרם אציג את טיעוני הצדדים לעונש אציין, כי בדיון מיום 6.2.14 מסרו הצדדים כי העונש המוסכם ביניהם לגבי כל אחד מהאישומים הוא 9 חודשי מאסר בפועל, וכי המחלוקת ביניהם נוגעת להיקף העונש שיש להטיל על הנאשם בגין שני האישומים. </w:t>
      </w:r>
    </w:p>
    <w:p w14:paraId="21F93FB5" w14:textId="77777777" w:rsidR="006D3FF3" w:rsidRDefault="006D3FF3">
      <w:pPr>
        <w:spacing w:line="360" w:lineRule="auto"/>
        <w:jc w:val="both"/>
        <w:rPr>
          <w:rFonts w:ascii="Arial" w:hAnsi="Arial"/>
          <w:rtl/>
        </w:rPr>
      </w:pPr>
    </w:p>
    <w:p w14:paraId="720DB8C6" w14:textId="77777777" w:rsidR="006D3FF3" w:rsidRDefault="00116AD5">
      <w:pPr>
        <w:spacing w:line="360" w:lineRule="auto"/>
        <w:jc w:val="both"/>
        <w:rPr>
          <w:rFonts w:ascii="Arial" w:hAnsi="Arial"/>
          <w:rtl/>
        </w:rPr>
      </w:pPr>
      <w:r>
        <w:rPr>
          <w:rFonts w:ascii="Arial" w:hAnsi="Arial" w:hint="cs"/>
          <w:rtl/>
        </w:rPr>
        <w:t>בטיעוניו לעונש ביקש ב"כ המאשימה להדגיש כי העיקרון המנחה לפי תיקון 113 ל</w:t>
      </w:r>
      <w:hyperlink r:id="rId15" w:history="1">
        <w:r w:rsidRPr="00116AD5">
          <w:rPr>
            <w:rFonts w:ascii="Arial" w:hAnsi="Arial"/>
            <w:color w:val="0000FF"/>
            <w:u w:val="single"/>
            <w:rtl/>
          </w:rPr>
          <w:t>חוק העונשין</w:t>
        </w:r>
      </w:hyperlink>
      <w:r>
        <w:rPr>
          <w:rFonts w:ascii="Arial" w:hAnsi="Arial" w:hint="cs"/>
          <w:rtl/>
        </w:rPr>
        <w:t xml:space="preserve"> הוא עיקרון ההלימה ומתוקף כך, העונש ההולם בעבירות מסוג זה ובנסיבות דומות, נע בין 9 חודשי מאסר בפועל לבין 24 חודשי מאסר בפועל לכל עבירה.</w:t>
      </w:r>
    </w:p>
    <w:p w14:paraId="137682B6" w14:textId="77777777" w:rsidR="006D3FF3" w:rsidRDefault="006D3FF3">
      <w:pPr>
        <w:spacing w:line="360" w:lineRule="auto"/>
        <w:jc w:val="both"/>
        <w:rPr>
          <w:rFonts w:ascii="Arial" w:hAnsi="Arial"/>
          <w:rtl/>
        </w:rPr>
      </w:pPr>
    </w:p>
    <w:p w14:paraId="4481407B" w14:textId="77777777" w:rsidR="006D3FF3" w:rsidRDefault="00116AD5">
      <w:pPr>
        <w:spacing w:line="360" w:lineRule="auto"/>
        <w:jc w:val="both"/>
        <w:rPr>
          <w:rFonts w:ascii="Arial" w:hAnsi="Arial"/>
          <w:rtl/>
        </w:rPr>
      </w:pPr>
      <w:r>
        <w:rPr>
          <w:rFonts w:ascii="Arial" w:hAnsi="Arial" w:hint="cs"/>
          <w:rtl/>
        </w:rPr>
        <w:t xml:space="preserve">ב"כ המאשימה הפנה לאסופת פסיקה המלמדת בדבר הערך החברתי שנפגע כתוצאה מנגע הסמים שמשחית כל חלקה טובה ופוגע באושיות החברה, ומכאן החשיבות הגלומה בענישה בעבירות סמים כאחד הכלים החשובים בפעילות לביעור נגע הסמים. לפיכך, מדיניות הענישה המקובלת מסוג זה של עבירות מבכרת את השיקולים הציבוריים על פני נסיבותיו האישיות של העבריין. </w:t>
      </w:r>
    </w:p>
    <w:p w14:paraId="2D9389A6" w14:textId="77777777" w:rsidR="006D3FF3" w:rsidRDefault="006D3FF3">
      <w:pPr>
        <w:spacing w:line="360" w:lineRule="auto"/>
        <w:jc w:val="both"/>
        <w:rPr>
          <w:rFonts w:ascii="Arial" w:hAnsi="Arial"/>
          <w:rtl/>
        </w:rPr>
      </w:pPr>
    </w:p>
    <w:p w14:paraId="10146C6A" w14:textId="77777777" w:rsidR="006D3FF3" w:rsidRDefault="00116AD5">
      <w:pPr>
        <w:spacing w:line="360" w:lineRule="auto"/>
        <w:jc w:val="both"/>
        <w:rPr>
          <w:rFonts w:ascii="Arial" w:hAnsi="Arial"/>
          <w:rtl/>
        </w:rPr>
      </w:pPr>
      <w:r>
        <w:rPr>
          <w:rFonts w:ascii="Arial" w:hAnsi="Arial" w:hint="cs"/>
          <w:rtl/>
        </w:rPr>
        <w:t xml:space="preserve">אשר למקרה שבנדון, ב"כ המאשימה הפנה לנסיבות ביצוע העבירה שכללו תכנון מוקדם ומכירת כמויות גדולות של סמים מסוכנים כנגד בצע כסף. ואם לא די בכך, הרי שעבירות אלו בוצעו כאשר תלוי ועומד נגד הנאשם עונש מאסר מותנה בגין אותה עבירה ממש של סחר בסמים מסוכנים ומבלי שהיה בכך כדי להרתיעו. </w:t>
      </w:r>
    </w:p>
    <w:p w14:paraId="7A8FE071" w14:textId="77777777" w:rsidR="006D3FF3" w:rsidRDefault="006D3FF3">
      <w:pPr>
        <w:spacing w:line="360" w:lineRule="auto"/>
        <w:jc w:val="both"/>
        <w:rPr>
          <w:rFonts w:ascii="Arial" w:hAnsi="Arial"/>
          <w:rtl/>
        </w:rPr>
      </w:pPr>
    </w:p>
    <w:p w14:paraId="7CA24941" w14:textId="77777777" w:rsidR="006D3FF3" w:rsidRDefault="00116AD5">
      <w:pPr>
        <w:spacing w:line="360" w:lineRule="auto"/>
        <w:jc w:val="both"/>
        <w:rPr>
          <w:rFonts w:ascii="Arial" w:hAnsi="Arial"/>
          <w:rtl/>
        </w:rPr>
      </w:pPr>
      <w:r>
        <w:rPr>
          <w:rFonts w:ascii="Arial" w:hAnsi="Arial" w:hint="cs"/>
          <w:rtl/>
        </w:rPr>
        <w:t xml:space="preserve">לפיכך, עתרה המאשימה לגזור על הנאשם 9 חודשי מאסר בגין כל אחד מהאישומים ולהפעיל במצטבר את עונש המאסר המותנה. כמו כן, עתרה המאשימה להכריז על הנאשם כסוחר סמים ולחלט את הרכב בו השתמש לביצוע האישום הראשון, בהיותו המחזיק בפועל של הרכב. </w:t>
      </w:r>
    </w:p>
    <w:p w14:paraId="78E14CB4" w14:textId="77777777" w:rsidR="006D3FF3" w:rsidRDefault="006D3FF3">
      <w:pPr>
        <w:spacing w:line="360" w:lineRule="auto"/>
        <w:jc w:val="both"/>
        <w:rPr>
          <w:rFonts w:ascii="Arial" w:hAnsi="Arial"/>
          <w:rtl/>
        </w:rPr>
      </w:pPr>
    </w:p>
    <w:p w14:paraId="76488C99" w14:textId="77777777" w:rsidR="006D3FF3" w:rsidRDefault="00116AD5">
      <w:pPr>
        <w:spacing w:line="360" w:lineRule="auto"/>
        <w:jc w:val="both"/>
        <w:rPr>
          <w:rFonts w:ascii="Arial" w:hAnsi="Arial"/>
          <w:rtl/>
        </w:rPr>
      </w:pPr>
      <w:r>
        <w:rPr>
          <w:rFonts w:ascii="Arial" w:hAnsi="Arial" w:hint="cs"/>
          <w:rtl/>
        </w:rPr>
        <w:t>לעומת זאת טענה הסניגורית, כי אין להטיל על הנאשם עונש נפרד עבור כל אחד מהאישומים, שכן צבירת עונשים לפי תיקון 113 ל</w:t>
      </w:r>
      <w:hyperlink r:id="rId16" w:history="1">
        <w:r w:rsidRPr="00116AD5">
          <w:rPr>
            <w:rFonts w:ascii="Arial" w:hAnsi="Arial"/>
            <w:color w:val="0000FF"/>
            <w:u w:val="single"/>
            <w:rtl/>
          </w:rPr>
          <w:t>חוק העונשין</w:t>
        </w:r>
      </w:hyperlink>
      <w:r>
        <w:rPr>
          <w:rFonts w:ascii="Arial" w:hAnsi="Arial" w:hint="cs"/>
          <w:rtl/>
        </w:rPr>
        <w:t xml:space="preserve"> מביא למעשה להחמרה לא מידתית ולא מוצדקת ברמת הענישה בגין אירועים שבוצעו באותו פרק זמן ועם אותו סוכן.</w:t>
      </w:r>
    </w:p>
    <w:p w14:paraId="5846C97C" w14:textId="77777777" w:rsidR="006D3FF3" w:rsidRDefault="006D3FF3">
      <w:pPr>
        <w:spacing w:line="360" w:lineRule="auto"/>
        <w:jc w:val="both"/>
        <w:rPr>
          <w:rFonts w:ascii="Arial" w:hAnsi="Arial"/>
          <w:rtl/>
        </w:rPr>
      </w:pPr>
    </w:p>
    <w:p w14:paraId="2EAC7649" w14:textId="77777777" w:rsidR="006D3FF3" w:rsidRDefault="00116AD5">
      <w:pPr>
        <w:spacing w:line="360" w:lineRule="auto"/>
        <w:jc w:val="both"/>
        <w:rPr>
          <w:rFonts w:ascii="Arial" w:hAnsi="Arial"/>
          <w:rtl/>
        </w:rPr>
      </w:pPr>
      <w:r>
        <w:rPr>
          <w:rFonts w:ascii="Arial" w:hAnsi="Arial" w:hint="cs"/>
          <w:rtl/>
        </w:rPr>
        <w:t xml:space="preserve">לא זו אף זאת, אין מקום לבחון נסיבות ביצוע העבירות נשוא כתב האישום מבלי להתחשב בכך כי הסוכן הסמוי הוא בעצמו עבריין ונרקומן, אשר ניסה לפתות את הנאשם למכור לו את הסם ובתמורה לכך קיבל מהמדינה תשלום נאה בנוסף לסגירת כל התיקים העומדים לחובתו, כפי שהדבר עולה מההסכם שנחתם עמו וסומן נ/1. </w:t>
      </w:r>
    </w:p>
    <w:p w14:paraId="29429900" w14:textId="77777777" w:rsidR="006D3FF3" w:rsidRDefault="006D3FF3">
      <w:pPr>
        <w:spacing w:line="360" w:lineRule="auto"/>
        <w:jc w:val="both"/>
        <w:rPr>
          <w:rFonts w:ascii="Arial" w:hAnsi="Arial"/>
          <w:rtl/>
        </w:rPr>
      </w:pPr>
    </w:p>
    <w:p w14:paraId="7AF45D9A" w14:textId="77777777" w:rsidR="006D3FF3" w:rsidRDefault="00116AD5">
      <w:pPr>
        <w:spacing w:line="360" w:lineRule="auto"/>
        <w:jc w:val="both"/>
        <w:rPr>
          <w:rFonts w:ascii="Arial" w:hAnsi="Arial"/>
          <w:rtl/>
        </w:rPr>
      </w:pPr>
      <w:r>
        <w:rPr>
          <w:rFonts w:ascii="Arial" w:hAnsi="Arial" w:hint="cs"/>
          <w:rtl/>
        </w:rPr>
        <w:t xml:space="preserve">בהינתן הדברים הנ"ל, אין לומר כי התכנון המוקדם היה מצדו של הנאשם, שכן בפועל תכנון זה היה מצדו של הסוכן הסמוי בלבד. </w:t>
      </w:r>
    </w:p>
    <w:p w14:paraId="0BB7DD87" w14:textId="77777777" w:rsidR="006D3FF3" w:rsidRDefault="006D3FF3">
      <w:pPr>
        <w:spacing w:line="360" w:lineRule="auto"/>
        <w:jc w:val="both"/>
        <w:rPr>
          <w:rFonts w:ascii="Arial" w:hAnsi="Arial"/>
          <w:rtl/>
        </w:rPr>
      </w:pPr>
    </w:p>
    <w:p w14:paraId="27BA2BD5" w14:textId="77777777" w:rsidR="006D3FF3" w:rsidRDefault="00116AD5">
      <w:pPr>
        <w:spacing w:line="360" w:lineRule="auto"/>
        <w:jc w:val="both"/>
        <w:rPr>
          <w:rFonts w:ascii="Arial" w:hAnsi="Arial"/>
          <w:rtl/>
        </w:rPr>
      </w:pPr>
      <w:r>
        <w:rPr>
          <w:rFonts w:ascii="Arial" w:hAnsi="Arial" w:hint="cs"/>
          <w:rtl/>
        </w:rPr>
        <w:t xml:space="preserve">כמו כן טענה הסניגורית, כי אין להכריז על הנאשם סוחר סמים בהיותו חוליה קטנה בשרשרת ארוכה שלא הוא עומד בראשה. יתרה מכן, נזק בפועל לא נגרם, שכן הסם נתפס והתמורה ששולמה </w:t>
      </w:r>
      <w:r>
        <w:rPr>
          <w:rFonts w:ascii="Arial" w:hAnsi="Arial" w:hint="cs"/>
          <w:rtl/>
        </w:rPr>
        <w:lastRenderedPageBreak/>
        <w:t>בעדו חולטה. אך מעל לכל ביקשה הסנגורית להדגיש כי המאשימה לא בקשה להכריז על הנאשם כסוחר סמים במסגרת הכרעת הדין.</w:t>
      </w:r>
    </w:p>
    <w:p w14:paraId="2C304F2A" w14:textId="77777777" w:rsidR="006D3FF3" w:rsidRDefault="006D3FF3">
      <w:pPr>
        <w:spacing w:line="360" w:lineRule="auto"/>
        <w:jc w:val="both"/>
        <w:rPr>
          <w:rFonts w:ascii="Arial" w:hAnsi="Arial"/>
          <w:rtl/>
        </w:rPr>
      </w:pPr>
    </w:p>
    <w:p w14:paraId="5459CE5B" w14:textId="77777777" w:rsidR="006D3FF3" w:rsidRDefault="00116AD5">
      <w:pPr>
        <w:spacing w:line="360" w:lineRule="auto"/>
        <w:jc w:val="both"/>
        <w:rPr>
          <w:rFonts w:ascii="Arial" w:hAnsi="Arial"/>
          <w:rtl/>
        </w:rPr>
      </w:pPr>
      <w:r>
        <w:rPr>
          <w:rFonts w:ascii="Arial" w:hAnsi="Arial" w:hint="cs"/>
          <w:rtl/>
        </w:rPr>
        <w:t xml:space="preserve">אשר לנסיבותיו האישיות של הנאשם, ביקשה הסניגורית להפנות לגילו הצעיר של הנאשם, אשר ניהל טרם מעצרו חיים נורמטיביים והתעתד להתחתן ולהקים משפחה – דברים שאושרו גם בעדות אביו של הנאשם אשר העיד בפניי. </w:t>
      </w:r>
    </w:p>
    <w:p w14:paraId="144E5992" w14:textId="77777777" w:rsidR="006D3FF3" w:rsidRDefault="006D3FF3">
      <w:pPr>
        <w:spacing w:line="360" w:lineRule="auto"/>
        <w:jc w:val="both"/>
        <w:rPr>
          <w:rFonts w:ascii="Arial" w:hAnsi="Arial"/>
          <w:rtl/>
        </w:rPr>
      </w:pPr>
    </w:p>
    <w:p w14:paraId="1CCEE7B8" w14:textId="77777777" w:rsidR="006D3FF3" w:rsidRDefault="00116AD5">
      <w:pPr>
        <w:spacing w:line="360" w:lineRule="auto"/>
        <w:jc w:val="both"/>
        <w:rPr>
          <w:rFonts w:ascii="Arial" w:hAnsi="Arial"/>
          <w:rtl/>
        </w:rPr>
      </w:pPr>
      <w:r>
        <w:rPr>
          <w:rFonts w:ascii="Arial" w:hAnsi="Arial" w:hint="cs"/>
          <w:rtl/>
        </w:rPr>
        <w:t xml:space="preserve">לאור כל האמור לעיל ועל יסוד פסקי הדין אליהם הפנתה בטיעוניה, טענה הסניגורית כי העונש ההולם בנסיבות המקרה לא צריך לעבור את הרף של 10 חודשי מאסר בפועל, תוך הפעלת העונש המותנה בחופף לתקופה הנ"ל. </w:t>
      </w:r>
    </w:p>
    <w:p w14:paraId="489C41BB" w14:textId="77777777" w:rsidR="006D3FF3" w:rsidRDefault="006D3FF3">
      <w:pPr>
        <w:spacing w:line="360" w:lineRule="auto"/>
        <w:jc w:val="both"/>
        <w:rPr>
          <w:rFonts w:ascii="Arial" w:hAnsi="Arial"/>
          <w:rtl/>
        </w:rPr>
      </w:pPr>
    </w:p>
    <w:p w14:paraId="2D926C24" w14:textId="77777777" w:rsidR="006D3FF3" w:rsidRDefault="00116AD5">
      <w:pPr>
        <w:spacing w:line="360" w:lineRule="auto"/>
        <w:jc w:val="both"/>
        <w:rPr>
          <w:rFonts w:ascii="Arial" w:hAnsi="Arial"/>
          <w:rtl/>
        </w:rPr>
      </w:pPr>
      <w:r>
        <w:rPr>
          <w:rFonts w:ascii="Arial" w:hAnsi="Arial" w:hint="cs"/>
          <w:rtl/>
        </w:rPr>
        <w:t xml:space="preserve">אשר לחילוט הרכב, טענה הסניגורית כי אין כל רציונל להורות על חילוט רכב ששימש לביצוע אחד האישומים ולא להורות על חילוט הרכב האחר ששימש לביצוע האישום השני. מה גם שמדובר ברכב ששייך לגיסו של הנאשם אשר מסר את השימוש בו לנאשם מבלי לדעת שישמש לביצוע עבירה. </w:t>
      </w:r>
    </w:p>
    <w:p w14:paraId="654B664F" w14:textId="77777777" w:rsidR="006D3FF3" w:rsidRDefault="006D3FF3">
      <w:pPr>
        <w:spacing w:line="360" w:lineRule="auto"/>
        <w:jc w:val="both"/>
        <w:rPr>
          <w:rFonts w:ascii="Arial" w:hAnsi="Arial"/>
          <w:rtl/>
        </w:rPr>
      </w:pPr>
    </w:p>
    <w:p w14:paraId="18A0DE9C" w14:textId="77777777" w:rsidR="006D3FF3" w:rsidRDefault="00116AD5">
      <w:pPr>
        <w:spacing w:line="360" w:lineRule="auto"/>
        <w:jc w:val="both"/>
        <w:rPr>
          <w:rFonts w:ascii="Arial" w:hAnsi="Arial"/>
          <w:rtl/>
        </w:rPr>
      </w:pPr>
      <w:r>
        <w:rPr>
          <w:rFonts w:ascii="Arial" w:hAnsi="Arial" w:hint="cs"/>
          <w:rtl/>
        </w:rPr>
        <w:t xml:space="preserve">במענה לטענות אלה ביקש ב"כ המאשימה להבהיר, כי הרכב האחר לא חולט משום שמדובר היה ברכב שכור. </w:t>
      </w:r>
    </w:p>
    <w:p w14:paraId="6E88CE73" w14:textId="77777777" w:rsidR="006D3FF3" w:rsidRDefault="006D3FF3">
      <w:pPr>
        <w:spacing w:line="360" w:lineRule="auto"/>
        <w:jc w:val="both"/>
        <w:rPr>
          <w:rFonts w:ascii="Arial" w:hAnsi="Arial"/>
          <w:rtl/>
        </w:rPr>
      </w:pPr>
    </w:p>
    <w:p w14:paraId="1165126F" w14:textId="77777777" w:rsidR="006D3FF3" w:rsidRDefault="00116AD5">
      <w:pPr>
        <w:spacing w:line="360" w:lineRule="auto"/>
        <w:jc w:val="both"/>
        <w:rPr>
          <w:rFonts w:ascii="Arial" w:hAnsi="Arial"/>
          <w:rtl/>
        </w:rPr>
      </w:pPr>
      <w:r>
        <w:rPr>
          <w:rFonts w:ascii="Arial" w:hAnsi="Arial" w:hint="cs"/>
          <w:rtl/>
        </w:rPr>
        <w:t xml:space="preserve">הנאשם ביקש לומר את דברו בפני בית המשפט וציין, כי הוא מתחרט על ביצוע העבירה אשר בוצעה לאחר התקשרויות רבות מצד הסוכן הסמוי אשר הפציר בו ללא הרף למכור לו סמים עד שלבסוף נענה לפניותיו. </w:t>
      </w:r>
    </w:p>
    <w:p w14:paraId="6D80DB27" w14:textId="77777777" w:rsidR="006D3FF3" w:rsidRDefault="006D3FF3">
      <w:pPr>
        <w:spacing w:line="360" w:lineRule="auto"/>
        <w:jc w:val="both"/>
        <w:rPr>
          <w:rFonts w:ascii="Arial" w:hAnsi="Arial"/>
          <w:rtl/>
        </w:rPr>
      </w:pPr>
    </w:p>
    <w:p w14:paraId="0364552B" w14:textId="77777777" w:rsidR="006D3FF3" w:rsidRDefault="00116AD5">
      <w:pPr>
        <w:spacing w:line="360" w:lineRule="auto"/>
        <w:jc w:val="both"/>
        <w:rPr>
          <w:rFonts w:ascii="Arial" w:hAnsi="Arial"/>
          <w:b/>
          <w:bCs/>
          <w:u w:val="single"/>
          <w:rtl/>
        </w:rPr>
      </w:pPr>
      <w:r>
        <w:rPr>
          <w:rFonts w:ascii="Arial" w:hAnsi="Arial" w:hint="cs"/>
          <w:b/>
          <w:bCs/>
          <w:u w:val="single"/>
          <w:rtl/>
        </w:rPr>
        <w:t>דיון:</w:t>
      </w:r>
    </w:p>
    <w:p w14:paraId="3B23F89C" w14:textId="77777777" w:rsidR="006D3FF3" w:rsidRDefault="00116AD5">
      <w:pPr>
        <w:spacing w:line="360" w:lineRule="auto"/>
        <w:jc w:val="both"/>
        <w:rPr>
          <w:rFonts w:ascii="Arial" w:hAnsi="Arial"/>
          <w:noProof/>
          <w:rtl/>
        </w:rPr>
      </w:pPr>
      <w:r>
        <w:rPr>
          <w:rFonts w:ascii="Arial" w:hAnsi="Arial" w:hint="cs"/>
          <w:rtl/>
        </w:rPr>
        <w:t xml:space="preserve">אפתח בכך, כי הסכמת הצדדים בכל הקשור לעונש ההולם בגין כל אחת מהעבירות בהן הורשע הנאשם מקובלת עלי בהיותה נופלת במתחם הענישה המקובל בגין עבירות הסחר בנסיבותיו של המקרה והנאשם שלפניי. </w:t>
      </w:r>
    </w:p>
    <w:p w14:paraId="6E055608" w14:textId="77777777" w:rsidR="006D3FF3" w:rsidRDefault="006D3FF3">
      <w:pPr>
        <w:spacing w:line="360" w:lineRule="auto"/>
        <w:jc w:val="both"/>
        <w:rPr>
          <w:rFonts w:ascii="Arial" w:hAnsi="Arial"/>
          <w:rtl/>
        </w:rPr>
      </w:pPr>
    </w:p>
    <w:p w14:paraId="5DC2572F" w14:textId="77777777" w:rsidR="006D3FF3" w:rsidRDefault="00116AD5">
      <w:pPr>
        <w:spacing w:line="360" w:lineRule="auto"/>
        <w:jc w:val="both"/>
        <w:rPr>
          <w:rFonts w:ascii="Arial" w:hAnsi="Arial"/>
          <w:rtl/>
        </w:rPr>
      </w:pPr>
      <w:r>
        <w:rPr>
          <w:rFonts w:ascii="Arial" w:hAnsi="Arial" w:hint="cs"/>
          <w:rtl/>
        </w:rPr>
        <w:t xml:space="preserve">והשאלה שנשאלת כעת היא, איזה עונש יש לגזור על הנאשם? האם עונש נפרד לכל אחד מהאישומים, או שמא עונש כולל? ואם הוא עונש כולל - מה היקפו?   </w:t>
      </w:r>
    </w:p>
    <w:p w14:paraId="03977DAB" w14:textId="77777777" w:rsidR="006D3FF3" w:rsidRDefault="006D3FF3">
      <w:pPr>
        <w:spacing w:line="360" w:lineRule="auto"/>
        <w:jc w:val="both"/>
        <w:rPr>
          <w:rFonts w:ascii="Arial" w:hAnsi="Arial"/>
          <w:rtl/>
        </w:rPr>
      </w:pPr>
    </w:p>
    <w:p w14:paraId="65BCC98F" w14:textId="77777777" w:rsidR="006D3FF3" w:rsidRDefault="00116AD5">
      <w:pPr>
        <w:spacing w:line="360" w:lineRule="auto"/>
        <w:jc w:val="both"/>
        <w:rPr>
          <w:rFonts w:ascii="Arial" w:hAnsi="Arial"/>
          <w:rtl/>
        </w:rPr>
      </w:pPr>
      <w:r>
        <w:rPr>
          <w:rFonts w:ascii="Arial" w:hAnsi="Arial" w:hint="cs"/>
          <w:rtl/>
        </w:rPr>
        <w:t xml:space="preserve">אקדים ואומר, כי בשים לב לעובדה כי הנאשם ביצע שתי עסקאות של סחר בסמים בהפרש של יומיים בלבד לאותו סוכן סמוי, מקובלת עלי גישת הסנגורית כי יש לקבוע עונש כולל לכל האישומים, לפי הסמכות המוקנית לבית המשפט </w:t>
      </w:r>
      <w:hyperlink r:id="rId17" w:history="1">
        <w:r w:rsidR="001675ED" w:rsidRPr="001675ED">
          <w:rPr>
            <w:rFonts w:ascii="Arial" w:hAnsi="Arial"/>
            <w:color w:val="0000FF"/>
            <w:u w:val="single"/>
            <w:rtl/>
          </w:rPr>
          <w:t>בסעיף 40י"ג(ב)</w:t>
        </w:r>
      </w:hyperlink>
      <w:r>
        <w:rPr>
          <w:rFonts w:ascii="Arial" w:hAnsi="Arial" w:hint="cs"/>
          <w:rtl/>
        </w:rPr>
        <w:t xml:space="preserve"> ל</w:t>
      </w:r>
      <w:hyperlink r:id="rId18" w:history="1">
        <w:r w:rsidRPr="00116AD5">
          <w:rPr>
            <w:rFonts w:ascii="Arial" w:hAnsi="Arial"/>
            <w:color w:val="0000FF"/>
            <w:u w:val="single"/>
            <w:rtl/>
          </w:rPr>
          <w:t>חוק העונשין</w:t>
        </w:r>
      </w:hyperlink>
      <w:r>
        <w:rPr>
          <w:rFonts w:ascii="Arial" w:hAnsi="Arial" w:hint="cs"/>
          <w:rtl/>
        </w:rPr>
        <w:t>.</w:t>
      </w:r>
    </w:p>
    <w:p w14:paraId="168D54E2" w14:textId="77777777" w:rsidR="006D3FF3" w:rsidRDefault="006D3FF3">
      <w:pPr>
        <w:spacing w:line="360" w:lineRule="auto"/>
        <w:jc w:val="both"/>
        <w:rPr>
          <w:rFonts w:ascii="Arial" w:hAnsi="Arial"/>
          <w:noProof/>
          <w:rtl/>
        </w:rPr>
      </w:pPr>
    </w:p>
    <w:p w14:paraId="46FE2516" w14:textId="77777777" w:rsidR="006D3FF3" w:rsidRDefault="00116AD5">
      <w:pPr>
        <w:spacing w:line="360" w:lineRule="auto"/>
        <w:jc w:val="both"/>
        <w:rPr>
          <w:rFonts w:ascii="Arial" w:hAnsi="Arial"/>
          <w:rtl/>
        </w:rPr>
      </w:pPr>
      <w:r>
        <w:rPr>
          <w:rFonts w:ascii="Arial" w:hAnsi="Arial" w:hint="cs"/>
          <w:rtl/>
        </w:rPr>
        <w:t xml:space="preserve">בבואי לקבוע את העונש הכולל, לקחתי בחשבון כי במסגרת המאבק בעבירות הסמים, ובפרט בעבירת הסחר בסמים, יש לשוות לנגד עינינו בגדר מדיניות הענישה את טובת הציבור כשיקול ממדרגה ראשונה, וכן העובדה המצערת, כי סחר בסמים מסוכנים הוא אמצעי קל ונוח לעשיית רווח. וכך נקבע על ידי בית המשפט העליון בסוגיה זו:  </w:t>
      </w:r>
    </w:p>
    <w:p w14:paraId="1EE1A5AB" w14:textId="77777777" w:rsidR="006D3FF3" w:rsidRDefault="00116AD5">
      <w:pPr>
        <w:pStyle w:val="Ruller40"/>
        <w:ind w:left="567" w:right="540"/>
        <w:rPr>
          <w:rFonts w:cs="David"/>
          <w:b/>
          <w:bCs/>
          <w:sz w:val="24"/>
          <w:szCs w:val="24"/>
          <w:rtl/>
        </w:rPr>
      </w:pPr>
      <w:r>
        <w:rPr>
          <w:rFonts w:cs="David" w:hint="cs"/>
          <w:b/>
          <w:bCs/>
          <w:sz w:val="24"/>
          <w:szCs w:val="24"/>
          <w:rtl/>
        </w:rPr>
        <w:t>"על מדיניות הענישה בעבירות של סחר בסמים</w:t>
      </w:r>
      <w:r>
        <w:rPr>
          <w:rFonts w:ascii="David" w:cs="David" w:hint="cs"/>
          <w:b/>
          <w:bCs/>
          <w:sz w:val="24"/>
          <w:szCs w:val="24"/>
          <w:rtl/>
        </w:rPr>
        <w:t xml:space="preserve">, </w:t>
      </w:r>
      <w:r>
        <w:rPr>
          <w:rFonts w:cs="David" w:hint="cs"/>
          <w:b/>
          <w:bCs/>
          <w:sz w:val="24"/>
          <w:szCs w:val="24"/>
          <w:rtl/>
        </w:rPr>
        <w:t xml:space="preserve">ניתן ללמוד מדברי השופטת </w:t>
      </w:r>
      <w:r>
        <w:rPr>
          <w:rFonts w:ascii="Times New Roman" w:hAnsi="Times New Roman" w:cs="David" w:hint="cs"/>
          <w:b/>
          <w:bCs/>
          <w:spacing w:val="0"/>
          <w:sz w:val="24"/>
          <w:szCs w:val="24"/>
          <w:rtl/>
        </w:rPr>
        <w:t>א</w:t>
      </w:r>
      <w:r>
        <w:rPr>
          <w:rFonts w:ascii="David" w:hAnsi="Times New Roman" w:cs="David" w:hint="cs"/>
          <w:b/>
          <w:bCs/>
          <w:spacing w:val="0"/>
          <w:sz w:val="24"/>
          <w:szCs w:val="24"/>
          <w:rtl/>
        </w:rPr>
        <w:t xml:space="preserve">' </w:t>
      </w:r>
      <w:r>
        <w:rPr>
          <w:rFonts w:ascii="Times New Roman" w:hAnsi="Times New Roman" w:cs="David" w:hint="cs"/>
          <w:b/>
          <w:bCs/>
          <w:spacing w:val="0"/>
          <w:sz w:val="24"/>
          <w:szCs w:val="24"/>
          <w:rtl/>
        </w:rPr>
        <w:t>פרוקצ</w:t>
      </w:r>
      <w:r>
        <w:rPr>
          <w:rFonts w:ascii="David" w:hAnsi="Times New Roman" w:cs="David" w:hint="cs"/>
          <w:b/>
          <w:bCs/>
          <w:spacing w:val="0"/>
          <w:sz w:val="24"/>
          <w:szCs w:val="24"/>
          <w:rtl/>
        </w:rPr>
        <w:t>'</w:t>
      </w:r>
      <w:r>
        <w:rPr>
          <w:rFonts w:ascii="Times New Roman" w:hAnsi="Times New Roman" w:cs="David" w:hint="cs"/>
          <w:b/>
          <w:bCs/>
          <w:spacing w:val="0"/>
          <w:sz w:val="24"/>
          <w:szCs w:val="24"/>
          <w:rtl/>
        </w:rPr>
        <w:t>יה</w:t>
      </w:r>
      <w:r>
        <w:rPr>
          <w:rFonts w:cs="David" w:hint="cs"/>
          <w:b/>
          <w:bCs/>
          <w:sz w:val="24"/>
          <w:szCs w:val="24"/>
          <w:rtl/>
        </w:rPr>
        <w:t xml:space="preserve"> ב</w:t>
      </w:r>
      <w:hyperlink r:id="rId19" w:history="1">
        <w:r w:rsidRPr="00116AD5">
          <w:rPr>
            <w:rFonts w:cs="David"/>
            <w:b/>
            <w:bCs/>
            <w:color w:val="0000FF"/>
            <w:sz w:val="24"/>
            <w:szCs w:val="24"/>
            <w:u w:val="single"/>
            <w:rtl/>
          </w:rPr>
          <w:t>ע"פ 211/09</w:t>
        </w:r>
      </w:hyperlink>
      <w:r>
        <w:rPr>
          <w:rFonts w:cs="David" w:hint="cs"/>
          <w:b/>
          <w:bCs/>
          <w:sz w:val="24"/>
          <w:szCs w:val="24"/>
          <w:rtl/>
        </w:rPr>
        <w:t xml:space="preserve"> אזולאי נ</w:t>
      </w:r>
      <w:r>
        <w:rPr>
          <w:rFonts w:ascii="David" w:cs="David" w:hint="cs"/>
          <w:b/>
          <w:bCs/>
          <w:sz w:val="24"/>
          <w:szCs w:val="24"/>
          <w:rtl/>
        </w:rPr>
        <w:t xml:space="preserve">' </w:t>
      </w:r>
      <w:r>
        <w:rPr>
          <w:rFonts w:cs="David" w:hint="cs"/>
          <w:b/>
          <w:bCs/>
          <w:sz w:val="24"/>
          <w:szCs w:val="24"/>
          <w:rtl/>
        </w:rPr>
        <w:t xml:space="preserve">מדינת ישראל </w:t>
      </w:r>
      <w:r>
        <w:rPr>
          <w:rFonts w:ascii="David" w:cs="David" w:hint="cs"/>
          <w:b/>
          <w:bCs/>
          <w:sz w:val="24"/>
          <w:szCs w:val="24"/>
          <w:rtl/>
        </w:rPr>
        <w:t>(</w:t>
      </w:r>
      <w:r>
        <w:rPr>
          <w:rFonts w:cs="David" w:hint="cs"/>
          <w:b/>
          <w:bCs/>
          <w:sz w:val="24"/>
          <w:szCs w:val="24"/>
          <w:rtl/>
        </w:rPr>
        <w:t>22.6.2010): "הענישה בעבירות מסוג זה נועדה</w:t>
      </w:r>
      <w:r>
        <w:rPr>
          <w:rFonts w:ascii="David" w:cs="David" w:hint="cs"/>
          <w:b/>
          <w:bCs/>
          <w:sz w:val="24"/>
          <w:szCs w:val="24"/>
          <w:rtl/>
        </w:rPr>
        <w:t xml:space="preserve">, </w:t>
      </w:r>
      <w:r>
        <w:rPr>
          <w:rFonts w:cs="David" w:hint="cs"/>
          <w:b/>
          <w:bCs/>
          <w:sz w:val="24"/>
          <w:szCs w:val="24"/>
          <w:rtl/>
        </w:rPr>
        <w:t>קודם לכל</w:t>
      </w:r>
      <w:r>
        <w:rPr>
          <w:rFonts w:ascii="David" w:cs="David" w:hint="cs"/>
          <w:b/>
          <w:bCs/>
          <w:sz w:val="24"/>
          <w:szCs w:val="24"/>
          <w:rtl/>
        </w:rPr>
        <w:t xml:space="preserve">, </w:t>
      </w:r>
      <w:r>
        <w:rPr>
          <w:rFonts w:cs="David" w:hint="cs"/>
          <w:b/>
          <w:bCs/>
          <w:sz w:val="24"/>
          <w:szCs w:val="24"/>
          <w:rtl/>
        </w:rPr>
        <w:t>לשרת את מטרת הגמול לעבריין על עיסוק בסם העלול לסכן חיי אדם ולפגוע בבריאות המשתמשים בו</w:t>
      </w:r>
      <w:r>
        <w:rPr>
          <w:rFonts w:ascii="David" w:cs="David" w:hint="cs"/>
          <w:b/>
          <w:bCs/>
          <w:sz w:val="24"/>
          <w:szCs w:val="24"/>
          <w:rtl/>
        </w:rPr>
        <w:t xml:space="preserve">; </w:t>
      </w:r>
      <w:r>
        <w:rPr>
          <w:rFonts w:cs="David" w:hint="cs"/>
          <w:b/>
          <w:bCs/>
          <w:sz w:val="24"/>
          <w:szCs w:val="24"/>
          <w:rtl/>
        </w:rPr>
        <w:t>שנית</w:t>
      </w:r>
      <w:r>
        <w:rPr>
          <w:rFonts w:ascii="David" w:cs="David" w:hint="cs"/>
          <w:b/>
          <w:bCs/>
          <w:sz w:val="24"/>
          <w:szCs w:val="24"/>
          <w:rtl/>
        </w:rPr>
        <w:t xml:space="preserve">, </w:t>
      </w:r>
      <w:r>
        <w:rPr>
          <w:rFonts w:cs="David" w:hint="cs"/>
          <w:b/>
          <w:bCs/>
          <w:sz w:val="24"/>
          <w:szCs w:val="24"/>
          <w:rtl/>
        </w:rPr>
        <w:t>על העונש להעביר מסר חד</w:t>
      </w:r>
      <w:r>
        <w:rPr>
          <w:rFonts w:ascii="David" w:cs="David" w:hint="cs"/>
          <w:b/>
          <w:bCs/>
          <w:sz w:val="24"/>
          <w:szCs w:val="24"/>
          <w:rtl/>
        </w:rPr>
        <w:t>-</w:t>
      </w:r>
      <w:r>
        <w:rPr>
          <w:rFonts w:cs="David" w:hint="cs"/>
          <w:b/>
          <w:bCs/>
          <w:sz w:val="24"/>
          <w:szCs w:val="24"/>
          <w:rtl/>
        </w:rPr>
        <w:t>משמעי של הרתעה ביחס לעבריינים פוטנציאליים</w:t>
      </w:r>
      <w:r>
        <w:rPr>
          <w:rFonts w:ascii="David" w:cs="David" w:hint="cs"/>
          <w:b/>
          <w:bCs/>
          <w:sz w:val="24"/>
          <w:szCs w:val="24"/>
          <w:rtl/>
        </w:rPr>
        <w:t xml:space="preserve">, </w:t>
      </w:r>
      <w:r>
        <w:rPr>
          <w:rFonts w:cs="David" w:hint="cs"/>
          <w:b/>
          <w:bCs/>
          <w:sz w:val="24"/>
          <w:szCs w:val="24"/>
          <w:rtl/>
        </w:rPr>
        <w:t>ולשמש אות אזהרה אפקטיבי לכל מי שמתכוון לקחת חלק במערכת ההעברות והסחר בסמים</w:t>
      </w:r>
      <w:r>
        <w:rPr>
          <w:rFonts w:ascii="David" w:cs="David" w:hint="cs"/>
          <w:b/>
          <w:bCs/>
          <w:sz w:val="24"/>
          <w:szCs w:val="24"/>
          <w:rtl/>
        </w:rPr>
        <w:t xml:space="preserve">, </w:t>
      </w:r>
      <w:r>
        <w:rPr>
          <w:rFonts w:cs="David" w:hint="cs"/>
          <w:b/>
          <w:bCs/>
          <w:sz w:val="24"/>
          <w:szCs w:val="24"/>
          <w:rtl/>
        </w:rPr>
        <w:t>תהא אשר תהא הפונקציה אותה הוא ממלא בשרשרת זו של העברת הסם מיד ליד</w:t>
      </w:r>
      <w:r>
        <w:rPr>
          <w:rFonts w:ascii="David" w:cs="David" w:hint="cs"/>
          <w:b/>
          <w:bCs/>
          <w:sz w:val="24"/>
          <w:szCs w:val="24"/>
          <w:rtl/>
        </w:rPr>
        <w:t xml:space="preserve">. </w:t>
      </w:r>
      <w:r>
        <w:rPr>
          <w:rFonts w:cs="David" w:hint="cs"/>
          <w:b/>
          <w:bCs/>
          <w:sz w:val="24"/>
          <w:szCs w:val="24"/>
          <w:rtl/>
        </w:rPr>
        <w:t>מזה זמן רב</w:t>
      </w:r>
      <w:r>
        <w:rPr>
          <w:rFonts w:ascii="David" w:cs="David" w:hint="cs"/>
          <w:b/>
          <w:bCs/>
          <w:sz w:val="24"/>
          <w:szCs w:val="24"/>
          <w:rtl/>
        </w:rPr>
        <w:t xml:space="preserve">, </w:t>
      </w:r>
      <w:r>
        <w:rPr>
          <w:rFonts w:cs="David" w:hint="cs"/>
          <w:b/>
          <w:bCs/>
          <w:sz w:val="24"/>
          <w:szCs w:val="24"/>
          <w:rtl/>
        </w:rPr>
        <w:t>מדגישים בתי המשפט בפסיקתם את חשיבות הערך הענישתי בעבירות סמים כאחד הכלים החשובים בפעילות לביעורו של נגע הסמים</w:t>
      </w:r>
      <w:r>
        <w:rPr>
          <w:rFonts w:ascii="David" w:cs="David" w:hint="cs"/>
          <w:b/>
          <w:bCs/>
          <w:sz w:val="24"/>
          <w:szCs w:val="24"/>
          <w:rtl/>
        </w:rPr>
        <w:t xml:space="preserve">. </w:t>
      </w:r>
      <w:r>
        <w:rPr>
          <w:rFonts w:cs="David" w:hint="cs"/>
          <w:b/>
          <w:bCs/>
          <w:sz w:val="24"/>
          <w:szCs w:val="24"/>
          <w:rtl/>
        </w:rPr>
        <w:t>ההחמרה בענישה בגין עבירות סמים משרתת את מטרות הגמול וההרתעה</w:t>
      </w:r>
      <w:r>
        <w:rPr>
          <w:rFonts w:ascii="David" w:cs="David" w:hint="cs"/>
          <w:b/>
          <w:bCs/>
          <w:sz w:val="24"/>
          <w:szCs w:val="24"/>
          <w:rtl/>
        </w:rPr>
        <w:t xml:space="preserve">, </w:t>
      </w:r>
      <w:r>
        <w:rPr>
          <w:rFonts w:cs="David" w:hint="cs"/>
          <w:b/>
          <w:bCs/>
          <w:sz w:val="24"/>
          <w:szCs w:val="24"/>
          <w:rtl/>
        </w:rPr>
        <w:t>שהן היעדים העיקריים של הענישה בתחום הסמים</w:t>
      </w:r>
      <w:r>
        <w:rPr>
          <w:rFonts w:ascii="David" w:cs="David" w:hint="cs"/>
          <w:b/>
          <w:bCs/>
          <w:sz w:val="24"/>
          <w:szCs w:val="24"/>
          <w:rtl/>
        </w:rPr>
        <w:t>"</w:t>
      </w:r>
    </w:p>
    <w:p w14:paraId="519D6172" w14:textId="77777777" w:rsidR="006D3FF3" w:rsidRDefault="00116AD5">
      <w:pPr>
        <w:pStyle w:val="Ruller40"/>
        <w:ind w:left="567" w:right="540"/>
        <w:rPr>
          <w:rFonts w:cs="David"/>
          <w:sz w:val="24"/>
          <w:szCs w:val="24"/>
          <w:rtl/>
        </w:rPr>
      </w:pPr>
      <w:r>
        <w:rPr>
          <w:rFonts w:cs="David" w:hint="cs"/>
          <w:sz w:val="24"/>
          <w:szCs w:val="24"/>
          <w:rtl/>
        </w:rPr>
        <w:t>(</w:t>
      </w:r>
      <w:hyperlink r:id="rId20" w:history="1">
        <w:r w:rsidRPr="00116AD5">
          <w:rPr>
            <w:rFonts w:cs="David"/>
            <w:color w:val="0000FF"/>
            <w:sz w:val="24"/>
            <w:szCs w:val="24"/>
            <w:u w:val="single"/>
            <w:rtl/>
          </w:rPr>
          <w:t>ע"פ 9229/12</w:t>
        </w:r>
      </w:hyperlink>
      <w:r>
        <w:rPr>
          <w:rFonts w:cs="David" w:hint="cs"/>
          <w:sz w:val="24"/>
          <w:szCs w:val="24"/>
          <w:rtl/>
        </w:rPr>
        <w:t xml:space="preserve"> </w:t>
      </w:r>
      <w:r>
        <w:rPr>
          <w:rFonts w:cs="David" w:hint="cs"/>
          <w:b/>
          <w:bCs/>
          <w:sz w:val="24"/>
          <w:szCs w:val="24"/>
          <w:rtl/>
        </w:rPr>
        <w:t>טרבאני נ</w:t>
      </w:r>
      <w:r>
        <w:rPr>
          <w:rFonts w:ascii="David" w:cs="David" w:hint="cs"/>
          <w:b/>
          <w:bCs/>
          <w:sz w:val="24"/>
          <w:szCs w:val="24"/>
          <w:rtl/>
        </w:rPr>
        <w:t xml:space="preserve">' </w:t>
      </w:r>
      <w:r>
        <w:rPr>
          <w:rFonts w:cs="David" w:hint="cs"/>
          <w:b/>
          <w:bCs/>
          <w:sz w:val="24"/>
          <w:szCs w:val="24"/>
          <w:rtl/>
        </w:rPr>
        <w:t>מדינת ישראל</w:t>
      </w:r>
      <w:r>
        <w:rPr>
          <w:rFonts w:cs="David" w:hint="cs"/>
          <w:sz w:val="24"/>
          <w:szCs w:val="24"/>
          <w:rtl/>
        </w:rPr>
        <w:t xml:space="preserve">, ניתן ביום </w:t>
      </w:r>
      <w:r>
        <w:rPr>
          <w:rFonts w:ascii="David" w:cs="David" w:hint="cs"/>
          <w:sz w:val="24"/>
          <w:szCs w:val="24"/>
          <w:rtl/>
        </w:rPr>
        <w:t>24</w:t>
      </w:r>
      <w:r>
        <w:rPr>
          <w:rFonts w:cs="David" w:hint="cs"/>
          <w:sz w:val="24"/>
          <w:szCs w:val="24"/>
          <w:rtl/>
        </w:rPr>
        <w:t>.7.13).</w:t>
      </w:r>
    </w:p>
    <w:p w14:paraId="1DB02177" w14:textId="77777777" w:rsidR="006D3FF3" w:rsidRDefault="006D3FF3">
      <w:pPr>
        <w:spacing w:line="360" w:lineRule="auto"/>
        <w:jc w:val="both"/>
        <w:rPr>
          <w:sz w:val="28"/>
          <w:rtl/>
        </w:rPr>
      </w:pPr>
    </w:p>
    <w:p w14:paraId="09009DE9" w14:textId="77777777" w:rsidR="006D3FF3" w:rsidRDefault="00116AD5">
      <w:pPr>
        <w:spacing w:line="360" w:lineRule="auto"/>
        <w:jc w:val="both"/>
        <w:rPr>
          <w:rFonts w:ascii="Arial" w:hAnsi="Arial"/>
          <w:rtl/>
        </w:rPr>
      </w:pPr>
      <w:r>
        <w:rPr>
          <w:rFonts w:hint="cs"/>
          <w:sz w:val="28"/>
          <w:rtl/>
        </w:rPr>
        <w:t>באשר לנסיבות הקשורות בביצוע העבירה</w:t>
      </w:r>
      <w:r>
        <w:rPr>
          <w:rFonts w:ascii="Arial" w:hAnsi="Arial" w:hint="cs"/>
          <w:rtl/>
        </w:rPr>
        <w:t xml:space="preserve"> - לצד החומרה העולה מסוג העבירה שבכתב האישום, אין להתעלם מהעובדה שלא מדובר במעידה חד-פעמית של הנאשם, שכן האחרון ביצע 2 עסקאות של סחר בסמים מסוכנים, ובסמים הנחשבים לסמים קשים ובכמויות לא מבוטלות. </w:t>
      </w:r>
    </w:p>
    <w:p w14:paraId="77B6B8A7" w14:textId="77777777" w:rsidR="006D3FF3" w:rsidRDefault="006D3FF3">
      <w:pPr>
        <w:spacing w:line="360" w:lineRule="auto"/>
        <w:jc w:val="both"/>
        <w:rPr>
          <w:rFonts w:ascii="Arial" w:hAnsi="Arial"/>
          <w:rtl/>
        </w:rPr>
      </w:pPr>
    </w:p>
    <w:p w14:paraId="37D6C3AC" w14:textId="77777777" w:rsidR="006D3FF3" w:rsidRDefault="00116AD5">
      <w:pPr>
        <w:spacing w:line="360" w:lineRule="auto"/>
        <w:jc w:val="both"/>
        <w:rPr>
          <w:rFonts w:ascii="Arial" w:hAnsi="Arial"/>
          <w:rtl/>
        </w:rPr>
      </w:pPr>
      <w:r>
        <w:rPr>
          <w:rFonts w:ascii="Arial" w:hAnsi="Arial" w:hint="cs"/>
          <w:rtl/>
        </w:rPr>
        <w:t xml:space="preserve">אעצור כדי להעיר, כי טענת הסנגורית שמדובר בעבירות שבוצעו על רקע פיתויו של הנאשם על ידי הסוכן הסמוי, דינה להידחות. לא בכדי הסנגורית אינה טוענת במפורש להדחה ושידול מצד הסוכן כלפי הנאשם לביצוע העבירה, והרי הנאשם הודה בביצוע העבירות המיוחסות לו ללא כל הסתייגות. אך גם הטענה כי 'פותה' על ידי הסוכן למכור לו סמים, היא טענה שלא יכולה לעמוד, משום שלא מדובר בנאשם תמים נטול עבר פלילי, אלא במי שצבר לחובתו הרשעות קודמות במגוון עבירות וריצה בעברו עונש מאסר בגין אותה עבירה ממש. </w:t>
      </w:r>
    </w:p>
    <w:p w14:paraId="451D71A1" w14:textId="77777777" w:rsidR="006D3FF3" w:rsidRDefault="006D3FF3">
      <w:pPr>
        <w:spacing w:line="360" w:lineRule="auto"/>
        <w:jc w:val="both"/>
        <w:rPr>
          <w:rFonts w:ascii="Arial" w:hAnsi="Arial"/>
          <w:rtl/>
        </w:rPr>
      </w:pPr>
    </w:p>
    <w:p w14:paraId="159D06A8" w14:textId="77777777" w:rsidR="006D3FF3" w:rsidRDefault="00116AD5">
      <w:pPr>
        <w:spacing w:line="360" w:lineRule="auto"/>
        <w:jc w:val="both"/>
        <w:rPr>
          <w:rFonts w:ascii="Arial" w:hAnsi="Arial"/>
          <w:rtl/>
        </w:rPr>
      </w:pPr>
      <w:r>
        <w:rPr>
          <w:rFonts w:ascii="Arial" w:hAnsi="Arial" w:hint="cs"/>
          <w:rtl/>
        </w:rPr>
        <w:t>המרשם הפלילי של הנאשם כולל הרשעות במספר עבירות, הטריה שבהן היא משנת 2011 בגין סחר בסמים מסוכנים ונהיגה ברכב ללא רישיון. בנוסף לכך קיימות הרשעות מהשנים 2008, 2005 בגין מגוון עבירות אחרות כגון: איומים, הפרת הוראה חוקית, הפרעה לשוטר במילוי תפקידו, שיבוש מהלכי משפט, נהיגה פוחזת ברכב, פריצה וגניבה ועוד. בגין הרשעות אלה הוטלו על הנאשם עונשי מאסר של 7 חודשים, 7 חודשים נוספים ועוד 6 חודשים.</w:t>
      </w:r>
    </w:p>
    <w:p w14:paraId="4415145A" w14:textId="77777777" w:rsidR="006D3FF3" w:rsidRDefault="006D3FF3">
      <w:pPr>
        <w:spacing w:line="360" w:lineRule="auto"/>
        <w:jc w:val="both"/>
        <w:rPr>
          <w:rFonts w:ascii="Arial" w:hAnsi="Arial"/>
          <w:rtl/>
        </w:rPr>
      </w:pPr>
    </w:p>
    <w:p w14:paraId="77BA98CF" w14:textId="77777777" w:rsidR="006D3FF3" w:rsidRDefault="00116AD5">
      <w:pPr>
        <w:spacing w:line="360" w:lineRule="auto"/>
        <w:jc w:val="both"/>
        <w:rPr>
          <w:rFonts w:ascii="Arial" w:hAnsi="Arial"/>
          <w:rtl/>
        </w:rPr>
      </w:pPr>
      <w:r>
        <w:rPr>
          <w:rFonts w:ascii="Arial" w:hAnsi="Arial" w:hint="cs"/>
          <w:rtl/>
        </w:rPr>
        <w:t>נסיבה נוספת לחומרה מוצאת אני בעובדה כי הנאשם ביצע את העבירות כאשר מעל ראשו תלוי ועומד עונש מאסר מותנה בן 12 חודשים בגין עבירה דומה שביצע בעבר ובגינה ריצה 7 חודשי מאסר בפועל. ברור אם כן, כי הנאשם חזר לסורו ובחר לבצע עבירות מהחמורות שבפקודת הסמים בשל בצע כסף, ללא מורא מהדין ומבלי שנרתע מהמאסר המותנה התלוי נגדו.</w:t>
      </w:r>
    </w:p>
    <w:p w14:paraId="4C852E6A" w14:textId="77777777" w:rsidR="006D3FF3" w:rsidRDefault="00116AD5">
      <w:pPr>
        <w:spacing w:line="360" w:lineRule="auto"/>
        <w:jc w:val="both"/>
        <w:rPr>
          <w:rFonts w:ascii="Arial" w:hAnsi="Arial"/>
          <w:rtl/>
        </w:rPr>
      </w:pPr>
      <w:r>
        <w:rPr>
          <w:rFonts w:ascii="Arial" w:hAnsi="Arial" w:hint="cs"/>
          <w:rtl/>
        </w:rPr>
        <w:t xml:space="preserve"> </w:t>
      </w:r>
    </w:p>
    <w:p w14:paraId="2C528408" w14:textId="77777777" w:rsidR="006D3FF3" w:rsidRDefault="00116AD5">
      <w:pPr>
        <w:spacing w:line="360" w:lineRule="auto"/>
        <w:jc w:val="both"/>
        <w:rPr>
          <w:rFonts w:ascii="Arial" w:hAnsi="Arial"/>
          <w:rtl/>
        </w:rPr>
      </w:pPr>
      <w:r>
        <w:rPr>
          <w:rFonts w:ascii="Arial" w:hAnsi="Arial" w:hint="cs"/>
          <w:rtl/>
        </w:rPr>
        <w:t xml:space="preserve">מנגד, אני לוקחת בחשבון את הודאתו של הנאשם אשר חסכה מזמנו היקר של בית המשפט ומזמנה של המאשימה, ואף חסך בכך לא מעט משאבים שהיו כרוכים בניהול התיק. </w:t>
      </w:r>
    </w:p>
    <w:p w14:paraId="749FF37B" w14:textId="77777777" w:rsidR="006D3FF3" w:rsidRDefault="006D3FF3">
      <w:pPr>
        <w:spacing w:line="360" w:lineRule="auto"/>
        <w:jc w:val="both"/>
        <w:rPr>
          <w:rFonts w:ascii="Arial" w:hAnsi="Arial"/>
          <w:rtl/>
        </w:rPr>
      </w:pPr>
    </w:p>
    <w:p w14:paraId="374CA7F3" w14:textId="77777777" w:rsidR="006D3FF3" w:rsidRDefault="00116AD5">
      <w:pPr>
        <w:spacing w:line="360" w:lineRule="auto"/>
        <w:jc w:val="both"/>
        <w:rPr>
          <w:rFonts w:ascii="Arial" w:hAnsi="Arial"/>
          <w:rtl/>
        </w:rPr>
      </w:pPr>
      <w:r>
        <w:rPr>
          <w:rFonts w:ascii="Arial" w:hAnsi="Arial" w:hint="cs"/>
          <w:rtl/>
        </w:rPr>
        <w:t>כמו כן, לקחתי בחשבון את גילו הצעיר של הנאשם (יליד שנת 1981), ובמידה מסוימת אם כי מועטה, את נסיבותיו האישיות כמי שתומך בהוריו והתכוון להתחתן ולהקים משפחה. ועל שום מה מידה מועטה? משום שהמשקל שניתן לייחס לנסיבותיו האישיות של נאשם בעבירות קא עסקינן נסוג מפני האינטרס הציבורי, כפי שעמדתי עליו מקודם. דברים אלה יפים שבעתיים לגבי הנאשם כמי שהורשע אך לא מזמן בעבירה דומה של סחר בסמים מסוכנים ואף ריצה בגינה עונש מאסר.</w:t>
      </w:r>
    </w:p>
    <w:p w14:paraId="12D3EF45" w14:textId="77777777" w:rsidR="006D3FF3" w:rsidRDefault="006D3FF3">
      <w:pPr>
        <w:spacing w:line="360" w:lineRule="auto"/>
        <w:jc w:val="both"/>
        <w:rPr>
          <w:rFonts w:ascii="Arial" w:hAnsi="Arial"/>
          <w:rtl/>
        </w:rPr>
      </w:pPr>
    </w:p>
    <w:p w14:paraId="678EE34F" w14:textId="77777777" w:rsidR="006D3FF3" w:rsidRDefault="00116AD5">
      <w:pPr>
        <w:spacing w:line="360" w:lineRule="auto"/>
        <w:jc w:val="both"/>
        <w:rPr>
          <w:rFonts w:ascii="Arial" w:hAnsi="Arial"/>
          <w:rtl/>
        </w:rPr>
      </w:pPr>
      <w:r>
        <w:rPr>
          <w:rFonts w:ascii="Arial" w:hAnsi="Arial" w:hint="cs"/>
          <w:rtl/>
        </w:rPr>
        <w:t>הסנגורית הפנתה למספר מקרים בהם הוטלו על נאשמים בעבירות דומות עונשי מאסר מתונים שאחד מהם כלל מאסר מותנה בלבד. לאחר שבחנתי את מכלול פסקי הדין שהוגשו לעיוני אני מוצאת כי המקרים בהם העונש חרג לקולה מהעונש ההולם, היו מקרים שהסתיימו בהסדר טיעון או מקרים בהם ניתן דגש מיוחד לערך השיקומי של הנאשם או נסיבותיו המיוחדות – מה שלא מתקיים במקרה דנן.</w:t>
      </w:r>
    </w:p>
    <w:p w14:paraId="6FB34535" w14:textId="77777777" w:rsidR="006D3FF3" w:rsidRDefault="006D3FF3">
      <w:pPr>
        <w:spacing w:line="360" w:lineRule="auto"/>
        <w:jc w:val="both"/>
        <w:rPr>
          <w:rFonts w:ascii="Arial" w:hAnsi="Arial"/>
          <w:rtl/>
        </w:rPr>
      </w:pPr>
    </w:p>
    <w:p w14:paraId="4B72F797" w14:textId="77777777" w:rsidR="006D3FF3" w:rsidRDefault="00116AD5">
      <w:pPr>
        <w:spacing w:line="360" w:lineRule="auto"/>
        <w:jc w:val="both"/>
        <w:rPr>
          <w:rFonts w:ascii="Arial" w:hAnsi="Arial"/>
          <w:rtl/>
        </w:rPr>
      </w:pPr>
      <w:r>
        <w:rPr>
          <w:rFonts w:ascii="Arial" w:hAnsi="Arial" w:hint="cs"/>
          <w:rtl/>
        </w:rPr>
        <w:t>בהקשר זה אבקש להפנות לשם ההשוואה למקרה שבו דחה בית המשפט העליון ערעור בגלגול שני של נאשם על חומרת העונש אשר הוטל עליו, ואשר כלל עונש מאסר בפועל של 10 חודשים בגין שתי עסקאות של סחר בסם מסוג הרואין, האחת במשקל 1.33 ג' נטו, והשנייה במשקל 1.48 ג' נטו – פחות משליש מכמות הסם בתיק דנן (</w:t>
      </w:r>
      <w:hyperlink r:id="rId21" w:history="1">
        <w:r w:rsidRPr="00116AD5">
          <w:rPr>
            <w:rFonts w:ascii="Arial" w:hAnsi="Arial"/>
            <w:color w:val="0000FF"/>
            <w:u w:val="single"/>
            <w:rtl/>
          </w:rPr>
          <w:t>רע"פ 7681/13</w:t>
        </w:r>
      </w:hyperlink>
      <w:r>
        <w:rPr>
          <w:rFonts w:ascii="Arial" w:hAnsi="Arial" w:hint="cs"/>
          <w:rtl/>
        </w:rPr>
        <w:t xml:space="preserve"> </w:t>
      </w:r>
      <w:r>
        <w:rPr>
          <w:rFonts w:ascii="Arial" w:hAnsi="Arial" w:hint="cs"/>
          <w:b/>
          <w:bCs/>
          <w:rtl/>
        </w:rPr>
        <w:t>דקה נ' מדינת ישראל</w:t>
      </w:r>
      <w:r>
        <w:rPr>
          <w:rFonts w:ascii="Arial" w:hAnsi="Arial" w:hint="cs"/>
          <w:rtl/>
        </w:rPr>
        <w:t xml:space="preserve">, ניתן ביום 21/1/14). </w:t>
      </w:r>
    </w:p>
    <w:p w14:paraId="14914715" w14:textId="77777777" w:rsidR="006D3FF3" w:rsidRDefault="006D3FF3">
      <w:pPr>
        <w:spacing w:line="360" w:lineRule="auto"/>
        <w:jc w:val="both"/>
        <w:rPr>
          <w:rFonts w:ascii="Arial" w:hAnsi="Arial"/>
          <w:rtl/>
        </w:rPr>
      </w:pPr>
    </w:p>
    <w:p w14:paraId="2460A156" w14:textId="77777777" w:rsidR="006D3FF3" w:rsidRDefault="00116AD5">
      <w:pPr>
        <w:spacing w:line="360" w:lineRule="auto"/>
        <w:jc w:val="both"/>
        <w:rPr>
          <w:rFonts w:ascii="Arial" w:hAnsi="Arial"/>
          <w:rtl/>
        </w:rPr>
      </w:pPr>
      <w:r>
        <w:rPr>
          <w:rFonts w:ascii="Arial" w:hAnsi="Arial" w:hint="cs"/>
          <w:rtl/>
        </w:rPr>
        <w:t>במקרה אחר נדחה ערעור בגלגול שני של נאשם על חומרת העונש אשר הוטל עליו בגין שתי עסקאות של סחר בסם מסוג קוקאין, האחת במשקל של 2.47 ג' נטו, והשניה במשקל של 3.95 ג' נטו. בגין עבירות אלו הוטלו על הנאשם 16 חודשי מאסר בפועל בגין כל אחת מהעבירות בנפרד (</w:t>
      </w:r>
      <w:hyperlink r:id="rId22" w:history="1">
        <w:r w:rsidRPr="00116AD5">
          <w:rPr>
            <w:rFonts w:ascii="Arial" w:hAnsi="Arial"/>
            <w:color w:val="0000FF"/>
            <w:u w:val="single"/>
            <w:rtl/>
          </w:rPr>
          <w:t>רע"פ 2122/13</w:t>
        </w:r>
      </w:hyperlink>
      <w:r>
        <w:rPr>
          <w:rFonts w:ascii="Arial" w:hAnsi="Arial" w:hint="cs"/>
          <w:rtl/>
        </w:rPr>
        <w:t xml:space="preserve"> </w:t>
      </w:r>
      <w:r>
        <w:rPr>
          <w:rFonts w:ascii="Arial" w:hAnsi="Arial" w:hint="cs"/>
          <w:b/>
          <w:bCs/>
          <w:rtl/>
        </w:rPr>
        <w:t>דבש נ' מדינת ישראל</w:t>
      </w:r>
      <w:r>
        <w:rPr>
          <w:rFonts w:ascii="Arial" w:hAnsi="Arial" w:hint="cs"/>
          <w:rtl/>
        </w:rPr>
        <w:t>, ניתן ביום 9/5/13). ערה אני אומנם לכך כי מדובר בענישה העולה אפילו על העונש המוסכם בתיק זה הגם שמשקל הסם כאן הוא גבוה בהרבה מהכמות המוזכרת במקרה שנדון לעיל, אך להבדיל מהמקרה שלפניי שם דובר בעונש שהוטל לאחר שמיעה מלאה של הראיות וכאשר לחובת הנאשם שם שתי הרשעות קודמות בתחום הסמים, לעומת הרשעה אחת לנאשם שבפניי.</w:t>
      </w:r>
    </w:p>
    <w:p w14:paraId="2A1A1644" w14:textId="77777777" w:rsidR="006D3FF3" w:rsidRDefault="00116AD5">
      <w:pPr>
        <w:spacing w:line="360" w:lineRule="auto"/>
        <w:jc w:val="both"/>
        <w:rPr>
          <w:rFonts w:ascii="Arial" w:hAnsi="Arial"/>
          <w:rtl/>
        </w:rPr>
      </w:pPr>
      <w:r>
        <w:rPr>
          <w:rFonts w:ascii="Arial" w:hAnsi="Arial" w:hint="cs"/>
          <w:rtl/>
        </w:rPr>
        <w:t xml:space="preserve">      </w:t>
      </w:r>
    </w:p>
    <w:p w14:paraId="45D5071E" w14:textId="77777777" w:rsidR="006D3FF3" w:rsidRDefault="00116AD5">
      <w:pPr>
        <w:spacing w:line="360" w:lineRule="auto"/>
        <w:jc w:val="both"/>
        <w:rPr>
          <w:rFonts w:ascii="Arial" w:hAnsi="Arial"/>
          <w:rtl/>
        </w:rPr>
      </w:pPr>
      <w:r>
        <w:rPr>
          <w:rFonts w:ascii="Arial" w:hAnsi="Arial" w:hint="cs"/>
          <w:rtl/>
        </w:rPr>
        <w:t xml:space="preserve">בשקלול כל הנתונים הנ"ל אני מעמידה את העונש הכולל בגין שני האישומים על 15 חודשי מאסר בפועל.  </w:t>
      </w:r>
    </w:p>
    <w:p w14:paraId="187EF0A1" w14:textId="77777777" w:rsidR="006D3FF3" w:rsidRDefault="006D3FF3">
      <w:pPr>
        <w:spacing w:line="360" w:lineRule="auto"/>
        <w:jc w:val="both"/>
        <w:rPr>
          <w:rFonts w:ascii="Arial" w:hAnsi="Arial"/>
          <w:rtl/>
        </w:rPr>
      </w:pPr>
    </w:p>
    <w:p w14:paraId="58E20516" w14:textId="77777777" w:rsidR="006D3FF3" w:rsidRDefault="00116AD5">
      <w:pPr>
        <w:spacing w:line="360" w:lineRule="auto"/>
        <w:jc w:val="both"/>
        <w:rPr>
          <w:rFonts w:ascii="Arial" w:hAnsi="Arial"/>
          <w:rtl/>
        </w:rPr>
      </w:pPr>
      <w:r>
        <w:rPr>
          <w:rFonts w:ascii="Arial" w:hAnsi="Arial" w:hint="cs"/>
          <w:rtl/>
        </w:rPr>
        <w:t>כפי שציינתי מקודם, לחובת הנאשם תלוי ועומד עונש מאסר מותנה בן 12 חודשים אשר הוטל עליו ב</w:t>
      </w:r>
      <w:hyperlink r:id="rId23" w:history="1">
        <w:r w:rsidRPr="00116AD5">
          <w:rPr>
            <w:rFonts w:ascii="Arial" w:hAnsi="Arial"/>
            <w:color w:val="0000FF"/>
            <w:u w:val="single"/>
            <w:rtl/>
          </w:rPr>
          <w:t>ת.פ. 17132-04-11</w:t>
        </w:r>
      </w:hyperlink>
      <w:r>
        <w:rPr>
          <w:rFonts w:ascii="Arial" w:hAnsi="Arial" w:hint="cs"/>
          <w:rtl/>
        </w:rPr>
        <w:t xml:space="preserve"> בבית משפט השלום בעכו. </w:t>
      </w:r>
    </w:p>
    <w:p w14:paraId="71EA0A76" w14:textId="77777777" w:rsidR="006D3FF3" w:rsidRDefault="006D3FF3">
      <w:pPr>
        <w:spacing w:line="360" w:lineRule="auto"/>
        <w:jc w:val="both"/>
        <w:rPr>
          <w:rFonts w:ascii="Arial" w:hAnsi="Arial"/>
          <w:rtl/>
        </w:rPr>
      </w:pPr>
    </w:p>
    <w:p w14:paraId="3AA0392B" w14:textId="77777777" w:rsidR="006D3FF3" w:rsidRDefault="00116AD5">
      <w:pPr>
        <w:spacing w:line="360" w:lineRule="auto"/>
        <w:jc w:val="both"/>
        <w:rPr>
          <w:rFonts w:ascii="Arial" w:hAnsi="Arial"/>
          <w:rtl/>
        </w:rPr>
      </w:pPr>
      <w:r>
        <w:rPr>
          <w:rFonts w:ascii="Arial" w:hAnsi="Arial" w:hint="cs"/>
          <w:rtl/>
        </w:rPr>
        <w:t>לטענת המאשימה, יש להפעיל עונש זה ולזקוף אותו במצטבר לכל עונש מאסר שייגזר על הנאשם. לעומת זאת טוענת הסניגורית, כי יש להטיל עונש זה באופן חופף.</w:t>
      </w:r>
    </w:p>
    <w:p w14:paraId="2FBDFA78" w14:textId="77777777" w:rsidR="006D3FF3" w:rsidRDefault="006D3FF3">
      <w:pPr>
        <w:spacing w:line="360" w:lineRule="auto"/>
        <w:jc w:val="both"/>
        <w:rPr>
          <w:rFonts w:ascii="Arial" w:hAnsi="Arial"/>
          <w:rtl/>
        </w:rPr>
      </w:pPr>
    </w:p>
    <w:p w14:paraId="263E8AE3" w14:textId="77777777" w:rsidR="006D3FF3" w:rsidRDefault="00116AD5">
      <w:pPr>
        <w:spacing w:line="360" w:lineRule="auto"/>
        <w:jc w:val="both"/>
        <w:rPr>
          <w:rFonts w:ascii="Arial" w:hAnsi="Arial"/>
          <w:rtl/>
        </w:rPr>
      </w:pPr>
      <w:r>
        <w:rPr>
          <w:rFonts w:ascii="Arial" w:hAnsi="Arial" w:hint="cs"/>
          <w:rtl/>
        </w:rPr>
        <w:t>במקרה דנן לא מצאתי טעמים מיוחדים המצדיקים חריגה מהכלל בדבר ריצוי עונשים באופן מצטבר, ואולם לאור הטעמים לקולה שמניתי לעיל, ראיתי לנכון לחפוף אך מקצת התקופה לעונש הנ"ל.</w:t>
      </w:r>
    </w:p>
    <w:p w14:paraId="4862F045" w14:textId="77777777" w:rsidR="006D3FF3" w:rsidRDefault="006D3FF3">
      <w:pPr>
        <w:spacing w:line="360" w:lineRule="auto"/>
        <w:jc w:val="both"/>
        <w:rPr>
          <w:rFonts w:ascii="Arial" w:hAnsi="Arial"/>
          <w:rtl/>
        </w:rPr>
      </w:pPr>
    </w:p>
    <w:p w14:paraId="16A85DB0" w14:textId="77777777" w:rsidR="006D3FF3" w:rsidRDefault="00116AD5">
      <w:pPr>
        <w:spacing w:line="360" w:lineRule="auto"/>
        <w:jc w:val="both"/>
        <w:rPr>
          <w:rFonts w:ascii="Arial" w:hAnsi="Arial"/>
          <w:rtl/>
        </w:rPr>
      </w:pPr>
      <w:r>
        <w:rPr>
          <w:rFonts w:ascii="Arial" w:hAnsi="Arial" w:hint="cs"/>
          <w:rtl/>
        </w:rPr>
        <w:t xml:space="preserve">אשר לבקשת המאשימה להכריז על הנאשם כסוחר סמים – טענתה של הסנגורית לגבי מועד העלאת הטענה מקובל עלי לחלוטין. לפי </w:t>
      </w:r>
      <w:hyperlink r:id="rId24" w:history="1">
        <w:r w:rsidR="001675ED" w:rsidRPr="001675ED">
          <w:rPr>
            <w:rFonts w:ascii="Arial" w:hAnsi="Arial"/>
            <w:color w:val="0000FF"/>
            <w:u w:val="single"/>
            <w:rtl/>
          </w:rPr>
          <w:t>סעיף 36א(ב)</w:t>
        </w:r>
      </w:hyperlink>
      <w:r>
        <w:rPr>
          <w:rFonts w:ascii="Arial" w:hAnsi="Arial" w:hint="cs"/>
          <w:rtl/>
        </w:rPr>
        <w:t xml:space="preserve"> ל</w:t>
      </w:r>
      <w:hyperlink r:id="rId25" w:history="1">
        <w:r w:rsidRPr="00116AD5">
          <w:rPr>
            <w:rFonts w:ascii="Arial" w:hAnsi="Arial"/>
            <w:color w:val="0000FF"/>
            <w:u w:val="single"/>
            <w:rtl/>
          </w:rPr>
          <w:t>פקודת הסמים המסוכנים</w:t>
        </w:r>
      </w:hyperlink>
      <w:r>
        <w:rPr>
          <w:rFonts w:ascii="Arial" w:hAnsi="Arial" w:hint="cs"/>
          <w:rtl/>
        </w:rPr>
        <w:t>, ההכרזה על נאשם כסוחר סמים צריכה להיעשות במסגרת הכרעת הדין ולפי בקשת התובע, והדבר לא נתבקש ולא נעשה בהכרעת הדין, ולכן אין להעלות את הבקשה בשלב גזר הדין.</w:t>
      </w:r>
    </w:p>
    <w:p w14:paraId="541EDB83" w14:textId="77777777" w:rsidR="006D3FF3" w:rsidRDefault="006D3FF3">
      <w:pPr>
        <w:spacing w:line="360" w:lineRule="auto"/>
        <w:jc w:val="both"/>
        <w:rPr>
          <w:rFonts w:ascii="Arial" w:hAnsi="Arial"/>
          <w:rtl/>
        </w:rPr>
      </w:pPr>
    </w:p>
    <w:p w14:paraId="3ED821BB" w14:textId="77777777" w:rsidR="006D3FF3" w:rsidRDefault="00116AD5">
      <w:pPr>
        <w:spacing w:line="360" w:lineRule="auto"/>
        <w:jc w:val="both"/>
        <w:rPr>
          <w:rFonts w:ascii="Arial" w:hAnsi="Arial"/>
          <w:rtl/>
        </w:rPr>
      </w:pPr>
      <w:r>
        <w:rPr>
          <w:rFonts w:ascii="Arial" w:hAnsi="Arial" w:hint="cs"/>
          <w:rtl/>
        </w:rPr>
        <w:t xml:space="preserve">לסיום, לא נותר לי אלא להתעכב על בקשת המאשימה לחלט את הרכב ששימש את הנאשם לביצוע העבירה. </w:t>
      </w:r>
    </w:p>
    <w:p w14:paraId="0492E76B" w14:textId="77777777" w:rsidR="006D3FF3" w:rsidRDefault="006D3FF3">
      <w:pPr>
        <w:spacing w:line="360" w:lineRule="auto"/>
        <w:jc w:val="both"/>
        <w:rPr>
          <w:rFonts w:ascii="Arial" w:hAnsi="Arial"/>
          <w:rtl/>
        </w:rPr>
      </w:pPr>
    </w:p>
    <w:p w14:paraId="12C4973E" w14:textId="77777777" w:rsidR="006D3FF3" w:rsidRDefault="00116AD5">
      <w:pPr>
        <w:spacing w:line="360" w:lineRule="auto"/>
        <w:jc w:val="both"/>
        <w:rPr>
          <w:rFonts w:ascii="Arial" w:hAnsi="Arial"/>
          <w:rtl/>
        </w:rPr>
      </w:pPr>
      <w:r>
        <w:rPr>
          <w:rFonts w:ascii="Arial" w:hAnsi="Arial" w:hint="cs"/>
          <w:rtl/>
        </w:rPr>
        <w:t xml:space="preserve">לאחר ששקלתי טענות הצדדים בנדון, נחה דעתי לדחות את הבקשה. מדובר ברכב שאינו רשום על שם הנאשם ואשר שימש אותו רק לביצוע אחת העבירות. ויודגש, העובדה כי הנאשם השתמש ברכב שכור כדי לבצע את העבירה נשוא האישום השני רק כעבור יומיים מביצוע העבירה נשוא האישום הראשון, מחזקת את המסקנה, כי לא זו בלבד שהבעלות ברכב אינה רשומה על שם הנאשם אלא שבפועל הרכב אינו שייך לו, שאם נאמר אחרת, יש להניח כי היה משתמש בו גם לביצוע העבירה השניה. </w:t>
      </w:r>
    </w:p>
    <w:p w14:paraId="1AEACED0" w14:textId="77777777" w:rsidR="006D3FF3" w:rsidRDefault="006D3FF3">
      <w:pPr>
        <w:spacing w:line="360" w:lineRule="auto"/>
        <w:jc w:val="both"/>
        <w:rPr>
          <w:rFonts w:ascii="Arial" w:hAnsi="Arial"/>
          <w:rtl/>
        </w:rPr>
      </w:pPr>
    </w:p>
    <w:p w14:paraId="3D0CB843" w14:textId="77777777" w:rsidR="006D3FF3" w:rsidRDefault="00116AD5">
      <w:pPr>
        <w:spacing w:line="360" w:lineRule="auto"/>
        <w:jc w:val="both"/>
        <w:rPr>
          <w:rFonts w:ascii="Arial" w:hAnsi="Arial"/>
          <w:rtl/>
        </w:rPr>
      </w:pPr>
      <w:r>
        <w:rPr>
          <w:rFonts w:ascii="Arial" w:hAnsi="Arial" w:hint="cs"/>
          <w:rtl/>
        </w:rPr>
        <w:t>על יסוד כל האמור לעיל, אני גוזרת על הנאשם את העונשים הבאים:</w:t>
      </w:r>
    </w:p>
    <w:p w14:paraId="2C05ACBF" w14:textId="77777777" w:rsidR="006D3FF3" w:rsidRDefault="00116AD5">
      <w:pPr>
        <w:ind w:left="720" w:hanging="720"/>
        <w:jc w:val="both"/>
        <w:rPr>
          <w:rFonts w:ascii="Arial" w:hAnsi="Arial"/>
          <w:rtl/>
        </w:rPr>
      </w:pPr>
      <w:r>
        <w:rPr>
          <w:rFonts w:ascii="Arial" w:hAnsi="Arial" w:hint="cs"/>
          <w:rtl/>
        </w:rPr>
        <w:t>1.</w:t>
      </w:r>
      <w:r>
        <w:rPr>
          <w:rFonts w:ascii="Arial" w:hAnsi="Arial" w:hint="cs"/>
          <w:rtl/>
        </w:rPr>
        <w:tab/>
        <w:t>מאסר בפועל של 15 חודשים החל מיום מעצרו בתאריך  17.7.13.</w:t>
      </w:r>
    </w:p>
    <w:p w14:paraId="70C0DD05" w14:textId="77777777" w:rsidR="006D3FF3" w:rsidRDefault="006D3FF3">
      <w:pPr>
        <w:ind w:left="720" w:hanging="720"/>
        <w:jc w:val="both"/>
        <w:rPr>
          <w:rFonts w:ascii="Arial" w:hAnsi="Arial"/>
          <w:rtl/>
        </w:rPr>
      </w:pPr>
    </w:p>
    <w:p w14:paraId="31EC0D84" w14:textId="77777777" w:rsidR="006D3FF3" w:rsidRDefault="00116AD5">
      <w:pPr>
        <w:ind w:left="720" w:hanging="720"/>
        <w:jc w:val="both"/>
        <w:rPr>
          <w:rFonts w:ascii="Arial" w:hAnsi="Arial"/>
          <w:rtl/>
        </w:rPr>
      </w:pPr>
      <w:r>
        <w:rPr>
          <w:rFonts w:ascii="Arial" w:hAnsi="Arial" w:hint="cs"/>
          <w:rtl/>
        </w:rPr>
        <w:t>2.</w:t>
      </w:r>
      <w:r>
        <w:rPr>
          <w:rFonts w:ascii="Arial" w:hAnsi="Arial" w:hint="cs"/>
          <w:rtl/>
        </w:rPr>
        <w:tab/>
        <w:t xml:space="preserve">אני מורה על הפעלת המאסר המותנה בן 12 חודשים אשר הוטל על הנאשם בתיק </w:t>
      </w:r>
      <w:r>
        <w:rPr>
          <w:rFonts w:ascii="Arial" w:hAnsi="Arial" w:hint="cs"/>
          <w:rtl/>
        </w:rPr>
        <w:br/>
        <w:t>17132-04-11 בבית משפט השלום בעכו, וזאת כדלקמן: 3 חודשים באופן חופף למאסר אשר הוטל בסעיף 1 לעיל ו- 9 חודשים באופן במצטבר.</w:t>
      </w:r>
    </w:p>
    <w:p w14:paraId="47CF4ECE" w14:textId="77777777" w:rsidR="006D3FF3" w:rsidRDefault="006D3FF3">
      <w:pPr>
        <w:ind w:left="720" w:hanging="720"/>
        <w:jc w:val="both"/>
        <w:rPr>
          <w:rFonts w:ascii="Arial" w:hAnsi="Arial"/>
          <w:rtl/>
        </w:rPr>
      </w:pPr>
    </w:p>
    <w:p w14:paraId="770F041B" w14:textId="77777777" w:rsidR="006D3FF3" w:rsidRDefault="00116AD5">
      <w:pPr>
        <w:ind w:left="720" w:hanging="720"/>
        <w:jc w:val="both"/>
        <w:rPr>
          <w:rFonts w:ascii="Arial" w:hAnsi="Arial"/>
          <w:rtl/>
        </w:rPr>
      </w:pPr>
      <w:r>
        <w:rPr>
          <w:rFonts w:ascii="Arial" w:hAnsi="Arial" w:hint="cs"/>
          <w:rtl/>
        </w:rPr>
        <w:tab/>
        <w:t>תקופת המאסר הכוללת שעל הנאשם לרצות לפי סעיפים 1 ו-2 לעיל היא 24 חודשים החל מיום מעצרו בתאריך 17.7.13.</w:t>
      </w:r>
    </w:p>
    <w:p w14:paraId="161D86C2" w14:textId="77777777" w:rsidR="006D3FF3" w:rsidRDefault="006D3FF3">
      <w:pPr>
        <w:ind w:left="720" w:hanging="720"/>
        <w:jc w:val="both"/>
        <w:rPr>
          <w:rFonts w:ascii="Arial" w:hAnsi="Arial"/>
          <w:rtl/>
        </w:rPr>
      </w:pPr>
    </w:p>
    <w:p w14:paraId="05C77933" w14:textId="77777777" w:rsidR="006D3FF3" w:rsidRDefault="00116AD5">
      <w:pPr>
        <w:ind w:left="720" w:hanging="720"/>
        <w:jc w:val="both"/>
        <w:rPr>
          <w:rFonts w:ascii="Arial" w:hAnsi="Arial"/>
          <w:rtl/>
        </w:rPr>
      </w:pPr>
      <w:r>
        <w:rPr>
          <w:rFonts w:ascii="Arial" w:hAnsi="Arial" w:hint="cs"/>
          <w:rtl/>
        </w:rPr>
        <w:t>3.</w:t>
      </w:r>
      <w:r>
        <w:rPr>
          <w:rFonts w:ascii="Arial" w:hAnsi="Arial" w:hint="cs"/>
          <w:rtl/>
        </w:rPr>
        <w:tab/>
        <w:t xml:space="preserve">מאסר על תנאי של 12 חודשים למשך 3 שנים, והתנאי הוא כי הנאשם לא יבצע עבירה לפי </w:t>
      </w:r>
      <w:hyperlink r:id="rId26" w:history="1">
        <w:r w:rsidRPr="00116AD5">
          <w:rPr>
            <w:rFonts w:ascii="Arial" w:hAnsi="Arial"/>
            <w:color w:val="0000FF"/>
            <w:u w:val="single"/>
            <w:rtl/>
          </w:rPr>
          <w:t>פקודת הסמים המסוכנים</w:t>
        </w:r>
      </w:hyperlink>
      <w:r>
        <w:rPr>
          <w:rFonts w:ascii="Arial" w:hAnsi="Arial" w:hint="cs"/>
          <w:rtl/>
        </w:rPr>
        <w:t xml:space="preserve"> מסוג פשע, ויורשע בגינה. </w:t>
      </w:r>
    </w:p>
    <w:p w14:paraId="50816042" w14:textId="77777777" w:rsidR="006D3FF3" w:rsidRDefault="006D3FF3">
      <w:pPr>
        <w:ind w:left="720" w:hanging="720"/>
        <w:jc w:val="both"/>
        <w:rPr>
          <w:rFonts w:ascii="Arial" w:hAnsi="Arial"/>
          <w:rtl/>
        </w:rPr>
      </w:pPr>
    </w:p>
    <w:p w14:paraId="0E56AFCD" w14:textId="77777777" w:rsidR="006D3FF3" w:rsidRDefault="00116AD5">
      <w:pPr>
        <w:ind w:left="720" w:hanging="720"/>
        <w:jc w:val="both"/>
        <w:rPr>
          <w:rFonts w:ascii="Arial" w:hAnsi="Arial"/>
          <w:rtl/>
        </w:rPr>
      </w:pPr>
      <w:r>
        <w:rPr>
          <w:rFonts w:ascii="Arial" w:hAnsi="Arial" w:hint="cs"/>
          <w:rtl/>
        </w:rPr>
        <w:t>4.</w:t>
      </w:r>
      <w:r>
        <w:rPr>
          <w:rFonts w:ascii="Arial" w:hAnsi="Arial" w:hint="cs"/>
          <w:rtl/>
        </w:rPr>
        <w:tab/>
        <w:t xml:space="preserve">קנס בסך של 6,000 ₪ או 60 ימי מאסר תמורתו. </w:t>
      </w:r>
    </w:p>
    <w:p w14:paraId="2EA30D90" w14:textId="77777777" w:rsidR="006D3FF3" w:rsidRDefault="00116AD5">
      <w:pPr>
        <w:ind w:left="720" w:hanging="720"/>
        <w:jc w:val="both"/>
        <w:rPr>
          <w:rFonts w:ascii="Arial" w:hAnsi="Arial"/>
          <w:rtl/>
        </w:rPr>
      </w:pPr>
      <w:r>
        <w:rPr>
          <w:rFonts w:ascii="Arial" w:hAnsi="Arial" w:hint="cs"/>
          <w:rtl/>
        </w:rPr>
        <w:tab/>
        <w:t xml:space="preserve">הקנס ישולם ב- 6 תשלומים שווים ורצופים בסך של 1,000 ₪ כל תשלום, החל מיום 1.9.15 ובכל ראשון לחודש עוקב ועד לסיום כל התשלומים. </w:t>
      </w:r>
    </w:p>
    <w:p w14:paraId="404C08BB" w14:textId="77777777" w:rsidR="006D3FF3" w:rsidRDefault="00116AD5">
      <w:pPr>
        <w:ind w:left="720" w:hanging="720"/>
        <w:jc w:val="both"/>
        <w:rPr>
          <w:rFonts w:ascii="Arial" w:hAnsi="Arial"/>
          <w:rtl/>
        </w:rPr>
      </w:pPr>
      <w:r>
        <w:rPr>
          <w:rFonts w:ascii="Arial" w:hAnsi="Arial" w:hint="cs"/>
          <w:rtl/>
        </w:rPr>
        <w:tab/>
        <w:t xml:space="preserve">אי עמידה באחד התשלומים תעמיד את יתרת הקנס לפירעון מידי. </w:t>
      </w:r>
    </w:p>
    <w:p w14:paraId="3FF7C959" w14:textId="77777777" w:rsidR="006D3FF3" w:rsidRDefault="006D3FF3">
      <w:pPr>
        <w:ind w:left="720" w:hanging="720"/>
        <w:jc w:val="both"/>
        <w:rPr>
          <w:rFonts w:ascii="Arial" w:hAnsi="Arial"/>
          <w:rtl/>
        </w:rPr>
      </w:pPr>
    </w:p>
    <w:p w14:paraId="1FF425E3" w14:textId="77777777" w:rsidR="006D3FF3" w:rsidRDefault="00116AD5">
      <w:pPr>
        <w:ind w:left="720" w:hanging="720"/>
        <w:jc w:val="both"/>
        <w:rPr>
          <w:rFonts w:ascii="Arial" w:hAnsi="Arial"/>
          <w:rtl/>
        </w:rPr>
      </w:pPr>
      <w:r>
        <w:rPr>
          <w:rFonts w:ascii="Arial" w:hAnsi="Arial" w:hint="cs"/>
          <w:rtl/>
        </w:rPr>
        <w:t xml:space="preserve">אני מורה על השמדת הסמים. </w:t>
      </w:r>
    </w:p>
    <w:p w14:paraId="745E4509" w14:textId="77777777" w:rsidR="006D3FF3" w:rsidRDefault="006D3FF3">
      <w:pPr>
        <w:ind w:left="720" w:hanging="720"/>
        <w:jc w:val="both"/>
        <w:rPr>
          <w:rFonts w:ascii="Arial" w:hAnsi="Arial"/>
          <w:rtl/>
        </w:rPr>
      </w:pPr>
    </w:p>
    <w:p w14:paraId="5F8B66B9" w14:textId="77777777" w:rsidR="006D3FF3" w:rsidRDefault="00116AD5">
      <w:pPr>
        <w:ind w:left="720" w:hanging="720"/>
        <w:jc w:val="both"/>
        <w:rPr>
          <w:rFonts w:ascii="Arial" w:hAnsi="Arial"/>
          <w:rtl/>
        </w:rPr>
      </w:pPr>
      <w:r>
        <w:rPr>
          <w:rFonts w:ascii="Arial" w:hAnsi="Arial" w:hint="cs"/>
          <w:rtl/>
        </w:rPr>
        <w:t xml:space="preserve">זכות ערעור תוך 45 ימים מהיום. </w:t>
      </w:r>
    </w:p>
    <w:p w14:paraId="01F0BC2D" w14:textId="77777777" w:rsidR="006D3FF3" w:rsidRDefault="00116AD5">
      <w:pPr>
        <w:ind w:left="720" w:hanging="720"/>
        <w:jc w:val="both"/>
        <w:rPr>
          <w:rFonts w:ascii="Arial" w:hAnsi="Arial"/>
          <w:sz w:val="6"/>
          <w:szCs w:val="6"/>
          <w:rtl/>
        </w:rPr>
      </w:pPr>
      <w:r>
        <w:rPr>
          <w:rFonts w:ascii="Arial" w:hAnsi="Arial"/>
          <w:sz w:val="6"/>
          <w:szCs w:val="6"/>
          <w:rtl/>
        </w:rPr>
        <w:t>&lt;#5#&gt;</w:t>
      </w:r>
    </w:p>
    <w:p w14:paraId="0B6FAC38" w14:textId="77777777" w:rsidR="006D3FF3" w:rsidRDefault="006D3FF3">
      <w:pPr>
        <w:jc w:val="right"/>
        <w:rPr>
          <w:rtl/>
        </w:rPr>
      </w:pPr>
    </w:p>
    <w:p w14:paraId="562E97B8" w14:textId="77777777" w:rsidR="006D3FF3" w:rsidRDefault="00116AD5">
      <w:pPr>
        <w:rPr>
          <w:rtl/>
        </w:rPr>
      </w:pPr>
      <w:r>
        <w:rPr>
          <w:rFonts w:hint="cs"/>
          <w:b/>
          <w:bCs/>
          <w:rtl/>
        </w:rPr>
        <w:t xml:space="preserve">ניתנה והודעה היום </w:t>
      </w:r>
      <w:r>
        <w:rPr>
          <w:rFonts w:hint="cs"/>
          <w:rtl/>
        </w:rPr>
        <w:t>כ"ד אדר תשע"ד</w:t>
      </w:r>
      <w:r>
        <w:rPr>
          <w:rFonts w:hint="cs"/>
          <w:b/>
          <w:bCs/>
          <w:rtl/>
        </w:rPr>
        <w:t xml:space="preserve">, </w:t>
      </w:r>
      <w:r>
        <w:rPr>
          <w:rFonts w:hint="cs"/>
          <w:rtl/>
        </w:rPr>
        <w:t>24/02/2014</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D3FF3" w14:paraId="72CF947D" w14:textId="77777777">
        <w:trPr>
          <w:trHeight w:val="364"/>
          <w:jc w:val="right"/>
        </w:trPr>
        <w:tc>
          <w:tcPr>
            <w:tcW w:w="3708" w:type="dxa"/>
          </w:tcPr>
          <w:p w14:paraId="547F413B" w14:textId="77777777" w:rsidR="006D3FF3" w:rsidRDefault="006D3FF3">
            <w:pPr>
              <w:jc w:val="center"/>
              <w:rPr>
                <w:rFonts w:ascii="Times New Roman" w:eastAsia="Times New Roman" w:hAnsi="Times New Roman" w:cs="Times New Roman"/>
              </w:rPr>
            </w:pPr>
          </w:p>
          <w:p w14:paraId="30F6455B" w14:textId="77777777" w:rsidR="006D3FF3" w:rsidRDefault="006D3FF3">
            <w:pPr>
              <w:jc w:val="center"/>
              <w:rPr>
                <w:rFonts w:ascii="Times New Roman" w:eastAsia="Times New Roman" w:hAnsi="Times New Roman" w:cs="Times New Roman"/>
                <w:rtl/>
              </w:rPr>
            </w:pPr>
          </w:p>
        </w:tc>
      </w:tr>
      <w:tr w:rsidR="006D3FF3" w14:paraId="7B5C2AFC" w14:textId="77777777">
        <w:trPr>
          <w:trHeight w:val="415"/>
          <w:jc w:val="right"/>
        </w:trPr>
        <w:tc>
          <w:tcPr>
            <w:tcW w:w="3708" w:type="dxa"/>
          </w:tcPr>
          <w:p w14:paraId="208076D9" w14:textId="77777777" w:rsidR="006D3FF3" w:rsidRDefault="00116AD5">
            <w:pPr>
              <w:jc w:val="center"/>
              <w:rPr>
                <w:rFonts w:ascii="Times New Roman" w:eastAsia="Times New Roman" w:hAnsi="Times New Roman"/>
                <w:b/>
                <w:bCs/>
                <w:rtl/>
              </w:rPr>
            </w:pPr>
            <w:r>
              <w:rPr>
                <w:rFonts w:ascii="Times New Roman" w:eastAsia="Times New Roman" w:hAnsi="Times New Roman" w:hint="cs"/>
                <w:rtl/>
              </w:rPr>
              <w:t>ג'ני</w:t>
            </w:r>
            <w:r>
              <w:rPr>
                <w:rFonts w:ascii="Times New Roman" w:eastAsia="Times New Roman" w:hAnsi="Times New Roman" w:hint="cs"/>
                <w:b/>
                <w:bCs/>
                <w:rtl/>
              </w:rPr>
              <w:t xml:space="preserve"> </w:t>
            </w:r>
            <w:r>
              <w:rPr>
                <w:rFonts w:ascii="Times New Roman" w:eastAsia="Times New Roman" w:hAnsi="Times New Roman" w:hint="cs"/>
                <w:rtl/>
              </w:rPr>
              <w:t>טנוס</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19EA02AE" w14:textId="77777777" w:rsidR="006D3FF3" w:rsidRDefault="006D3FF3">
      <w:pPr>
        <w:jc w:val="right"/>
        <w:rPr>
          <w:rtl/>
        </w:rPr>
      </w:pPr>
    </w:p>
    <w:p w14:paraId="41758DE0" w14:textId="77777777" w:rsidR="006D3FF3" w:rsidRDefault="00116AD5">
      <w:pPr>
        <w:spacing w:line="360" w:lineRule="auto"/>
        <w:rPr>
          <w:b/>
          <w:bCs/>
          <w:rtl/>
        </w:rPr>
      </w:pPr>
      <w:r>
        <w:rPr>
          <w:rFonts w:hint="cs"/>
          <w:b/>
          <w:bCs/>
          <w:rtl/>
        </w:rPr>
        <w:t>ב"כ המאשימה:</w:t>
      </w:r>
    </w:p>
    <w:p w14:paraId="55D09AD9" w14:textId="77777777" w:rsidR="006D3FF3" w:rsidRDefault="00116AD5">
      <w:pPr>
        <w:spacing w:line="360" w:lineRule="auto"/>
        <w:rPr>
          <w:rtl/>
        </w:rPr>
      </w:pPr>
      <w:r>
        <w:rPr>
          <w:rFonts w:hint="cs"/>
          <w:rtl/>
        </w:rPr>
        <w:t>אבקש עיכוב ביצוע לעניין חילוט הרכב.</w:t>
      </w:r>
    </w:p>
    <w:p w14:paraId="3ED153D2" w14:textId="77777777" w:rsidR="006D3FF3" w:rsidRDefault="006D3FF3">
      <w:pPr>
        <w:spacing w:line="360" w:lineRule="auto"/>
        <w:rPr>
          <w:rtl/>
        </w:rPr>
      </w:pPr>
    </w:p>
    <w:p w14:paraId="7F8962B9" w14:textId="77777777" w:rsidR="006D3FF3" w:rsidRDefault="006D3FF3">
      <w:pPr>
        <w:spacing w:line="360" w:lineRule="auto"/>
        <w:rPr>
          <w:b/>
          <w:bCs/>
          <w:rtl/>
        </w:rPr>
      </w:pPr>
    </w:p>
    <w:p w14:paraId="549D3F54" w14:textId="77777777" w:rsidR="006D3FF3" w:rsidRDefault="00116AD5">
      <w:pPr>
        <w:spacing w:line="360" w:lineRule="auto"/>
        <w:rPr>
          <w:b/>
          <w:bCs/>
          <w:rtl/>
        </w:rPr>
      </w:pPr>
      <w:r>
        <w:rPr>
          <w:rFonts w:hint="cs"/>
          <w:b/>
          <w:bCs/>
          <w:rtl/>
        </w:rPr>
        <w:t>הסניגורית:</w:t>
      </w:r>
    </w:p>
    <w:p w14:paraId="2F93578D" w14:textId="77777777" w:rsidR="006D3FF3" w:rsidRDefault="00116AD5">
      <w:pPr>
        <w:spacing w:line="360" w:lineRule="auto"/>
        <w:rPr>
          <w:rtl/>
        </w:rPr>
      </w:pPr>
      <w:r>
        <w:rPr>
          <w:rFonts w:hint="cs"/>
          <w:rtl/>
        </w:rPr>
        <w:t xml:space="preserve">אבקש כי המאשימה תודיע את עמדתה תוך 7 ימים מהיום. </w:t>
      </w:r>
    </w:p>
    <w:p w14:paraId="4292947D" w14:textId="77777777" w:rsidR="006D3FF3" w:rsidRDefault="006D3FF3">
      <w:pPr>
        <w:spacing w:line="360" w:lineRule="auto"/>
        <w:rPr>
          <w:rtl/>
        </w:rPr>
      </w:pPr>
      <w:bookmarkStart w:id="7" w:name="_GoBack"/>
      <w:bookmarkEnd w:id="7"/>
    </w:p>
    <w:p w14:paraId="0C575834" w14:textId="77777777" w:rsidR="006D3FF3" w:rsidRDefault="00116AD5">
      <w:pPr>
        <w:spacing w:line="360" w:lineRule="auto"/>
        <w:rPr>
          <w:sz w:val="6"/>
          <w:szCs w:val="6"/>
          <w:rtl/>
        </w:rPr>
      </w:pPr>
      <w:r>
        <w:rPr>
          <w:sz w:val="6"/>
          <w:szCs w:val="6"/>
          <w:rtl/>
        </w:rPr>
        <w:t>&lt;#6#&gt;</w:t>
      </w:r>
    </w:p>
    <w:p w14:paraId="0DDF7FBC" w14:textId="77777777" w:rsidR="006D3FF3" w:rsidRDefault="00116AD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23415A7" w14:textId="77777777" w:rsidR="006D3FF3" w:rsidRDefault="006D3FF3">
      <w:pPr>
        <w:spacing w:line="360" w:lineRule="auto"/>
        <w:jc w:val="both"/>
        <w:rPr>
          <w:rtl/>
        </w:rPr>
      </w:pPr>
    </w:p>
    <w:p w14:paraId="332F9703" w14:textId="77777777" w:rsidR="006D3FF3" w:rsidRDefault="00116AD5">
      <w:pPr>
        <w:spacing w:line="360" w:lineRule="auto"/>
        <w:rPr>
          <w:rtl/>
        </w:rPr>
      </w:pPr>
      <w:r>
        <w:rPr>
          <w:rFonts w:hint="cs"/>
          <w:rtl/>
        </w:rPr>
        <w:t xml:space="preserve">אני מעכבת ביצוע החלטתי הנ"ל ביחס לאי חילוט הרכב אשר איננו תפוס ע"י המאשימה אלא שוחרר בתנאים וערבויות למשך כל התקופה שבה זכאית המאשימה להגיש ערעור על גזה"ד. </w:t>
      </w:r>
    </w:p>
    <w:p w14:paraId="43C124C8" w14:textId="77777777" w:rsidR="006D3FF3" w:rsidRDefault="006D3FF3">
      <w:pPr>
        <w:spacing w:line="360" w:lineRule="auto"/>
        <w:rPr>
          <w:rtl/>
        </w:rPr>
      </w:pPr>
    </w:p>
    <w:p w14:paraId="63ACEC90" w14:textId="77777777" w:rsidR="006D3FF3" w:rsidRDefault="00116AD5">
      <w:pPr>
        <w:spacing w:line="360" w:lineRule="auto"/>
        <w:rPr>
          <w:rtl/>
        </w:rPr>
      </w:pPr>
      <w:r>
        <w:rPr>
          <w:rFonts w:hint="cs"/>
          <w:rtl/>
        </w:rPr>
        <w:t xml:space="preserve">למען הסר ספק, התנאים המגבילים והערבויות ימשיכו לעמוד על כנם בכל התקופה הנ"ל. </w:t>
      </w:r>
    </w:p>
    <w:p w14:paraId="7BFC3D54" w14:textId="77777777" w:rsidR="006D3FF3" w:rsidRDefault="00116AD5">
      <w:pPr>
        <w:spacing w:line="360" w:lineRule="auto"/>
        <w:rPr>
          <w:sz w:val="6"/>
          <w:szCs w:val="6"/>
          <w:rtl/>
        </w:rPr>
      </w:pPr>
      <w:r>
        <w:rPr>
          <w:sz w:val="6"/>
          <w:szCs w:val="6"/>
          <w:rtl/>
        </w:rPr>
        <w:t>&lt;#7#&gt;</w:t>
      </w:r>
    </w:p>
    <w:p w14:paraId="16C9CABC" w14:textId="77777777" w:rsidR="006D3FF3" w:rsidRDefault="006D3FF3">
      <w:pPr>
        <w:jc w:val="right"/>
        <w:rPr>
          <w:rtl/>
        </w:rPr>
      </w:pPr>
    </w:p>
    <w:p w14:paraId="567354A7" w14:textId="77777777" w:rsidR="006D3FF3" w:rsidRDefault="00116AD5">
      <w:pPr>
        <w:jc w:val="center"/>
        <w:rPr>
          <w:rtl/>
        </w:rPr>
      </w:pPr>
      <w:r w:rsidRPr="00116AD5">
        <w:rPr>
          <w:b/>
          <w:bCs/>
          <w:color w:val="FFFFFF"/>
          <w:sz w:val="2"/>
          <w:szCs w:val="2"/>
          <w:rtl/>
        </w:rPr>
        <w:t>5129371</w:t>
      </w:r>
      <w:r>
        <w:rPr>
          <w:b/>
          <w:bCs/>
          <w:rtl/>
        </w:rPr>
        <w:t xml:space="preserve">ניתנה והודעה היום כ"ד אדר תשע"ד, 24/02/2014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D3FF3" w14:paraId="4F212790" w14:textId="77777777">
        <w:trPr>
          <w:trHeight w:val="364"/>
          <w:jc w:val="right"/>
        </w:trPr>
        <w:tc>
          <w:tcPr>
            <w:tcW w:w="3708" w:type="dxa"/>
          </w:tcPr>
          <w:p w14:paraId="21837A03" w14:textId="77777777" w:rsidR="006D3FF3" w:rsidRPr="00116AD5" w:rsidRDefault="00116AD5">
            <w:pPr>
              <w:jc w:val="center"/>
              <w:rPr>
                <w:rFonts w:ascii="Times New Roman" w:eastAsia="Times New Roman" w:hAnsi="Times New Roman" w:cs="Times New Roman"/>
                <w:color w:val="FFFFFF"/>
                <w:sz w:val="2"/>
                <w:szCs w:val="2"/>
              </w:rPr>
            </w:pPr>
            <w:r w:rsidRPr="00116AD5">
              <w:rPr>
                <w:rFonts w:ascii="Times New Roman" w:eastAsia="Times New Roman" w:hAnsi="Times New Roman" w:cs="Times New Roman"/>
                <w:color w:val="FFFFFF"/>
                <w:sz w:val="2"/>
                <w:szCs w:val="2"/>
                <w:rtl/>
              </w:rPr>
              <w:t>54678313</w:t>
            </w:r>
          </w:p>
          <w:p w14:paraId="4BEC9BC8" w14:textId="77777777" w:rsidR="006D3FF3" w:rsidRDefault="006D3FF3">
            <w:pPr>
              <w:jc w:val="center"/>
              <w:rPr>
                <w:rFonts w:ascii="Times New Roman" w:eastAsia="Times New Roman" w:hAnsi="Times New Roman" w:cs="Times New Roman"/>
                <w:rtl/>
              </w:rPr>
            </w:pPr>
          </w:p>
        </w:tc>
      </w:tr>
      <w:tr w:rsidR="006D3FF3" w14:paraId="499B1DBB" w14:textId="77777777">
        <w:trPr>
          <w:trHeight w:val="415"/>
          <w:jc w:val="right"/>
        </w:trPr>
        <w:tc>
          <w:tcPr>
            <w:tcW w:w="3708" w:type="dxa"/>
          </w:tcPr>
          <w:p w14:paraId="45F7AC55" w14:textId="77777777" w:rsidR="006D3FF3" w:rsidRDefault="00116AD5">
            <w:pPr>
              <w:jc w:val="center"/>
              <w:rPr>
                <w:rFonts w:ascii="Times New Roman" w:eastAsia="Times New Roman" w:hAnsi="Times New Roman"/>
                <w:b/>
                <w:bCs/>
                <w:rtl/>
              </w:rPr>
            </w:pPr>
            <w:r>
              <w:rPr>
                <w:rFonts w:ascii="Times New Roman" w:eastAsia="Times New Roman" w:hAnsi="Times New Roman" w:hint="cs"/>
                <w:rtl/>
              </w:rPr>
              <w:t>ג'ני</w:t>
            </w:r>
            <w:r>
              <w:rPr>
                <w:rFonts w:ascii="Times New Roman" w:eastAsia="Times New Roman" w:hAnsi="Times New Roman" w:hint="cs"/>
                <w:b/>
                <w:bCs/>
                <w:rtl/>
              </w:rPr>
              <w:t xml:space="preserve"> </w:t>
            </w:r>
            <w:r>
              <w:rPr>
                <w:rFonts w:ascii="Times New Roman" w:eastAsia="Times New Roman" w:hAnsi="Times New Roman" w:hint="cs"/>
                <w:rtl/>
              </w:rPr>
              <w:t>טנוס</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5ED07B81" w14:textId="77777777" w:rsidR="006D3FF3" w:rsidRDefault="006D3FF3">
      <w:pPr>
        <w:jc w:val="right"/>
        <w:rPr>
          <w:rtl/>
        </w:rPr>
      </w:pPr>
    </w:p>
    <w:p w14:paraId="7F1EE544" w14:textId="77777777" w:rsidR="006D3FF3" w:rsidRDefault="006D3FF3">
      <w:pPr>
        <w:jc w:val="center"/>
        <w:rPr>
          <w:rtl/>
        </w:rPr>
      </w:pPr>
    </w:p>
    <w:p w14:paraId="5F4E6700" w14:textId="77777777" w:rsidR="006D3FF3" w:rsidRDefault="006D3FF3">
      <w:pPr>
        <w:spacing w:line="360" w:lineRule="auto"/>
        <w:jc w:val="center"/>
        <w:rPr>
          <w:rtl/>
        </w:rPr>
      </w:pPr>
    </w:p>
    <w:p w14:paraId="5DD24A3B" w14:textId="77777777" w:rsidR="006D3FF3" w:rsidRDefault="006D3FF3">
      <w:pPr>
        <w:spacing w:line="360" w:lineRule="auto"/>
        <w:jc w:val="both"/>
        <w:rPr>
          <w:rtl/>
        </w:rPr>
      </w:pPr>
    </w:p>
    <w:p w14:paraId="6776B477" w14:textId="77777777" w:rsidR="00116AD5" w:rsidRPr="00116AD5" w:rsidRDefault="00116AD5" w:rsidP="00116AD5">
      <w:pPr>
        <w:keepNext/>
        <w:rPr>
          <w:color w:val="000000"/>
          <w:sz w:val="22"/>
          <w:szCs w:val="22"/>
          <w:rtl/>
        </w:rPr>
      </w:pPr>
    </w:p>
    <w:p w14:paraId="4FF61CCF" w14:textId="77777777" w:rsidR="00116AD5" w:rsidRPr="00116AD5" w:rsidRDefault="00116AD5" w:rsidP="00116AD5">
      <w:pPr>
        <w:keepNext/>
        <w:rPr>
          <w:color w:val="000000"/>
          <w:sz w:val="22"/>
          <w:szCs w:val="22"/>
          <w:rtl/>
        </w:rPr>
      </w:pPr>
      <w:r w:rsidRPr="00116AD5">
        <w:rPr>
          <w:color w:val="000000"/>
          <w:sz w:val="22"/>
          <w:szCs w:val="22"/>
          <w:rtl/>
        </w:rPr>
        <w:t>ג'ני טנוס 54678313</w:t>
      </w:r>
    </w:p>
    <w:p w14:paraId="2FBC1A66" w14:textId="77777777" w:rsidR="00116AD5" w:rsidRDefault="00116AD5" w:rsidP="00116AD5">
      <w:r w:rsidRPr="00116AD5">
        <w:rPr>
          <w:color w:val="000000"/>
          <w:rtl/>
        </w:rPr>
        <w:t>נוסח מסמך זה כפוף לשינויי ניסוח ועריכה</w:t>
      </w:r>
    </w:p>
    <w:p w14:paraId="5E4D95CB" w14:textId="77777777" w:rsidR="00116AD5" w:rsidRDefault="00116AD5" w:rsidP="00116AD5">
      <w:pPr>
        <w:rPr>
          <w:rtl/>
        </w:rPr>
      </w:pPr>
    </w:p>
    <w:p w14:paraId="6178654F" w14:textId="77777777" w:rsidR="00116AD5" w:rsidRDefault="00116AD5" w:rsidP="00116AD5">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62D37C5C" w14:textId="77777777" w:rsidR="006D3FF3" w:rsidRPr="00116AD5" w:rsidRDefault="006D3FF3" w:rsidP="00116AD5">
      <w:pPr>
        <w:jc w:val="center"/>
        <w:rPr>
          <w:color w:val="0000FF"/>
          <w:u w:val="single"/>
        </w:rPr>
      </w:pPr>
    </w:p>
    <w:sectPr w:rsidR="006D3FF3" w:rsidRPr="00116AD5" w:rsidSect="00116AD5">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E6604" w14:textId="77777777" w:rsidR="00940230" w:rsidRPr="00B71666" w:rsidRDefault="00940230">
      <w:pPr>
        <w:rPr>
          <w:rFonts w:cs="Arial"/>
          <w:szCs w:val="20"/>
        </w:rPr>
      </w:pPr>
      <w:r>
        <w:separator/>
      </w:r>
    </w:p>
  </w:endnote>
  <w:endnote w:type="continuationSeparator" w:id="0">
    <w:p w14:paraId="202AE7D7" w14:textId="77777777" w:rsidR="00940230" w:rsidRPr="00B71666" w:rsidRDefault="0094023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216C1" w14:textId="77777777" w:rsidR="00116AD5" w:rsidRDefault="00116AD5" w:rsidP="00116AD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w:t>
    </w:r>
    <w:r>
      <w:rPr>
        <w:rFonts w:ascii="FrankRuehl" w:hAnsi="FrankRuehl" w:cs="FrankRuehl"/>
        <w:rtl/>
      </w:rPr>
      <w:fldChar w:fldCharType="end"/>
    </w:r>
  </w:p>
  <w:p w14:paraId="1C6FD87C" w14:textId="77777777" w:rsidR="006D3FF3" w:rsidRPr="00116AD5" w:rsidRDefault="00116AD5" w:rsidP="00116AD5">
    <w:pPr>
      <w:pStyle w:val="a4"/>
      <w:pBdr>
        <w:top w:val="single" w:sz="4" w:space="1" w:color="auto"/>
        <w:between w:val="single" w:sz="4" w:space="0" w:color="auto"/>
      </w:pBdr>
      <w:spacing w:after="60"/>
      <w:jc w:val="center"/>
      <w:rPr>
        <w:rFonts w:ascii="FrankRuehl" w:hAnsi="FrankRuehl" w:cs="FrankRuehl"/>
        <w:color w:val="000000"/>
      </w:rPr>
    </w:pPr>
    <w:r w:rsidRPr="00116A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9E17F" w14:textId="77777777" w:rsidR="00116AD5" w:rsidRDefault="00116AD5" w:rsidP="00116AD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60E3">
      <w:rPr>
        <w:rFonts w:ascii="FrankRuehl" w:hAnsi="FrankRuehl" w:cs="FrankRuehl"/>
        <w:noProof/>
        <w:rtl/>
      </w:rPr>
      <w:t>1</w:t>
    </w:r>
    <w:r>
      <w:rPr>
        <w:rFonts w:ascii="FrankRuehl" w:hAnsi="FrankRuehl" w:cs="FrankRuehl"/>
        <w:rtl/>
      </w:rPr>
      <w:fldChar w:fldCharType="end"/>
    </w:r>
  </w:p>
  <w:p w14:paraId="2F3C86ED" w14:textId="77777777" w:rsidR="006D3FF3" w:rsidRPr="00116AD5" w:rsidRDefault="00116AD5" w:rsidP="00116AD5">
    <w:pPr>
      <w:pStyle w:val="a4"/>
      <w:pBdr>
        <w:top w:val="single" w:sz="4" w:space="1" w:color="auto"/>
        <w:between w:val="single" w:sz="4" w:space="0" w:color="auto"/>
      </w:pBdr>
      <w:spacing w:after="60"/>
      <w:jc w:val="center"/>
      <w:rPr>
        <w:rFonts w:ascii="FrankRuehl" w:hAnsi="FrankRuehl" w:cs="FrankRuehl"/>
        <w:color w:val="000000"/>
      </w:rPr>
    </w:pPr>
    <w:r w:rsidRPr="00116AD5">
      <w:rPr>
        <w:rFonts w:ascii="FrankRuehl" w:hAnsi="FrankRuehl" w:cs="FrankRuehl"/>
        <w:color w:val="000000"/>
      </w:rPr>
      <w:pict w14:anchorId="3BED1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D1916" w14:textId="77777777" w:rsidR="00940230" w:rsidRPr="00B71666" w:rsidRDefault="00940230">
      <w:pPr>
        <w:rPr>
          <w:rFonts w:cs="Arial"/>
          <w:szCs w:val="20"/>
        </w:rPr>
      </w:pPr>
      <w:r>
        <w:separator/>
      </w:r>
    </w:p>
  </w:footnote>
  <w:footnote w:type="continuationSeparator" w:id="0">
    <w:p w14:paraId="0652A477" w14:textId="77777777" w:rsidR="00940230" w:rsidRPr="00B71666" w:rsidRDefault="0094023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AC2A2" w14:textId="77777777" w:rsidR="00116AD5" w:rsidRPr="00116AD5" w:rsidRDefault="00116AD5" w:rsidP="00116AD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39965-07-13</w:t>
    </w:r>
    <w:r>
      <w:rPr>
        <w:color w:val="000000"/>
        <w:sz w:val="22"/>
        <w:szCs w:val="22"/>
        <w:rtl/>
      </w:rPr>
      <w:tab/>
      <w:t xml:space="preserve"> מדינת ישראל נ' טארק סואעד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FA67D" w14:textId="77777777" w:rsidR="00116AD5" w:rsidRPr="00116AD5" w:rsidRDefault="00116AD5" w:rsidP="00116AD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39965-07-13</w:t>
    </w:r>
    <w:r>
      <w:rPr>
        <w:color w:val="000000"/>
        <w:sz w:val="22"/>
        <w:szCs w:val="22"/>
        <w:rtl/>
      </w:rPr>
      <w:tab/>
      <w:t xml:space="preserve"> מדינת ישראל נ' טארק סואעד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3FF3"/>
    <w:rsid w:val="001060E3"/>
    <w:rsid w:val="00116AD5"/>
    <w:rsid w:val="001675ED"/>
    <w:rsid w:val="006D3FF3"/>
    <w:rsid w:val="00940230"/>
    <w:rsid w:val="00961F51"/>
    <w:rsid w:val="00A924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ECD57B"/>
  <w15:chartTrackingRefBased/>
  <w15:docId w15:val="{673147C1-0F38-437D-825C-0F954342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3FF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D3FF3"/>
    <w:pPr>
      <w:tabs>
        <w:tab w:val="center" w:pos="4153"/>
        <w:tab w:val="right" w:pos="8306"/>
      </w:tabs>
    </w:pPr>
  </w:style>
  <w:style w:type="paragraph" w:styleId="a4">
    <w:name w:val="footer"/>
    <w:basedOn w:val="a"/>
    <w:rsid w:val="006D3FF3"/>
    <w:pPr>
      <w:tabs>
        <w:tab w:val="center" w:pos="4153"/>
        <w:tab w:val="right" w:pos="8306"/>
      </w:tabs>
    </w:pPr>
  </w:style>
  <w:style w:type="character" w:styleId="a5">
    <w:name w:val="page number"/>
    <w:basedOn w:val="a0"/>
    <w:rsid w:val="006D3FF3"/>
  </w:style>
  <w:style w:type="character" w:customStyle="1" w:styleId="TimesNewRomanTimesNewRoman">
    <w:name w:val="סגנון (לטיני) Times New Roman (עברית ושפות אחרות) Times New Roman..."/>
    <w:basedOn w:val="a0"/>
    <w:rsid w:val="006D3FF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6D3FF3"/>
    <w:rPr>
      <w:rFonts w:ascii="Times New Roman" w:eastAsia="Times New Roman" w:hAnsi="Times New Roman"/>
      <w:b/>
      <w:bCs/>
      <w:u w:val="single"/>
    </w:rPr>
  </w:style>
  <w:style w:type="character" w:customStyle="1" w:styleId="Ruller4">
    <w:name w:val="Ruller4 תו"/>
    <w:basedOn w:val="a0"/>
    <w:link w:val="Ruller40"/>
    <w:locked/>
    <w:rsid w:val="006D3FF3"/>
    <w:rPr>
      <w:rFonts w:ascii="Arial TUR" w:hAnsi="Arial TUR"/>
      <w:spacing w:val="10"/>
      <w:sz w:val="28"/>
      <w:szCs w:val="28"/>
      <w:lang w:bidi="he-IL"/>
    </w:rPr>
  </w:style>
  <w:style w:type="paragraph" w:customStyle="1" w:styleId="Ruller40">
    <w:name w:val="Ruller4"/>
    <w:basedOn w:val="a"/>
    <w:link w:val="Ruller4"/>
    <w:rsid w:val="006D3FF3"/>
    <w:pPr>
      <w:tabs>
        <w:tab w:val="left" w:pos="800"/>
      </w:tabs>
      <w:overflowPunct w:val="0"/>
      <w:adjustRightInd w:val="0"/>
      <w:spacing w:line="360" w:lineRule="auto"/>
      <w:jc w:val="both"/>
    </w:pPr>
    <w:rPr>
      <w:rFonts w:ascii="Arial TUR" w:eastAsia="Times New Roman" w:hAnsi="Arial TUR" w:cs="Times New Roman"/>
      <w:spacing w:val="10"/>
      <w:sz w:val="28"/>
      <w:szCs w:val="28"/>
    </w:rPr>
  </w:style>
  <w:style w:type="character" w:styleId="a6">
    <w:name w:val="line number"/>
    <w:basedOn w:val="a0"/>
    <w:rsid w:val="006D3FF3"/>
  </w:style>
  <w:style w:type="character" w:styleId="Hyperlink">
    <w:name w:val="Hyperlink"/>
    <w:basedOn w:val="a0"/>
    <w:rsid w:val="00116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yperlink" Target="http://www.nevo.co.il/links/psika/?link=&#1512;&#1506;&#1508;%207681/13"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inks/psika/?link=&#1506;&#1508;%209229/12"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c.b" TargetMode="External"/><Relationship Id="rId24" Type="http://schemas.openxmlformats.org/officeDocument/2006/relationships/hyperlink" Target="http://www.nevo.co.il/law/4216/36a.b"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inks/psika/?NEWPROC=&#1514;&#1508;&amp;NEWPARTA=17132&amp;NEWPARTB=04&amp;NEWPARTC=11"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links/psika/?link=&#1506;&#1508;%20211/09"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36a.b" TargetMode="External"/><Relationship Id="rId14" Type="http://schemas.openxmlformats.org/officeDocument/2006/relationships/hyperlink" Target="http://www.nevo.co.il/law/4216" TargetMode="External"/><Relationship Id="rId22" Type="http://schemas.openxmlformats.org/officeDocument/2006/relationships/hyperlink" Target="http://www.nevo.co.il/links/psika/?link=&#1512;&#1506;&#1508;%202122/13"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2196</Words>
  <Characters>10983</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13153</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5111890</vt:i4>
      </vt:variant>
      <vt:variant>
        <vt:i4>54</vt:i4>
      </vt:variant>
      <vt:variant>
        <vt:i4>0</vt:i4>
      </vt:variant>
      <vt:variant>
        <vt:i4>5</vt:i4>
      </vt:variant>
      <vt:variant>
        <vt:lpwstr>http://www.nevo.co.il/law/4216/36a.b</vt:lpwstr>
      </vt:variant>
      <vt:variant>
        <vt:lpwstr/>
      </vt:variant>
      <vt:variant>
        <vt:i4>98239963</vt:i4>
      </vt:variant>
      <vt:variant>
        <vt:i4>51</vt:i4>
      </vt:variant>
      <vt:variant>
        <vt:i4>0</vt:i4>
      </vt:variant>
      <vt:variant>
        <vt:i4>5</vt:i4>
      </vt:variant>
      <vt:variant>
        <vt:lpwstr>http://www.nevo.co.il/links/psika/?NEWPROC=תפ&amp;NEWPARTA=17132&amp;NEWPARTB=04&amp;NEWPARTC=11</vt:lpwstr>
      </vt:variant>
      <vt:variant>
        <vt:lpwstr/>
      </vt:variant>
      <vt:variant>
        <vt:i4>98631788</vt:i4>
      </vt:variant>
      <vt:variant>
        <vt:i4>48</vt:i4>
      </vt:variant>
      <vt:variant>
        <vt:i4>0</vt:i4>
      </vt:variant>
      <vt:variant>
        <vt:i4>5</vt:i4>
      </vt:variant>
      <vt:variant>
        <vt:lpwstr>http://www.nevo.co.il/links/psika/?link=רעפ 2122/13</vt:lpwstr>
      </vt:variant>
      <vt:variant>
        <vt:lpwstr/>
      </vt:variant>
      <vt:variant>
        <vt:i4>98893923</vt:i4>
      </vt:variant>
      <vt:variant>
        <vt:i4>45</vt:i4>
      </vt:variant>
      <vt:variant>
        <vt:i4>0</vt:i4>
      </vt:variant>
      <vt:variant>
        <vt:i4>5</vt:i4>
      </vt:variant>
      <vt:variant>
        <vt:lpwstr>http://www.nevo.co.il/links/psika/?link=רעפ 7681/13</vt:lpwstr>
      </vt:variant>
      <vt:variant>
        <vt:lpwstr/>
      </vt:variant>
      <vt:variant>
        <vt:i4>98764215</vt:i4>
      </vt:variant>
      <vt:variant>
        <vt:i4>42</vt:i4>
      </vt:variant>
      <vt:variant>
        <vt:i4>0</vt:i4>
      </vt:variant>
      <vt:variant>
        <vt:i4>5</vt:i4>
      </vt:variant>
      <vt:variant>
        <vt:lpwstr>http://www.nevo.co.il/links/psika/?link=עפ 9229/12</vt:lpwstr>
      </vt:variant>
      <vt:variant>
        <vt:lpwstr/>
      </vt:variant>
      <vt:variant>
        <vt:i4>96863635</vt:i4>
      </vt:variant>
      <vt:variant>
        <vt:i4>39</vt:i4>
      </vt:variant>
      <vt:variant>
        <vt:i4>0</vt:i4>
      </vt:variant>
      <vt:variant>
        <vt:i4>5</vt:i4>
      </vt:variant>
      <vt:variant>
        <vt:lpwstr>http://www.nevo.co.il/links/psika/?link=עפ 211/09</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2025-04-22T22:05:00Z</dcterms:created>
  <dcterms:modified xsi:type="dcterms:W3CDTF">2025-04-22T22:05:00Z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39965</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טארק סואעד</vt:lpwstr>
  </property>
  <property fmtid="{D5CDD505-2E9C-101B-9397-08002B2CF9AE}" pid="10" name="LAWYER">
    <vt:lpwstr>סמוכה</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20140224</vt:lpwstr>
  </property>
  <property fmtid="{D5CDD505-2E9C-101B-9397-08002B2CF9AE}" pid="14" name="TYPE_N_DATE">
    <vt:lpwstr>38020140224</vt:lpwstr>
  </property>
  <property fmtid="{D5CDD505-2E9C-101B-9397-08002B2CF9AE}" pid="15" name="WORDNUMPAGES">
    <vt:lpwstr>7</vt:lpwstr>
  </property>
  <property fmtid="{D5CDD505-2E9C-101B-9397-08002B2CF9AE}" pid="16" name="TYPE_ABS_DATE">
    <vt:lpwstr>380020140224</vt:lpwstr>
  </property>
  <property fmtid="{D5CDD505-2E9C-101B-9397-08002B2CF9AE}" pid="17" name="ISABSTRACT">
    <vt:lpwstr>Y</vt:lpwstr>
  </property>
  <property fmtid="{D5CDD505-2E9C-101B-9397-08002B2CF9AE}" pid="18" name="LAWLISTTMP1">
    <vt:lpwstr>4216/013;019a;036a.b</vt:lpwstr>
  </property>
  <property fmtid="{D5CDD505-2E9C-101B-9397-08002B2CF9AE}" pid="19" name="LAWLISTTMP2">
    <vt:lpwstr>70301/40jc.b</vt:lpwstr>
  </property>
</Properties>
</file>