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077D56" w:rsidRPr="00664D51" w14:paraId="3B412832" w14:textId="77777777">
        <w:trPr>
          <w:trHeight w:hRule="exact" w:val="418"/>
          <w:jc w:val="center"/>
        </w:trPr>
        <w:tc>
          <w:tcPr>
            <w:tcW w:w="8720" w:type="dxa"/>
            <w:gridSpan w:val="3"/>
          </w:tcPr>
          <w:p w14:paraId="3E32BB1D" w14:textId="77777777" w:rsidR="00077D56" w:rsidRPr="00664D51" w:rsidRDefault="00664D51">
            <w:pPr>
              <w:pStyle w:val="a4"/>
              <w:tabs>
                <w:tab w:val="clear" w:pos="8306"/>
              </w:tabs>
              <w:jc w:val="center"/>
              <w:rPr>
                <w:rFonts w:ascii="Tahoma" w:hAnsi="Tahoma" w:cs="Tahoma"/>
                <w:b/>
                <w:bCs/>
                <w:color w:val="000080"/>
                <w:sz w:val="20"/>
                <w:szCs w:val="20"/>
                <w:rtl/>
              </w:rPr>
            </w:pPr>
            <w:bookmarkStart w:id="0" w:name="LastJudge"/>
            <w:r w:rsidRPr="00664D51">
              <w:rPr>
                <w:rFonts w:ascii="Tahoma" w:hAnsi="Tahoma" w:cs="Tahoma"/>
                <w:b/>
                <w:bCs/>
                <w:color w:val="000080"/>
                <w:sz w:val="20"/>
                <w:szCs w:val="20"/>
                <w:rtl/>
              </w:rPr>
              <w:t>בית משפט השלום בנתניה</w:t>
            </w:r>
          </w:p>
        </w:tc>
      </w:tr>
      <w:tr w:rsidR="00077D56" w:rsidRPr="00664D51" w14:paraId="22FFC6A2" w14:textId="77777777">
        <w:trPr>
          <w:trHeight w:val="337"/>
          <w:jc w:val="center"/>
        </w:trPr>
        <w:tc>
          <w:tcPr>
            <w:tcW w:w="3973" w:type="dxa"/>
          </w:tcPr>
          <w:p w14:paraId="4DAFD3A4" w14:textId="77777777" w:rsidR="00077D56" w:rsidRPr="00664D51" w:rsidRDefault="00664D51">
            <w:pPr>
              <w:rPr>
                <w:b/>
                <w:bCs/>
                <w:sz w:val="26"/>
                <w:szCs w:val="26"/>
                <w:rtl/>
              </w:rPr>
            </w:pPr>
            <w:r w:rsidRPr="00664D51">
              <w:rPr>
                <w:b/>
                <w:bCs/>
                <w:sz w:val="26"/>
                <w:szCs w:val="26"/>
                <w:rtl/>
              </w:rPr>
              <w:t>ת"פ</w:t>
            </w:r>
            <w:r w:rsidRPr="00664D51">
              <w:rPr>
                <w:rFonts w:hint="cs"/>
                <w:b/>
                <w:bCs/>
                <w:sz w:val="26"/>
                <w:szCs w:val="26"/>
                <w:rtl/>
              </w:rPr>
              <w:t xml:space="preserve"> </w:t>
            </w:r>
            <w:r w:rsidRPr="00664D51">
              <w:rPr>
                <w:b/>
                <w:bCs/>
                <w:sz w:val="26"/>
                <w:szCs w:val="26"/>
                <w:rtl/>
              </w:rPr>
              <w:t>44003-08-13</w:t>
            </w:r>
            <w:r w:rsidRPr="00664D51">
              <w:rPr>
                <w:rFonts w:hint="cs"/>
                <w:b/>
                <w:bCs/>
                <w:sz w:val="26"/>
                <w:szCs w:val="26"/>
                <w:rtl/>
              </w:rPr>
              <w:t xml:space="preserve"> </w:t>
            </w:r>
            <w:r w:rsidRPr="00664D51">
              <w:rPr>
                <w:b/>
                <w:bCs/>
                <w:sz w:val="26"/>
                <w:szCs w:val="26"/>
                <w:rtl/>
              </w:rPr>
              <w:t>מדינת ישראל נ' שולמן</w:t>
            </w:r>
          </w:p>
          <w:p w14:paraId="6D570D5F" w14:textId="77777777" w:rsidR="00077D56" w:rsidRPr="00664D51" w:rsidRDefault="00077D56">
            <w:pPr>
              <w:rPr>
                <w:b/>
                <w:bCs/>
                <w:sz w:val="26"/>
                <w:szCs w:val="26"/>
                <w:rtl/>
              </w:rPr>
            </w:pPr>
          </w:p>
        </w:tc>
        <w:tc>
          <w:tcPr>
            <w:tcW w:w="1068" w:type="dxa"/>
          </w:tcPr>
          <w:p w14:paraId="3FA8EAB3" w14:textId="77777777" w:rsidR="00077D56" w:rsidRPr="00664D51" w:rsidRDefault="00077D56">
            <w:pPr>
              <w:pStyle w:val="a4"/>
              <w:jc w:val="right"/>
              <w:rPr>
                <w:b/>
                <w:bCs/>
                <w:sz w:val="26"/>
                <w:szCs w:val="26"/>
                <w:rtl/>
              </w:rPr>
            </w:pPr>
          </w:p>
        </w:tc>
        <w:tc>
          <w:tcPr>
            <w:tcW w:w="3679" w:type="dxa"/>
          </w:tcPr>
          <w:p w14:paraId="4E40B22A" w14:textId="77777777" w:rsidR="00077D56" w:rsidRPr="00664D51" w:rsidRDefault="00664D51">
            <w:pPr>
              <w:pStyle w:val="a4"/>
              <w:tabs>
                <w:tab w:val="clear" w:pos="4153"/>
              </w:tabs>
              <w:jc w:val="right"/>
              <w:rPr>
                <w:b/>
                <w:bCs/>
                <w:sz w:val="26"/>
                <w:szCs w:val="26"/>
                <w:rtl/>
              </w:rPr>
            </w:pPr>
            <w:r w:rsidRPr="00664D51">
              <w:rPr>
                <w:b/>
                <w:bCs/>
                <w:sz w:val="26"/>
                <w:szCs w:val="26"/>
                <w:rtl/>
              </w:rPr>
              <w:t>16 ספטמבר 2015</w:t>
            </w:r>
          </w:p>
        </w:tc>
      </w:tr>
    </w:tbl>
    <w:p w14:paraId="4973F25E" w14:textId="77777777" w:rsidR="00077D56" w:rsidRPr="00664D51" w:rsidRDefault="00077D56">
      <w:pPr>
        <w:pStyle w:val="a4"/>
        <w:jc w:val="center"/>
        <w:rPr>
          <w:rFonts w:ascii="Tahoma" w:hAnsi="Tahoma" w:cs="Tahoma"/>
          <w:b/>
          <w:bCs/>
          <w:color w:val="000080"/>
          <w:sz w:val="20"/>
          <w:szCs w:val="20"/>
          <w:rtl/>
        </w:rPr>
      </w:pPr>
    </w:p>
    <w:p w14:paraId="0025DEDD" w14:textId="77777777" w:rsidR="00077D56" w:rsidRPr="00664D51" w:rsidRDefault="00077D56">
      <w:pPr>
        <w:suppressLineNumbers/>
        <w:spacing w:line="360" w:lineRule="auto"/>
        <w:jc w:val="both"/>
        <w:rPr>
          <w:rFonts w:ascii="Arial" w:hAnsi="Arial"/>
          <w:sz w:val="28"/>
          <w:szCs w:val="28"/>
          <w:rtl/>
        </w:rPr>
      </w:pPr>
    </w:p>
    <w:tbl>
      <w:tblPr>
        <w:bidiVisual/>
        <w:tblW w:w="0" w:type="auto"/>
        <w:jc w:val="center"/>
        <w:tblLook w:val="0000" w:firstRow="0" w:lastRow="0" w:firstColumn="0" w:lastColumn="0" w:noHBand="0" w:noVBand="0"/>
      </w:tblPr>
      <w:tblGrid>
        <w:gridCol w:w="1592"/>
        <w:gridCol w:w="7128"/>
      </w:tblGrid>
      <w:tr w:rsidR="00077D56" w:rsidRPr="00664D51" w14:paraId="471F911C" w14:textId="77777777">
        <w:trPr>
          <w:trHeight w:val="337"/>
          <w:jc w:val="center"/>
        </w:trPr>
        <w:tc>
          <w:tcPr>
            <w:tcW w:w="1592" w:type="dxa"/>
          </w:tcPr>
          <w:p w14:paraId="47E3682D" w14:textId="77777777" w:rsidR="00077D56" w:rsidRPr="00664D51" w:rsidRDefault="00077D56">
            <w:pPr>
              <w:pStyle w:val="a4"/>
              <w:spacing w:line="360" w:lineRule="auto"/>
              <w:jc w:val="both"/>
              <w:rPr>
                <w:b/>
                <w:bCs/>
                <w:sz w:val="28"/>
                <w:szCs w:val="28"/>
                <w:rtl/>
              </w:rPr>
            </w:pPr>
          </w:p>
        </w:tc>
        <w:tc>
          <w:tcPr>
            <w:tcW w:w="7128" w:type="dxa"/>
          </w:tcPr>
          <w:p w14:paraId="7A206069" w14:textId="77777777" w:rsidR="00077D56" w:rsidRPr="00664D51" w:rsidRDefault="00664D51">
            <w:pPr>
              <w:pStyle w:val="a4"/>
              <w:jc w:val="right"/>
              <w:rPr>
                <w:b/>
                <w:bCs/>
                <w:sz w:val="28"/>
                <w:szCs w:val="28"/>
                <w:rtl/>
              </w:rPr>
            </w:pPr>
            <w:r w:rsidRPr="00664D51">
              <w:rPr>
                <w:rFonts w:hint="cs"/>
                <w:sz w:val="28"/>
                <w:szCs w:val="28"/>
                <w:rtl/>
              </w:rPr>
              <w:t>44011-08-13</w:t>
            </w:r>
          </w:p>
        </w:tc>
      </w:tr>
    </w:tbl>
    <w:p w14:paraId="210EA77B" w14:textId="77777777" w:rsidR="00077D56" w:rsidRPr="00664D51" w:rsidRDefault="00077D56">
      <w:pPr>
        <w:suppressLineNumbers/>
        <w:spacing w:line="360" w:lineRule="auto"/>
        <w:jc w:val="both"/>
        <w:rPr>
          <w:rFonts w:ascii="Arial" w:hAnsi="Arial"/>
          <w:sz w:val="28"/>
          <w:szCs w:val="28"/>
          <w:rtl/>
        </w:rPr>
      </w:pPr>
    </w:p>
    <w:p w14:paraId="4A3BD806" w14:textId="77777777" w:rsidR="00077D56" w:rsidRPr="00664D51" w:rsidRDefault="00077D56">
      <w:pPr>
        <w:spacing w:line="360" w:lineRule="auto"/>
        <w:jc w:val="both"/>
        <w:rPr>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077D56" w:rsidRPr="00664D51" w14:paraId="19B8E137" w14:textId="77777777">
        <w:trPr>
          <w:gridAfter w:val="1"/>
          <w:wAfter w:w="55" w:type="dxa"/>
        </w:trPr>
        <w:tc>
          <w:tcPr>
            <w:tcW w:w="8719" w:type="dxa"/>
            <w:gridSpan w:val="2"/>
            <w:shd w:val="clear" w:color="auto" w:fill="auto"/>
          </w:tcPr>
          <w:p w14:paraId="74DB3CD0" w14:textId="77777777" w:rsidR="00077D56" w:rsidRPr="00664D51" w:rsidRDefault="00664D51">
            <w:pPr>
              <w:rPr>
                <w:rFonts w:ascii="Arial" w:eastAsia="Times New Roman" w:hAnsi="Arial"/>
                <w:sz w:val="28"/>
                <w:szCs w:val="28"/>
                <w:highlight w:val="yellow"/>
                <w:rtl/>
              </w:rPr>
            </w:pPr>
            <w:r w:rsidRPr="00664D51">
              <w:rPr>
                <w:rFonts w:ascii="Times New Roman" w:eastAsia="Times New Roman" w:hAnsi="Times New Roman" w:hint="cs"/>
                <w:b/>
                <w:bCs/>
                <w:sz w:val="28"/>
                <w:szCs w:val="28"/>
                <w:rtl/>
              </w:rPr>
              <w:t xml:space="preserve">בפני </w:t>
            </w:r>
            <w:r w:rsidRPr="00664D51">
              <w:rPr>
                <w:rFonts w:ascii="Arial" w:eastAsia="Times New Roman" w:hAnsi="Arial" w:hint="cs"/>
                <w:b/>
                <w:bCs/>
                <w:sz w:val="28"/>
                <w:szCs w:val="28"/>
                <w:rtl/>
              </w:rPr>
              <w:t xml:space="preserve">כב' השופטת הבכירה </w:t>
            </w:r>
            <w:r w:rsidRPr="00664D51">
              <w:rPr>
                <w:rFonts w:ascii="Arial" w:eastAsia="Times New Roman" w:hAnsi="Arial"/>
                <w:b/>
                <w:bCs/>
                <w:sz w:val="28"/>
                <w:szCs w:val="28"/>
                <w:rtl/>
              </w:rPr>
              <w:t>גלית ציגלר</w:t>
            </w:r>
          </w:p>
        </w:tc>
      </w:tr>
      <w:tr w:rsidR="00077D56" w:rsidRPr="00664D51" w14:paraId="3AB9B92D" w14:textId="77777777">
        <w:tc>
          <w:tcPr>
            <w:tcW w:w="2880" w:type="dxa"/>
            <w:shd w:val="clear" w:color="auto" w:fill="auto"/>
          </w:tcPr>
          <w:p w14:paraId="64A4B2F3" w14:textId="77777777" w:rsidR="00077D56" w:rsidRPr="00664D51" w:rsidRDefault="00664D51">
            <w:pPr>
              <w:ind w:left="26"/>
              <w:rPr>
                <w:rFonts w:ascii="Times New Roman" w:eastAsia="Times New Roman" w:hAnsi="Times New Roman"/>
                <w:b/>
                <w:bCs/>
                <w:sz w:val="28"/>
                <w:szCs w:val="28"/>
                <w:rtl/>
              </w:rPr>
            </w:pPr>
            <w:bookmarkStart w:id="1" w:name="FirstAppellant"/>
            <w:r w:rsidRPr="00664D51">
              <w:rPr>
                <w:rFonts w:ascii="Times New Roman" w:eastAsia="Times New Roman" w:hAnsi="Times New Roman" w:hint="cs"/>
                <w:b/>
                <w:bCs/>
                <w:sz w:val="28"/>
                <w:szCs w:val="28"/>
                <w:rtl/>
              </w:rPr>
              <w:t>ה</w:t>
            </w:r>
            <w:r w:rsidRPr="00664D51">
              <w:rPr>
                <w:rFonts w:ascii="Times New Roman" w:eastAsia="Times New Roman" w:hAnsi="Times New Roman" w:hint="cs"/>
                <w:sz w:val="28"/>
                <w:szCs w:val="28"/>
                <w:rtl/>
              </w:rPr>
              <w:t>מאשימה</w:t>
            </w:r>
          </w:p>
        </w:tc>
        <w:tc>
          <w:tcPr>
            <w:tcW w:w="5922" w:type="dxa"/>
            <w:gridSpan w:val="2"/>
            <w:shd w:val="clear" w:color="auto" w:fill="auto"/>
          </w:tcPr>
          <w:p w14:paraId="1D72086B" w14:textId="77777777" w:rsidR="00077D56" w:rsidRPr="00664D51" w:rsidRDefault="00664D51">
            <w:pPr>
              <w:rPr>
                <w:rFonts w:ascii="Times New Roman" w:eastAsia="Times New Roman" w:hAnsi="Times New Roman"/>
                <w:b/>
                <w:bCs/>
                <w:sz w:val="28"/>
                <w:szCs w:val="28"/>
                <w:rtl/>
              </w:rPr>
            </w:pPr>
            <w:r w:rsidRPr="00664D51">
              <w:rPr>
                <w:rFonts w:ascii="Times New Roman" w:eastAsia="Times New Roman" w:hAnsi="Times New Roman" w:hint="cs"/>
                <w:b/>
                <w:bCs/>
                <w:sz w:val="28"/>
                <w:szCs w:val="28"/>
                <w:rtl/>
              </w:rPr>
              <w:t xml:space="preserve"> </w:t>
            </w:r>
            <w:r w:rsidRPr="00664D51">
              <w:rPr>
                <w:rFonts w:ascii="Times New Roman" w:eastAsia="Times New Roman" w:hAnsi="Times New Roman" w:hint="cs"/>
                <w:sz w:val="28"/>
                <w:szCs w:val="28"/>
                <w:rtl/>
              </w:rPr>
              <w:t>מדינת ישראל</w:t>
            </w:r>
          </w:p>
        </w:tc>
      </w:tr>
      <w:bookmarkEnd w:id="1"/>
      <w:tr w:rsidR="00077D56" w:rsidRPr="00664D51" w14:paraId="054D41F2" w14:textId="77777777">
        <w:tc>
          <w:tcPr>
            <w:tcW w:w="8802" w:type="dxa"/>
            <w:gridSpan w:val="3"/>
            <w:shd w:val="clear" w:color="auto" w:fill="auto"/>
          </w:tcPr>
          <w:p w14:paraId="0201D80E" w14:textId="77777777" w:rsidR="00077D56" w:rsidRPr="00664D51" w:rsidRDefault="00077D56">
            <w:pPr>
              <w:jc w:val="both"/>
              <w:rPr>
                <w:rFonts w:ascii="Arial" w:eastAsia="Times New Roman" w:hAnsi="Arial"/>
                <w:b/>
                <w:bCs/>
                <w:sz w:val="28"/>
                <w:szCs w:val="28"/>
                <w:rtl/>
              </w:rPr>
            </w:pPr>
          </w:p>
          <w:p w14:paraId="1BCA495C" w14:textId="77777777" w:rsidR="00077D56" w:rsidRPr="00664D51" w:rsidRDefault="00664D51">
            <w:pPr>
              <w:jc w:val="center"/>
              <w:rPr>
                <w:rFonts w:ascii="Arial" w:eastAsia="Times New Roman" w:hAnsi="Arial"/>
                <w:b/>
                <w:bCs/>
                <w:sz w:val="28"/>
                <w:szCs w:val="28"/>
                <w:rtl/>
              </w:rPr>
            </w:pPr>
            <w:r w:rsidRPr="00664D51">
              <w:rPr>
                <w:rFonts w:ascii="Arial" w:eastAsia="Times New Roman" w:hAnsi="Arial"/>
                <w:b/>
                <w:bCs/>
                <w:sz w:val="28"/>
                <w:szCs w:val="28"/>
                <w:rtl/>
              </w:rPr>
              <w:t>נגד</w:t>
            </w:r>
          </w:p>
          <w:p w14:paraId="3A6D11B6" w14:textId="77777777" w:rsidR="00077D56" w:rsidRPr="00664D51" w:rsidRDefault="00077D56">
            <w:pPr>
              <w:jc w:val="center"/>
              <w:rPr>
                <w:rFonts w:ascii="Arial" w:eastAsia="Times New Roman" w:hAnsi="Arial"/>
                <w:b/>
                <w:bCs/>
                <w:sz w:val="28"/>
                <w:szCs w:val="28"/>
              </w:rPr>
            </w:pPr>
          </w:p>
        </w:tc>
      </w:tr>
      <w:tr w:rsidR="00077D56" w:rsidRPr="00664D51" w14:paraId="59EC16BA" w14:textId="77777777">
        <w:tc>
          <w:tcPr>
            <w:tcW w:w="2880" w:type="dxa"/>
            <w:shd w:val="clear" w:color="auto" w:fill="auto"/>
          </w:tcPr>
          <w:p w14:paraId="7FE797AF" w14:textId="77777777" w:rsidR="00077D56" w:rsidRPr="00664D51" w:rsidRDefault="00664D51">
            <w:pPr>
              <w:ind w:left="26"/>
              <w:rPr>
                <w:rFonts w:ascii="Times New Roman" w:eastAsia="Times New Roman" w:hAnsi="Times New Roman"/>
                <w:b/>
                <w:bCs/>
                <w:sz w:val="28"/>
                <w:szCs w:val="28"/>
                <w:rtl/>
              </w:rPr>
            </w:pPr>
            <w:r w:rsidRPr="00664D51">
              <w:rPr>
                <w:rFonts w:ascii="Times New Roman" w:eastAsia="Times New Roman" w:hAnsi="Times New Roman" w:hint="cs"/>
                <w:b/>
                <w:bCs/>
                <w:sz w:val="28"/>
                <w:szCs w:val="28"/>
                <w:rtl/>
              </w:rPr>
              <w:t>ה</w:t>
            </w:r>
            <w:r w:rsidRPr="00664D51">
              <w:rPr>
                <w:rFonts w:ascii="Times New Roman" w:eastAsia="Times New Roman" w:hAnsi="Times New Roman" w:hint="cs"/>
                <w:sz w:val="28"/>
                <w:szCs w:val="28"/>
                <w:rtl/>
              </w:rPr>
              <w:t>נאשם</w:t>
            </w:r>
          </w:p>
        </w:tc>
        <w:tc>
          <w:tcPr>
            <w:tcW w:w="5922" w:type="dxa"/>
            <w:gridSpan w:val="2"/>
            <w:shd w:val="clear" w:color="auto" w:fill="auto"/>
          </w:tcPr>
          <w:p w14:paraId="72B30C4F" w14:textId="77777777" w:rsidR="00077D56" w:rsidRPr="00664D51" w:rsidRDefault="00664D51">
            <w:pPr>
              <w:rPr>
                <w:rFonts w:ascii="Times New Roman" w:eastAsia="Times New Roman" w:hAnsi="Times New Roman"/>
                <w:b/>
                <w:bCs/>
                <w:sz w:val="28"/>
                <w:szCs w:val="28"/>
                <w:rtl/>
              </w:rPr>
            </w:pPr>
            <w:r w:rsidRPr="00664D51">
              <w:rPr>
                <w:rFonts w:ascii="Times New Roman" w:eastAsia="Times New Roman" w:hAnsi="Times New Roman" w:hint="cs"/>
                <w:sz w:val="28"/>
                <w:szCs w:val="28"/>
                <w:rtl/>
              </w:rPr>
              <w:t>דניאל שולמן</w:t>
            </w:r>
          </w:p>
        </w:tc>
      </w:tr>
    </w:tbl>
    <w:p w14:paraId="5130CA4A" w14:textId="77777777" w:rsidR="00077D56" w:rsidRPr="00664D51" w:rsidRDefault="00077D56">
      <w:pPr>
        <w:spacing w:line="360" w:lineRule="auto"/>
        <w:jc w:val="both"/>
        <w:rPr>
          <w:sz w:val="28"/>
          <w:szCs w:val="28"/>
          <w:rtl/>
        </w:rPr>
      </w:pPr>
    </w:p>
    <w:p w14:paraId="57CD683A" w14:textId="77777777" w:rsidR="00077D56" w:rsidRPr="00664D51" w:rsidRDefault="00664D51">
      <w:pPr>
        <w:spacing w:line="360" w:lineRule="auto"/>
        <w:jc w:val="both"/>
        <w:rPr>
          <w:sz w:val="28"/>
          <w:szCs w:val="28"/>
          <w:rtl/>
        </w:rPr>
      </w:pPr>
      <w:r w:rsidRPr="00664D51">
        <w:rPr>
          <w:sz w:val="28"/>
          <w:szCs w:val="28"/>
          <w:rtl/>
        </w:rPr>
        <w:t>&lt;#1#&gt;</w:t>
      </w:r>
    </w:p>
    <w:p w14:paraId="7E244FC2" w14:textId="77777777" w:rsidR="00077D56" w:rsidRPr="00664D51" w:rsidRDefault="00664D51">
      <w:pPr>
        <w:pStyle w:val="12"/>
        <w:rPr>
          <w:sz w:val="28"/>
          <w:szCs w:val="28"/>
          <w:u w:val="none"/>
          <w:rtl/>
        </w:rPr>
      </w:pPr>
      <w:r w:rsidRPr="00664D51">
        <w:rPr>
          <w:rFonts w:hint="cs"/>
          <w:sz w:val="28"/>
          <w:szCs w:val="28"/>
          <w:u w:val="none"/>
          <w:rtl/>
        </w:rPr>
        <w:t>נוכחים:</w:t>
      </w:r>
    </w:p>
    <w:p w14:paraId="5214CBBF" w14:textId="77777777" w:rsidR="00077D56" w:rsidRPr="00664D51" w:rsidRDefault="00664D51">
      <w:pPr>
        <w:pStyle w:val="12"/>
        <w:rPr>
          <w:b w:val="0"/>
          <w:bCs w:val="0"/>
          <w:sz w:val="28"/>
          <w:szCs w:val="28"/>
          <w:u w:val="none"/>
          <w:rtl/>
        </w:rPr>
      </w:pPr>
      <w:bookmarkStart w:id="2" w:name="FirstLawyer"/>
      <w:r w:rsidRPr="00664D51">
        <w:rPr>
          <w:rFonts w:hint="cs"/>
          <w:b w:val="0"/>
          <w:bCs w:val="0"/>
          <w:sz w:val="28"/>
          <w:szCs w:val="28"/>
          <w:u w:val="none"/>
          <w:rtl/>
        </w:rPr>
        <w:t>ב"כ</w:t>
      </w:r>
      <w:bookmarkEnd w:id="2"/>
      <w:r w:rsidRPr="00664D51">
        <w:rPr>
          <w:rFonts w:hint="cs"/>
          <w:b w:val="0"/>
          <w:bCs w:val="0"/>
          <w:sz w:val="28"/>
          <w:szCs w:val="28"/>
          <w:u w:val="none"/>
          <w:rtl/>
        </w:rPr>
        <w:t xml:space="preserve"> המאשימה עו"ד יפעת פינצובר</w:t>
      </w:r>
    </w:p>
    <w:p w14:paraId="02D94B69" w14:textId="77777777" w:rsidR="00077D56" w:rsidRPr="00664D51" w:rsidRDefault="00664D51">
      <w:pPr>
        <w:pStyle w:val="12"/>
        <w:rPr>
          <w:b w:val="0"/>
          <w:bCs w:val="0"/>
          <w:sz w:val="28"/>
          <w:szCs w:val="28"/>
          <w:u w:val="none"/>
          <w:rtl/>
        </w:rPr>
      </w:pPr>
      <w:r w:rsidRPr="00664D51">
        <w:rPr>
          <w:rFonts w:hint="cs"/>
          <w:b w:val="0"/>
          <w:bCs w:val="0"/>
          <w:sz w:val="28"/>
          <w:szCs w:val="28"/>
          <w:u w:val="none"/>
          <w:rtl/>
        </w:rPr>
        <w:t xml:space="preserve">הנאשם ובא כוחו עו"ד סיבוני </w:t>
      </w:r>
    </w:p>
    <w:p w14:paraId="652EB9A2" w14:textId="77777777" w:rsidR="00077D56" w:rsidRPr="00664D51" w:rsidRDefault="00077D56">
      <w:pPr>
        <w:pStyle w:val="12"/>
        <w:rPr>
          <w:b w:val="0"/>
          <w:bCs w:val="0"/>
          <w:sz w:val="28"/>
          <w:szCs w:val="28"/>
          <w:u w:val="none"/>
          <w:rtl/>
        </w:rPr>
      </w:pPr>
    </w:p>
    <w:p w14:paraId="4C94686D" w14:textId="77777777" w:rsidR="0086557C" w:rsidRDefault="00664D51">
      <w:pPr>
        <w:spacing w:line="360" w:lineRule="auto"/>
        <w:jc w:val="center"/>
        <w:rPr>
          <w:rFonts w:ascii="Arial" w:hAnsi="Arial"/>
          <w:b/>
          <w:color w:val="FF0000"/>
          <w:sz w:val="28"/>
          <w:rtl/>
        </w:rPr>
      </w:pPr>
      <w:r w:rsidRPr="00664D51">
        <w:rPr>
          <w:rFonts w:ascii="Arial" w:hAnsi="Arial"/>
          <w:b/>
          <w:color w:val="FF0000"/>
          <w:sz w:val="28"/>
          <w:rtl/>
        </w:rPr>
        <w:t>במסמך זה הושמטו פרוטוקולי</w:t>
      </w:r>
      <w:bookmarkStart w:id="3" w:name="LawTable"/>
      <w:bookmarkEnd w:id="3"/>
    </w:p>
    <w:p w14:paraId="7476EFA4" w14:textId="77777777" w:rsidR="0086557C" w:rsidRPr="0086557C" w:rsidRDefault="0086557C" w:rsidP="0086557C">
      <w:pPr>
        <w:spacing w:after="120" w:line="240" w:lineRule="exact"/>
        <w:ind w:left="283" w:hanging="283"/>
        <w:jc w:val="both"/>
        <w:rPr>
          <w:rFonts w:ascii="FrankRuehl" w:hAnsi="FrankRuehl" w:cs="FrankRuehl"/>
          <w:color w:val="FF0000"/>
          <w:rtl/>
        </w:rPr>
      </w:pPr>
    </w:p>
    <w:p w14:paraId="11D462D0" w14:textId="77777777" w:rsidR="0086557C" w:rsidRPr="0086557C" w:rsidRDefault="0086557C" w:rsidP="0086557C">
      <w:pPr>
        <w:spacing w:after="120" w:line="240" w:lineRule="exact"/>
        <w:ind w:left="283" w:hanging="283"/>
        <w:jc w:val="both"/>
        <w:rPr>
          <w:rFonts w:ascii="FrankRuehl" w:hAnsi="FrankRuehl" w:cs="FrankRuehl"/>
          <w:color w:val="FF0000"/>
          <w:rtl/>
        </w:rPr>
      </w:pPr>
      <w:r w:rsidRPr="0086557C">
        <w:rPr>
          <w:rFonts w:ascii="FrankRuehl" w:hAnsi="FrankRuehl" w:cs="FrankRuehl"/>
          <w:color w:val="FF0000"/>
          <w:rtl/>
        </w:rPr>
        <w:t xml:space="preserve">חקיקה שאוזכרה: </w:t>
      </w:r>
    </w:p>
    <w:p w14:paraId="1BDF7F56" w14:textId="77777777" w:rsidR="0086557C" w:rsidRPr="0086557C" w:rsidRDefault="0086557C" w:rsidP="0086557C">
      <w:pPr>
        <w:spacing w:after="120" w:line="240" w:lineRule="exact"/>
        <w:ind w:left="283" w:hanging="283"/>
        <w:jc w:val="both"/>
        <w:rPr>
          <w:rFonts w:ascii="FrankRuehl" w:hAnsi="FrankRuehl" w:cs="FrankRuehl"/>
          <w:color w:val="0000FF"/>
          <w:u w:val="single"/>
          <w:rtl/>
        </w:rPr>
      </w:pPr>
      <w:hyperlink r:id="rId6" w:history="1">
        <w:r w:rsidRPr="0086557C">
          <w:rPr>
            <w:rStyle w:val="Hyperlink"/>
            <w:rFonts w:ascii="FrankRuehl" w:hAnsi="FrankRuehl" w:cs="FrankRuehl"/>
            <w:rtl/>
          </w:rPr>
          <w:t>פקודת הסמים המסוכנים [נוסח חדש], תשל"ג-1973</w:t>
        </w:r>
      </w:hyperlink>
    </w:p>
    <w:p w14:paraId="6824BB70" w14:textId="77777777" w:rsidR="0086557C" w:rsidRPr="0086557C" w:rsidRDefault="0086557C" w:rsidP="0086557C">
      <w:pPr>
        <w:spacing w:after="120" w:line="240" w:lineRule="exact"/>
        <w:ind w:left="283" w:hanging="283"/>
        <w:jc w:val="both"/>
        <w:rPr>
          <w:rFonts w:ascii="FrankRuehl" w:hAnsi="FrankRuehl" w:cs="FrankRuehl"/>
          <w:rtl/>
        </w:rPr>
      </w:pPr>
    </w:p>
    <w:p w14:paraId="6437B68A" w14:textId="77777777" w:rsidR="0086557C" w:rsidRPr="0086557C" w:rsidRDefault="0086557C">
      <w:pPr>
        <w:spacing w:line="360" w:lineRule="auto"/>
        <w:jc w:val="center"/>
        <w:rPr>
          <w:rFonts w:ascii="Arial" w:hAnsi="Arial"/>
          <w:sz w:val="28"/>
          <w:rtl/>
        </w:rPr>
      </w:pPr>
      <w:bookmarkStart w:id="4" w:name="LawTable_End"/>
      <w:bookmarkEnd w:id="4"/>
    </w:p>
    <w:p w14:paraId="4862B9D4" w14:textId="77777777" w:rsidR="0086557C" w:rsidRPr="0086557C" w:rsidRDefault="0086557C">
      <w:pPr>
        <w:spacing w:line="360" w:lineRule="auto"/>
        <w:jc w:val="center"/>
        <w:rPr>
          <w:rFonts w:ascii="Arial" w:hAnsi="Arial"/>
          <w:b/>
          <w:color w:val="FF0000"/>
          <w:sz w:val="28"/>
          <w:rtl/>
        </w:rPr>
      </w:pPr>
    </w:p>
    <w:p w14:paraId="0E7FD0DC" w14:textId="77777777" w:rsidR="00664D51" w:rsidRPr="00664D51" w:rsidRDefault="00664D51">
      <w:pPr>
        <w:spacing w:line="360" w:lineRule="auto"/>
        <w:jc w:val="center"/>
        <w:rPr>
          <w:rFonts w:ascii="Arial" w:hAnsi="Arial"/>
          <w:b/>
          <w:bCs/>
          <w:sz w:val="28"/>
          <w:szCs w:val="28"/>
          <w:rtl/>
        </w:rPr>
      </w:pPr>
      <w:r w:rsidRPr="0086557C">
        <w:rPr>
          <w:rFonts w:ascii="Arial" w:hAnsi="Arial"/>
          <w:b/>
          <w:color w:val="FF0000"/>
          <w:sz w:val="28"/>
          <w:rtl/>
        </w:rPr>
        <w:t>ם</w:t>
      </w:r>
    </w:p>
    <w:p w14:paraId="587C4F67" w14:textId="77777777" w:rsidR="00664D51" w:rsidRPr="00664D51" w:rsidRDefault="00664D51" w:rsidP="00664D51">
      <w:pPr>
        <w:spacing w:line="360" w:lineRule="auto"/>
        <w:jc w:val="center"/>
        <w:rPr>
          <w:rFonts w:ascii="Arial" w:hAnsi="Arial"/>
          <w:b/>
          <w:bCs/>
          <w:sz w:val="28"/>
          <w:szCs w:val="28"/>
          <w:u w:val="single"/>
          <w:rtl/>
        </w:rPr>
      </w:pPr>
      <w:bookmarkStart w:id="5" w:name="PsakDin"/>
      <w:bookmarkEnd w:id="0"/>
      <w:r w:rsidRPr="00664D51">
        <w:rPr>
          <w:rFonts w:ascii="Arial" w:hAnsi="Arial"/>
          <w:b/>
          <w:bCs/>
          <w:sz w:val="28"/>
          <w:szCs w:val="28"/>
          <w:u w:val="single"/>
          <w:rtl/>
        </w:rPr>
        <w:t>גזר דין</w:t>
      </w:r>
    </w:p>
    <w:bookmarkEnd w:id="5"/>
    <w:p w14:paraId="33FF0733" w14:textId="77777777" w:rsidR="00077D56" w:rsidRDefault="00077D56">
      <w:pPr>
        <w:spacing w:line="360" w:lineRule="auto"/>
        <w:jc w:val="both"/>
        <w:rPr>
          <w:rFonts w:ascii="Arial" w:hAnsi="Arial"/>
        </w:rPr>
      </w:pPr>
    </w:p>
    <w:p w14:paraId="59C3EEC4" w14:textId="77777777" w:rsidR="00077D56" w:rsidRDefault="00664D51">
      <w:pPr>
        <w:spacing w:line="360" w:lineRule="auto"/>
        <w:jc w:val="both"/>
        <w:rPr>
          <w:sz w:val="28"/>
          <w:szCs w:val="28"/>
          <w:rtl/>
        </w:rPr>
      </w:pPr>
      <w:bookmarkStart w:id="6" w:name="ABSTRACT_START"/>
      <w:bookmarkEnd w:id="6"/>
      <w:r>
        <w:rPr>
          <w:rFonts w:hint="cs"/>
          <w:sz w:val="28"/>
          <w:szCs w:val="28"/>
          <w:rtl/>
        </w:rPr>
        <w:t>הנאשם הורשע על פי הודאתו בעבירות של סחר בסם מסוכן בצוותא, והחזקת סם לצריכה עצמית, כשהעובדות עולות מכתב האישום, והאירוע התרחש ביום 24.8.13.</w:t>
      </w:r>
    </w:p>
    <w:p w14:paraId="4CABBABB" w14:textId="77777777" w:rsidR="00077D56" w:rsidRDefault="00664D51">
      <w:pPr>
        <w:spacing w:line="360" w:lineRule="auto"/>
        <w:jc w:val="both"/>
        <w:rPr>
          <w:sz w:val="28"/>
          <w:szCs w:val="28"/>
          <w:rtl/>
        </w:rPr>
      </w:pPr>
      <w:r>
        <w:rPr>
          <w:rFonts w:hint="cs"/>
          <w:sz w:val="28"/>
          <w:szCs w:val="28"/>
          <w:rtl/>
        </w:rPr>
        <w:t xml:space="preserve">לאחר הודית הנאשם ובמסגרת הסדר טיעון שהושג בין הצדדים, נשלח לשירות המבחן על מנת לבדוק המלצה לענישה בעניינו, והתקבלו מספר תסקירים הקשורים בו. </w:t>
      </w:r>
    </w:p>
    <w:p w14:paraId="7327767E" w14:textId="77777777" w:rsidR="00077D56" w:rsidRDefault="00664D51">
      <w:pPr>
        <w:spacing w:line="360" w:lineRule="auto"/>
        <w:jc w:val="both"/>
        <w:rPr>
          <w:sz w:val="28"/>
          <w:szCs w:val="28"/>
          <w:rtl/>
        </w:rPr>
      </w:pPr>
      <w:bookmarkStart w:id="7" w:name="ABSTRACT_END"/>
      <w:bookmarkEnd w:id="7"/>
      <w:r>
        <w:rPr>
          <w:rFonts w:hint="cs"/>
          <w:sz w:val="28"/>
          <w:szCs w:val="28"/>
          <w:rtl/>
        </w:rPr>
        <w:lastRenderedPageBreak/>
        <w:t>מהתסקירים עולה כי הנאשם יליד 1983, היה מעורב בעבר בעבירות אחרות, הוא נטל חלק בעבירות הסם בשל נסיבות אישיות, אולם, הוא לקח על עצמו את האחריות, הבין את הפסול שבמעשה, והשתלב בקבוצה טיפולית בצורה מספקת.</w:t>
      </w:r>
    </w:p>
    <w:p w14:paraId="4BF9A274" w14:textId="77777777" w:rsidR="00077D56" w:rsidRDefault="00664D51">
      <w:pPr>
        <w:spacing w:line="360" w:lineRule="auto"/>
        <w:jc w:val="both"/>
        <w:rPr>
          <w:sz w:val="28"/>
          <w:szCs w:val="28"/>
          <w:rtl/>
        </w:rPr>
      </w:pPr>
      <w:r>
        <w:rPr>
          <w:rFonts w:hint="cs"/>
          <w:sz w:val="28"/>
          <w:szCs w:val="28"/>
          <w:rtl/>
        </w:rPr>
        <w:t>קצינת המבחן התרשמה כי יש מקום ללכת לקראתו ולהקל בענישה.</w:t>
      </w:r>
    </w:p>
    <w:p w14:paraId="42DA1E86" w14:textId="77777777" w:rsidR="00077D56" w:rsidRDefault="00664D51">
      <w:pPr>
        <w:spacing w:line="360" w:lineRule="auto"/>
        <w:jc w:val="both"/>
        <w:rPr>
          <w:sz w:val="28"/>
          <w:szCs w:val="28"/>
          <w:rtl/>
        </w:rPr>
      </w:pPr>
      <w:r>
        <w:rPr>
          <w:rFonts w:hint="cs"/>
          <w:sz w:val="28"/>
          <w:szCs w:val="28"/>
          <w:rtl/>
        </w:rPr>
        <w:t xml:space="preserve">לאור תסקירי שירות המבחן, וההמלצות שהתקבלו, כמו גם ההליך הטיפולי שעבר הנאשם והעדר עבירות נוספות (למעט הרשעה מאוחרת בעבירות שבוצעו קודם לכן), הסכימו הצדדים על ענישה בדרך של עבודות שירות, כאשר התביעה ביקשה לגזור עליו את העונש המקסימלי, ובנוסף רכיבי ענישה נלווים, בעוד שהסנגור ביקש כי בימ"ש יתחשב בתקופת מעצרו במשך כחודשיים, ויפחית אותם מתקופת עבודות השירות, וזאת בהתחשב גם באחידות הענישה ובעונש שהושת על הקטין שהיה שותפו לביצוע העבירה </w:t>
      </w:r>
      <w:r>
        <w:rPr>
          <w:sz w:val="28"/>
          <w:szCs w:val="28"/>
          <w:rtl/>
        </w:rPr>
        <w:t>–</w:t>
      </w:r>
      <w:r>
        <w:rPr>
          <w:rFonts w:hint="cs"/>
          <w:sz w:val="28"/>
          <w:szCs w:val="28"/>
          <w:rtl/>
        </w:rPr>
        <w:t xml:space="preserve"> שלדבריו, לא הורשע בביצוע העבירות. </w:t>
      </w:r>
    </w:p>
    <w:p w14:paraId="44D1C11D" w14:textId="77777777" w:rsidR="00077D56" w:rsidRDefault="00664D51">
      <w:pPr>
        <w:spacing w:line="360" w:lineRule="auto"/>
        <w:jc w:val="both"/>
        <w:rPr>
          <w:sz w:val="28"/>
          <w:szCs w:val="28"/>
          <w:rtl/>
        </w:rPr>
      </w:pPr>
      <w:r>
        <w:rPr>
          <w:rFonts w:hint="cs"/>
          <w:sz w:val="28"/>
          <w:szCs w:val="28"/>
          <w:rtl/>
        </w:rPr>
        <w:t>אין ספק כי עבירות הסמים והעיסוק בהם הן רעה חולה אשר יש להילחם בה בכל דרך שהיא, ולאורך הפסיקה ניתן למצוא ענישה מכבידה וממשית כלפי מי שביצע עבירות אלה.</w:t>
      </w:r>
    </w:p>
    <w:p w14:paraId="3DEA457C" w14:textId="77777777" w:rsidR="00077D56" w:rsidRDefault="00664D51">
      <w:pPr>
        <w:spacing w:line="360" w:lineRule="auto"/>
        <w:jc w:val="both"/>
        <w:rPr>
          <w:sz w:val="28"/>
          <w:szCs w:val="28"/>
          <w:rtl/>
        </w:rPr>
      </w:pPr>
      <w:r>
        <w:rPr>
          <w:rFonts w:hint="cs"/>
          <w:sz w:val="28"/>
          <w:szCs w:val="28"/>
          <w:rtl/>
        </w:rPr>
        <w:t>צודקת ב"כ המאשימה כי מתחם העונש המקובל בדרך כלל, אינו כולל עבודות שירות ולטעמי הוא נע בין 7 חודשי מאסר בפועל ועד 18 חודשי מאסר בפועל בהתאם לטיב הסם, כמותו והנסיבות בהן בוצעו העבירות בו.</w:t>
      </w:r>
    </w:p>
    <w:p w14:paraId="5F78789E" w14:textId="77777777" w:rsidR="00077D56" w:rsidRDefault="00664D51">
      <w:pPr>
        <w:spacing w:line="360" w:lineRule="auto"/>
        <w:jc w:val="both"/>
        <w:rPr>
          <w:sz w:val="28"/>
          <w:szCs w:val="28"/>
          <w:rtl/>
        </w:rPr>
      </w:pPr>
      <w:r>
        <w:rPr>
          <w:rFonts w:hint="cs"/>
          <w:sz w:val="28"/>
          <w:szCs w:val="28"/>
          <w:rtl/>
        </w:rPr>
        <w:t>כאשר שוקלים את הנסיבות לא ניתן להתעלם מתסקירי שירות המבחן.</w:t>
      </w:r>
    </w:p>
    <w:p w14:paraId="2BB825AF" w14:textId="77777777" w:rsidR="00077D56" w:rsidRDefault="00664D51">
      <w:pPr>
        <w:spacing w:line="360" w:lineRule="auto"/>
        <w:jc w:val="both"/>
        <w:rPr>
          <w:sz w:val="28"/>
          <w:szCs w:val="28"/>
          <w:rtl/>
        </w:rPr>
      </w:pPr>
      <w:r>
        <w:rPr>
          <w:rFonts w:hint="cs"/>
          <w:sz w:val="28"/>
          <w:szCs w:val="28"/>
          <w:rtl/>
        </w:rPr>
        <w:t xml:space="preserve">ברור כי הנאשם הבין כי מעשיו היו פסולים. הנאשם לקח חלק בהליך טיפולי ארוך ומשמעותי, ולא חזר עוד להשתמש בסמים ולבצע עבירות. </w:t>
      </w:r>
    </w:p>
    <w:p w14:paraId="528A6DB6" w14:textId="77777777" w:rsidR="00077D56" w:rsidRDefault="00664D51">
      <w:pPr>
        <w:spacing w:line="360" w:lineRule="auto"/>
        <w:jc w:val="both"/>
        <w:rPr>
          <w:sz w:val="28"/>
          <w:szCs w:val="28"/>
          <w:rtl/>
        </w:rPr>
      </w:pPr>
      <w:r>
        <w:rPr>
          <w:rFonts w:hint="cs"/>
          <w:sz w:val="28"/>
          <w:szCs w:val="28"/>
          <w:rtl/>
        </w:rPr>
        <w:t>הנאשם הודה במעשים המיוחסים לו באופן מיידי, אף ללא תיקון כתב אישום, לקח אחריות וחסך זמן יקר מכל אלו שהיו אמורים להיות מעורבים בתיק.</w:t>
      </w:r>
    </w:p>
    <w:p w14:paraId="239FAF5E" w14:textId="77777777" w:rsidR="00077D56" w:rsidRDefault="00664D51">
      <w:pPr>
        <w:spacing w:line="360" w:lineRule="auto"/>
        <w:jc w:val="both"/>
        <w:rPr>
          <w:sz w:val="28"/>
          <w:szCs w:val="28"/>
          <w:rtl/>
        </w:rPr>
      </w:pPr>
      <w:r>
        <w:rPr>
          <w:rFonts w:hint="cs"/>
          <w:sz w:val="28"/>
          <w:szCs w:val="28"/>
          <w:rtl/>
        </w:rPr>
        <w:t>הרשעותיו האחרות של הנאשם אינן מתחום הסמים וזוהי הרשעה יחידה, כאשר הסנגור תיאר את המעשה כמעשה יחיד, ואף ציין את הנסיבות בהן האחר שלקח חלק באותן עבירות, נדון לאי הרשעה בהיותו קטין.</w:t>
      </w:r>
    </w:p>
    <w:p w14:paraId="4017713B" w14:textId="77777777" w:rsidR="00077D56" w:rsidRDefault="00664D51">
      <w:pPr>
        <w:spacing w:line="360" w:lineRule="auto"/>
        <w:jc w:val="both"/>
        <w:rPr>
          <w:sz w:val="28"/>
          <w:szCs w:val="28"/>
          <w:rtl/>
        </w:rPr>
      </w:pPr>
      <w:r>
        <w:rPr>
          <w:rFonts w:hint="cs"/>
          <w:sz w:val="28"/>
          <w:szCs w:val="28"/>
          <w:rtl/>
        </w:rPr>
        <w:t>שקלתי מהי הענישה הנדרשת וזאת גם בהתחשב ביתר הנסיבות העולות מהתסקירים, המלצת קצינת המבחן שהיתה בקשר עם הנאשם, העובדה כי קיימים רכיבי ענישה כספיים, ולאור כל אלה נראה לי כי יש מקום ללכת לקראתו של הנאשם, ולנוכח פוטנציאל השיקום הטמון בו יש מקום לסטות מהמתחם, לא להטיל עליו עונש של מאסר של ממש, אלא עונש בעבודות שירות.</w:t>
      </w:r>
    </w:p>
    <w:p w14:paraId="5E5FB43B" w14:textId="77777777" w:rsidR="00077D56" w:rsidRDefault="00664D51">
      <w:pPr>
        <w:spacing w:line="360" w:lineRule="auto"/>
        <w:jc w:val="both"/>
        <w:rPr>
          <w:sz w:val="28"/>
          <w:szCs w:val="28"/>
          <w:rtl/>
        </w:rPr>
      </w:pPr>
      <w:r>
        <w:rPr>
          <w:rFonts w:hint="cs"/>
          <w:sz w:val="28"/>
          <w:szCs w:val="28"/>
          <w:rtl/>
        </w:rPr>
        <w:lastRenderedPageBreak/>
        <w:t>עם זאת, ההתחשבות הינה ברמת הענישה, אולם לטעמי יש מקום לענישה של מלוא התקופה האפשרית לריצוי העונש בעבודות שירות, ואני גוזרת עליו את העונשים הבאים:</w:t>
      </w:r>
    </w:p>
    <w:p w14:paraId="1892266F" w14:textId="77777777" w:rsidR="00077D56" w:rsidRDefault="00077D56">
      <w:pPr>
        <w:spacing w:line="360" w:lineRule="auto"/>
        <w:jc w:val="both"/>
        <w:rPr>
          <w:sz w:val="28"/>
          <w:szCs w:val="28"/>
          <w:rtl/>
        </w:rPr>
      </w:pPr>
    </w:p>
    <w:p w14:paraId="39D9327D" w14:textId="77777777" w:rsidR="00077D56" w:rsidRDefault="00664D51">
      <w:pPr>
        <w:spacing w:line="360" w:lineRule="auto"/>
        <w:ind w:left="720" w:hanging="720"/>
        <w:jc w:val="both"/>
        <w:rPr>
          <w:sz w:val="28"/>
          <w:szCs w:val="28"/>
          <w:rtl/>
        </w:rPr>
      </w:pPr>
      <w:r>
        <w:rPr>
          <w:rFonts w:hint="cs"/>
          <w:sz w:val="28"/>
          <w:szCs w:val="28"/>
          <w:rtl/>
        </w:rPr>
        <w:t>א.</w:t>
      </w:r>
      <w:r>
        <w:rPr>
          <w:rFonts w:hint="cs"/>
          <w:sz w:val="28"/>
          <w:szCs w:val="28"/>
          <w:rtl/>
        </w:rPr>
        <w:tab/>
        <w:t xml:space="preserve">6 חודשי מאסר שירוצו בעבודות שירות בהתאם לחוות דעת הממונה, ובהחלטה נפרדת. </w:t>
      </w:r>
    </w:p>
    <w:p w14:paraId="5C72A7CC" w14:textId="77777777" w:rsidR="00077D56" w:rsidRDefault="00077D56">
      <w:pPr>
        <w:spacing w:line="360" w:lineRule="auto"/>
        <w:jc w:val="both"/>
        <w:rPr>
          <w:sz w:val="28"/>
          <w:szCs w:val="28"/>
          <w:rtl/>
        </w:rPr>
      </w:pPr>
    </w:p>
    <w:p w14:paraId="359C1467" w14:textId="77777777" w:rsidR="00077D56" w:rsidRDefault="00664D51">
      <w:pPr>
        <w:spacing w:line="360" w:lineRule="auto"/>
        <w:ind w:left="720" w:hanging="720"/>
        <w:jc w:val="both"/>
        <w:rPr>
          <w:sz w:val="28"/>
          <w:szCs w:val="28"/>
          <w:rtl/>
        </w:rPr>
      </w:pPr>
      <w:r>
        <w:rPr>
          <w:rFonts w:hint="cs"/>
          <w:sz w:val="28"/>
          <w:szCs w:val="28"/>
          <w:rtl/>
        </w:rPr>
        <w:t>ב.</w:t>
      </w:r>
      <w:r>
        <w:rPr>
          <w:rFonts w:hint="cs"/>
          <w:sz w:val="28"/>
          <w:szCs w:val="28"/>
          <w:rtl/>
        </w:rPr>
        <w:tab/>
        <w:t xml:space="preserve">7 חודשי מאסר על תנאי לתקופה של 3 שנים, והתנאי הוא שהנאשם לא יעבור כל עבירה מסוג פשע, על </w:t>
      </w:r>
      <w:hyperlink r:id="rId7" w:history="1">
        <w:r w:rsidRPr="00664D51">
          <w:rPr>
            <w:color w:val="0000FF"/>
            <w:sz w:val="28"/>
            <w:szCs w:val="28"/>
            <w:u w:val="single"/>
            <w:rtl/>
          </w:rPr>
          <w:t>פקודת הסמים המסוכנים</w:t>
        </w:r>
      </w:hyperlink>
      <w:r>
        <w:rPr>
          <w:rFonts w:hint="cs"/>
          <w:sz w:val="28"/>
          <w:szCs w:val="28"/>
          <w:rtl/>
        </w:rPr>
        <w:t>.</w:t>
      </w:r>
    </w:p>
    <w:p w14:paraId="3FC77E59" w14:textId="77777777" w:rsidR="00077D56" w:rsidRDefault="00077D56">
      <w:pPr>
        <w:spacing w:line="360" w:lineRule="auto"/>
        <w:ind w:left="720" w:hanging="720"/>
        <w:jc w:val="both"/>
        <w:rPr>
          <w:sz w:val="28"/>
          <w:szCs w:val="28"/>
          <w:rtl/>
        </w:rPr>
      </w:pPr>
    </w:p>
    <w:p w14:paraId="6346E862" w14:textId="77777777" w:rsidR="00077D56" w:rsidRDefault="00664D51">
      <w:pPr>
        <w:spacing w:line="360" w:lineRule="auto"/>
        <w:ind w:left="720" w:hanging="720"/>
        <w:jc w:val="both"/>
        <w:rPr>
          <w:sz w:val="28"/>
          <w:szCs w:val="28"/>
          <w:rtl/>
        </w:rPr>
      </w:pPr>
      <w:r>
        <w:rPr>
          <w:rFonts w:hint="cs"/>
          <w:sz w:val="28"/>
          <w:szCs w:val="28"/>
          <w:rtl/>
        </w:rPr>
        <w:t>ג.</w:t>
      </w:r>
      <w:r>
        <w:rPr>
          <w:rFonts w:hint="cs"/>
          <w:sz w:val="28"/>
          <w:szCs w:val="28"/>
          <w:rtl/>
        </w:rPr>
        <w:tab/>
        <w:t xml:space="preserve">3 חודשי מאסר על תנאי, לתקופה של 3 שנים, והתנאי הוא שהנאשם לא יעבור כל עבירה מסוג עוון, על </w:t>
      </w:r>
      <w:hyperlink r:id="rId8" w:history="1">
        <w:r w:rsidRPr="00664D51">
          <w:rPr>
            <w:color w:val="0000FF"/>
            <w:sz w:val="28"/>
            <w:szCs w:val="28"/>
            <w:u w:val="single"/>
            <w:rtl/>
          </w:rPr>
          <w:t>פקודת הסמים המסוכנים</w:t>
        </w:r>
      </w:hyperlink>
      <w:r>
        <w:rPr>
          <w:rFonts w:hint="cs"/>
          <w:sz w:val="28"/>
          <w:szCs w:val="28"/>
          <w:rtl/>
        </w:rPr>
        <w:t>.</w:t>
      </w:r>
    </w:p>
    <w:p w14:paraId="324DDF74" w14:textId="77777777" w:rsidR="00077D56" w:rsidRDefault="00077D56">
      <w:pPr>
        <w:spacing w:line="360" w:lineRule="auto"/>
        <w:ind w:left="720" w:hanging="720"/>
        <w:jc w:val="both"/>
        <w:rPr>
          <w:sz w:val="28"/>
          <w:szCs w:val="28"/>
          <w:rtl/>
        </w:rPr>
      </w:pPr>
    </w:p>
    <w:p w14:paraId="70823589" w14:textId="77777777" w:rsidR="00077D56" w:rsidRDefault="00664D51">
      <w:pPr>
        <w:spacing w:line="360" w:lineRule="auto"/>
        <w:ind w:left="720" w:hanging="720"/>
        <w:rPr>
          <w:sz w:val="28"/>
          <w:szCs w:val="28"/>
          <w:rtl/>
        </w:rPr>
      </w:pPr>
      <w:r>
        <w:rPr>
          <w:rFonts w:hint="cs"/>
          <w:sz w:val="28"/>
          <w:szCs w:val="28"/>
          <w:rtl/>
        </w:rPr>
        <w:t>ד.</w:t>
      </w:r>
      <w:r>
        <w:rPr>
          <w:rFonts w:hint="cs"/>
          <w:sz w:val="28"/>
          <w:szCs w:val="28"/>
          <w:rtl/>
        </w:rPr>
        <w:tab/>
        <w:t xml:space="preserve">מורה על חילוט סך של 7,500 ₪ אשר הופקדו בקופת בית המשפט במסגרת </w:t>
      </w:r>
    </w:p>
    <w:p w14:paraId="4E4CC526" w14:textId="77777777" w:rsidR="00077D56" w:rsidRDefault="00664D51">
      <w:pPr>
        <w:spacing w:line="360" w:lineRule="auto"/>
        <w:ind w:left="720"/>
        <w:jc w:val="both"/>
        <w:rPr>
          <w:sz w:val="28"/>
          <w:szCs w:val="28"/>
          <w:rtl/>
        </w:rPr>
      </w:pPr>
      <w:hyperlink r:id="rId9" w:history="1">
        <w:r w:rsidRPr="00664D51">
          <w:rPr>
            <w:color w:val="0000FF"/>
            <w:sz w:val="28"/>
            <w:szCs w:val="28"/>
            <w:u w:val="single"/>
            <w:rtl/>
          </w:rPr>
          <w:t>ה"ת 48175-10-13</w:t>
        </w:r>
      </w:hyperlink>
      <w:r>
        <w:rPr>
          <w:rFonts w:hint="cs"/>
          <w:sz w:val="28"/>
          <w:szCs w:val="28"/>
          <w:rtl/>
        </w:rPr>
        <w:t xml:space="preserve"> ביום 10.11.13.</w:t>
      </w:r>
    </w:p>
    <w:p w14:paraId="723430B9" w14:textId="77777777" w:rsidR="00077D56" w:rsidRDefault="00077D56">
      <w:pPr>
        <w:spacing w:line="360" w:lineRule="auto"/>
        <w:ind w:left="720" w:hanging="720"/>
        <w:jc w:val="both"/>
        <w:rPr>
          <w:sz w:val="28"/>
          <w:szCs w:val="28"/>
          <w:rtl/>
        </w:rPr>
      </w:pPr>
    </w:p>
    <w:p w14:paraId="573E14F4" w14:textId="77777777" w:rsidR="00077D56" w:rsidRDefault="00664D51">
      <w:pPr>
        <w:spacing w:line="360" w:lineRule="auto"/>
        <w:ind w:left="720" w:hanging="720"/>
        <w:jc w:val="both"/>
        <w:rPr>
          <w:sz w:val="28"/>
          <w:szCs w:val="28"/>
          <w:rtl/>
        </w:rPr>
      </w:pPr>
      <w:r>
        <w:rPr>
          <w:rFonts w:hint="cs"/>
          <w:sz w:val="28"/>
          <w:szCs w:val="28"/>
          <w:rtl/>
        </w:rPr>
        <w:t>ה.</w:t>
      </w:r>
      <w:r>
        <w:rPr>
          <w:rFonts w:hint="cs"/>
          <w:sz w:val="28"/>
          <w:szCs w:val="28"/>
          <w:rtl/>
        </w:rPr>
        <w:tab/>
        <w:t>קנס בסך 2,500 ₪ שישולם עד יום 10.11.15.</w:t>
      </w:r>
    </w:p>
    <w:p w14:paraId="03B6B647" w14:textId="77777777" w:rsidR="00077D56" w:rsidRDefault="00664D51">
      <w:pPr>
        <w:spacing w:line="360" w:lineRule="auto"/>
        <w:ind w:left="720" w:hanging="720"/>
        <w:jc w:val="both"/>
        <w:rPr>
          <w:sz w:val="28"/>
          <w:szCs w:val="28"/>
          <w:rtl/>
        </w:rPr>
      </w:pPr>
      <w:r>
        <w:rPr>
          <w:sz w:val="28"/>
          <w:szCs w:val="28"/>
          <w:rtl/>
        </w:rPr>
        <w:tab/>
      </w:r>
      <w:r>
        <w:rPr>
          <w:rFonts w:hint="cs"/>
          <w:sz w:val="28"/>
          <w:szCs w:val="28"/>
          <w:rtl/>
        </w:rPr>
        <w:t xml:space="preserve">לא ישולם הקנס במועדו ירצה הנאשם 30 ימי מאסר תמורתו. </w:t>
      </w:r>
    </w:p>
    <w:p w14:paraId="137B68E9" w14:textId="77777777" w:rsidR="00077D56" w:rsidRDefault="00664D51">
      <w:pPr>
        <w:spacing w:line="360" w:lineRule="auto"/>
        <w:ind w:left="720"/>
        <w:jc w:val="both"/>
        <w:rPr>
          <w:sz w:val="28"/>
          <w:szCs w:val="28"/>
          <w:rtl/>
        </w:rPr>
      </w:pPr>
      <w:r>
        <w:rPr>
          <w:rFonts w:hint="cs"/>
          <w:sz w:val="28"/>
          <w:szCs w:val="28"/>
          <w:rtl/>
        </w:rPr>
        <w:t xml:space="preserve">כספים שהופקדו בתיק </w:t>
      </w:r>
      <w:hyperlink r:id="rId10" w:history="1">
        <w:r w:rsidRPr="00664D51">
          <w:rPr>
            <w:color w:val="0000FF"/>
            <w:sz w:val="28"/>
            <w:szCs w:val="28"/>
            <w:u w:val="single"/>
            <w:rtl/>
          </w:rPr>
          <w:t>מ"ת 44011-08-13</w:t>
        </w:r>
      </w:hyperlink>
      <w:r>
        <w:rPr>
          <w:rFonts w:hint="cs"/>
          <w:sz w:val="28"/>
          <w:szCs w:val="28"/>
          <w:rtl/>
        </w:rPr>
        <w:t xml:space="preserve"> מיום 13.10.13, יוחזרו למפקיד. </w:t>
      </w:r>
    </w:p>
    <w:p w14:paraId="00745F15" w14:textId="77777777" w:rsidR="00077D56" w:rsidRDefault="00077D56">
      <w:pPr>
        <w:spacing w:line="360" w:lineRule="auto"/>
        <w:ind w:left="720"/>
        <w:jc w:val="both"/>
        <w:rPr>
          <w:sz w:val="28"/>
          <w:szCs w:val="28"/>
          <w:rtl/>
        </w:rPr>
      </w:pPr>
    </w:p>
    <w:p w14:paraId="0B705118" w14:textId="77777777" w:rsidR="00077D56" w:rsidRDefault="00664D51">
      <w:pPr>
        <w:spacing w:line="360" w:lineRule="auto"/>
        <w:ind w:left="720" w:hanging="720"/>
        <w:jc w:val="both"/>
        <w:rPr>
          <w:sz w:val="28"/>
          <w:szCs w:val="28"/>
          <w:rtl/>
        </w:rPr>
      </w:pPr>
      <w:r>
        <w:rPr>
          <w:rFonts w:hint="cs"/>
          <w:sz w:val="28"/>
          <w:szCs w:val="28"/>
          <w:rtl/>
        </w:rPr>
        <w:t>ו.</w:t>
      </w:r>
      <w:r>
        <w:rPr>
          <w:sz w:val="28"/>
          <w:szCs w:val="28"/>
          <w:rtl/>
        </w:rPr>
        <w:tab/>
      </w:r>
      <w:r>
        <w:rPr>
          <w:rFonts w:hint="cs"/>
          <w:sz w:val="28"/>
          <w:szCs w:val="28"/>
          <w:rtl/>
        </w:rPr>
        <w:t xml:space="preserve">3 חודשי פסילת רישיון נהיגה על תנאי לתקופה של 3 שנים, והתנאי הוא שהנאשם לא יעבור כל עבירה על </w:t>
      </w:r>
      <w:hyperlink r:id="rId11" w:history="1">
        <w:r w:rsidRPr="00664D51">
          <w:rPr>
            <w:color w:val="0000FF"/>
            <w:sz w:val="28"/>
            <w:szCs w:val="28"/>
            <w:u w:val="single"/>
            <w:rtl/>
          </w:rPr>
          <w:t>פקודת הסמים המסוכנים</w:t>
        </w:r>
      </w:hyperlink>
      <w:r>
        <w:rPr>
          <w:rFonts w:hint="cs"/>
          <w:sz w:val="28"/>
          <w:szCs w:val="28"/>
          <w:rtl/>
        </w:rPr>
        <w:t xml:space="preserve">. </w:t>
      </w:r>
    </w:p>
    <w:p w14:paraId="6EE3BC7D" w14:textId="77777777" w:rsidR="00077D56" w:rsidRDefault="00077D56">
      <w:pPr>
        <w:spacing w:line="360" w:lineRule="auto"/>
        <w:ind w:left="720" w:hanging="720"/>
        <w:rPr>
          <w:sz w:val="28"/>
          <w:szCs w:val="28"/>
          <w:rtl/>
        </w:rPr>
      </w:pPr>
    </w:p>
    <w:p w14:paraId="31C30AA6" w14:textId="77777777" w:rsidR="00077D56" w:rsidRDefault="00664D51">
      <w:pPr>
        <w:spacing w:line="360" w:lineRule="auto"/>
        <w:ind w:left="720" w:hanging="720"/>
        <w:rPr>
          <w:sz w:val="28"/>
          <w:szCs w:val="28"/>
          <w:rtl/>
        </w:rPr>
      </w:pPr>
      <w:r>
        <w:rPr>
          <w:rFonts w:hint="cs"/>
          <w:sz w:val="28"/>
          <w:szCs w:val="28"/>
          <w:rtl/>
        </w:rPr>
        <w:t>ז.</w:t>
      </w:r>
      <w:r>
        <w:rPr>
          <w:rFonts w:hint="cs"/>
          <w:sz w:val="28"/>
          <w:szCs w:val="28"/>
          <w:rtl/>
        </w:rPr>
        <w:tab/>
        <w:t>מורה על השמדת הסמים.</w:t>
      </w:r>
    </w:p>
    <w:p w14:paraId="227C4E82" w14:textId="77777777" w:rsidR="00077D56" w:rsidRDefault="00664D51">
      <w:pPr>
        <w:spacing w:line="360" w:lineRule="auto"/>
        <w:ind w:left="720"/>
        <w:jc w:val="both"/>
        <w:rPr>
          <w:sz w:val="28"/>
          <w:szCs w:val="28"/>
          <w:rtl/>
        </w:rPr>
      </w:pPr>
      <w:r>
        <w:rPr>
          <w:rFonts w:hint="cs"/>
          <w:sz w:val="28"/>
          <w:szCs w:val="28"/>
          <w:rtl/>
        </w:rPr>
        <w:t>מוצגים בתיק יוחזרו לבעליהם, ובהעדר בעלים יחולטו או יושמדו בהתאם לשיקול דעת המשטרה.</w:t>
      </w:r>
    </w:p>
    <w:p w14:paraId="15DCA0A7" w14:textId="77777777" w:rsidR="00077D56" w:rsidRDefault="00664D51">
      <w:pPr>
        <w:spacing w:line="360" w:lineRule="auto"/>
        <w:rPr>
          <w:sz w:val="28"/>
          <w:szCs w:val="28"/>
          <w:rtl/>
        </w:rPr>
      </w:pPr>
      <w:r>
        <w:rPr>
          <w:sz w:val="28"/>
          <w:szCs w:val="28"/>
          <w:rtl/>
        </w:rPr>
        <w:tab/>
      </w:r>
      <w:r>
        <w:rPr>
          <w:rFonts w:hint="cs"/>
          <w:sz w:val="28"/>
          <w:szCs w:val="28"/>
          <w:rtl/>
        </w:rPr>
        <w:t>מכשיר טלפון שנתפס אצל הנאשם יוחזר לו.</w:t>
      </w:r>
    </w:p>
    <w:p w14:paraId="4C0BEED3" w14:textId="77777777" w:rsidR="00077D56" w:rsidRDefault="00077D56">
      <w:pPr>
        <w:spacing w:line="360" w:lineRule="auto"/>
      </w:pPr>
    </w:p>
    <w:p w14:paraId="00D5EB6C" w14:textId="77777777" w:rsidR="00077D56" w:rsidRDefault="00664D51">
      <w:pPr>
        <w:rPr>
          <w:sz w:val="6"/>
          <w:szCs w:val="6"/>
        </w:rPr>
      </w:pPr>
      <w:r>
        <w:rPr>
          <w:sz w:val="6"/>
          <w:szCs w:val="6"/>
          <w:rtl/>
        </w:rPr>
        <w:t>&lt;#4#&gt;</w:t>
      </w:r>
    </w:p>
    <w:p w14:paraId="29B54EC0" w14:textId="77777777" w:rsidR="00077D56" w:rsidRDefault="00077D56">
      <w:pPr>
        <w:jc w:val="right"/>
        <w:rPr>
          <w:rtl/>
        </w:rPr>
      </w:pPr>
    </w:p>
    <w:p w14:paraId="2B9ADE4A" w14:textId="77777777" w:rsidR="00077D56" w:rsidRDefault="00664D51">
      <w:pPr>
        <w:spacing w:line="360" w:lineRule="auto"/>
        <w:rPr>
          <w:rtl/>
        </w:rPr>
      </w:pPr>
      <w:r>
        <w:rPr>
          <w:rFonts w:hint="cs"/>
          <w:b/>
          <w:bCs/>
          <w:rtl/>
        </w:rPr>
        <w:t xml:space="preserve">ניתנה והודעה היום </w:t>
      </w:r>
      <w:r>
        <w:rPr>
          <w:rFonts w:hint="cs"/>
          <w:rtl/>
        </w:rPr>
        <w:t>ג' תשרי תשע"ו</w:t>
      </w:r>
      <w:r>
        <w:rPr>
          <w:rFonts w:hint="cs"/>
          <w:b/>
          <w:bCs/>
          <w:rtl/>
        </w:rPr>
        <w:t xml:space="preserve">, </w:t>
      </w:r>
      <w:r>
        <w:rPr>
          <w:rFonts w:hint="cs"/>
          <w:rtl/>
        </w:rPr>
        <w:t>16/09/2015</w:t>
      </w:r>
      <w:r>
        <w:rPr>
          <w:rFonts w:hint="cs"/>
          <w:b/>
          <w:bCs/>
          <w:rtl/>
        </w:rPr>
        <w:t xml:space="preserve"> במעמד הנוכחים.</w:t>
      </w:r>
    </w:p>
    <w:p w14:paraId="6F4E873F" w14:textId="77777777" w:rsidR="00077D56" w:rsidRDefault="00077D5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77D56" w14:paraId="65E47347" w14:textId="77777777">
        <w:trPr>
          <w:trHeight w:val="364"/>
          <w:jc w:val="right"/>
        </w:trPr>
        <w:tc>
          <w:tcPr>
            <w:tcW w:w="3708" w:type="dxa"/>
            <w:shd w:val="clear" w:color="auto" w:fill="auto"/>
          </w:tcPr>
          <w:p w14:paraId="32A77396" w14:textId="77777777" w:rsidR="00077D56" w:rsidRDefault="00077D56">
            <w:pPr>
              <w:jc w:val="center"/>
              <w:rPr>
                <w:rFonts w:ascii="Times New Roman" w:eastAsia="Times New Roman" w:hAnsi="Times New Roman" w:cs="Times New Roman"/>
              </w:rPr>
            </w:pPr>
          </w:p>
          <w:p w14:paraId="5D0A0EBE" w14:textId="77777777" w:rsidR="00077D56" w:rsidRDefault="00077D56">
            <w:pPr>
              <w:jc w:val="center"/>
              <w:rPr>
                <w:rFonts w:ascii="Times New Roman" w:eastAsia="Times New Roman" w:hAnsi="Times New Roman" w:cs="Times New Roman"/>
                <w:rtl/>
              </w:rPr>
            </w:pPr>
          </w:p>
        </w:tc>
      </w:tr>
      <w:tr w:rsidR="00077D56" w14:paraId="65B48A32" w14:textId="77777777">
        <w:trPr>
          <w:trHeight w:val="415"/>
          <w:jc w:val="right"/>
        </w:trPr>
        <w:tc>
          <w:tcPr>
            <w:tcW w:w="3708" w:type="dxa"/>
            <w:shd w:val="clear" w:color="auto" w:fill="auto"/>
          </w:tcPr>
          <w:p w14:paraId="082745FC" w14:textId="77777777" w:rsidR="00077D56" w:rsidRDefault="00664D51">
            <w:pPr>
              <w:jc w:val="center"/>
              <w:rPr>
                <w:rFonts w:ascii="Times New Roman" w:eastAsia="Times New Roman" w:hAnsi="Times New Roman"/>
                <w:b/>
                <w:bCs/>
                <w:rtl/>
              </w:rPr>
            </w:pPr>
            <w:r>
              <w:rPr>
                <w:rFonts w:ascii="Times New Roman" w:eastAsia="Times New Roman" w:hAnsi="Times New Roman" w:hint="cs"/>
                <w:b/>
                <w:bCs/>
                <w:rtl/>
              </w:rPr>
              <w:t>גלית ציגלר, שופטת בכירה</w:t>
            </w:r>
          </w:p>
        </w:tc>
      </w:tr>
    </w:tbl>
    <w:p w14:paraId="5A267C1A" w14:textId="77777777" w:rsidR="00077D56" w:rsidRDefault="00077D56">
      <w:pPr>
        <w:jc w:val="right"/>
        <w:rPr>
          <w:rtl/>
        </w:rPr>
      </w:pPr>
    </w:p>
    <w:p w14:paraId="1173C66B" w14:textId="77777777" w:rsidR="00077D56" w:rsidRDefault="00077D56">
      <w:pPr>
        <w:jc w:val="center"/>
        <w:rPr>
          <w:rtl/>
        </w:rPr>
      </w:pPr>
    </w:p>
    <w:p w14:paraId="218FA99A" w14:textId="77777777" w:rsidR="00077D56" w:rsidRDefault="00664D51">
      <w:pPr>
        <w:bidi w:val="0"/>
        <w:rPr>
          <w:rFonts w:ascii="Calibri" w:hAnsi="Calibri"/>
        </w:rPr>
      </w:pPr>
      <w:r>
        <w:rPr>
          <w:rtl/>
        </w:rPr>
        <w:br w:type="page"/>
      </w:r>
    </w:p>
    <w:p w14:paraId="1F6A2B4D" w14:textId="77777777" w:rsidR="00077D56" w:rsidRDefault="00077D56">
      <w:pPr>
        <w:jc w:val="center"/>
        <w:rPr>
          <w:rtl/>
        </w:rPr>
      </w:pPr>
    </w:p>
    <w:p w14:paraId="470BDED9" w14:textId="77777777" w:rsidR="00077D56" w:rsidRDefault="00664D51">
      <w:pPr>
        <w:jc w:val="both"/>
      </w:pPr>
      <w:r>
        <w:rPr>
          <w:rtl/>
        </w:rPr>
        <w:t xml:space="preserve"> </w:t>
      </w:r>
    </w:p>
    <w:p w14:paraId="2D70F550" w14:textId="77777777" w:rsidR="00077D56" w:rsidRDefault="00664D51">
      <w:pPr>
        <w:jc w:val="both"/>
        <w:rPr>
          <w:sz w:val="6"/>
          <w:szCs w:val="6"/>
        </w:rPr>
      </w:pPr>
      <w:r>
        <w:rPr>
          <w:sz w:val="6"/>
          <w:szCs w:val="6"/>
          <w:rtl/>
        </w:rPr>
        <w:t>&lt;#5#&gt;</w:t>
      </w:r>
    </w:p>
    <w:p w14:paraId="617FC6AB" w14:textId="77777777" w:rsidR="00077D56" w:rsidRDefault="00664D5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DF56855" w14:textId="77777777" w:rsidR="00077D56" w:rsidRDefault="00077D56">
      <w:pPr>
        <w:spacing w:line="360" w:lineRule="auto"/>
        <w:jc w:val="both"/>
        <w:rPr>
          <w:rtl/>
        </w:rPr>
      </w:pPr>
    </w:p>
    <w:p w14:paraId="4AB07964" w14:textId="77777777" w:rsidR="00077D56" w:rsidRDefault="00664D51">
      <w:pPr>
        <w:spacing w:line="360" w:lineRule="auto"/>
        <w:jc w:val="both"/>
        <w:rPr>
          <w:sz w:val="28"/>
          <w:szCs w:val="28"/>
          <w:rtl/>
        </w:rPr>
      </w:pPr>
      <w:r>
        <w:rPr>
          <w:rFonts w:hint="cs"/>
          <w:sz w:val="28"/>
          <w:szCs w:val="28"/>
          <w:rtl/>
        </w:rPr>
        <w:t xml:space="preserve">בהמשך לגזר הדין שניתן אני מורה כי הנאשם ירצה את עבודות השירות בחברת קדישא בחדרה ברחוב רוטשילד 19. על הנאשם לעבוד חמישה ימים בשבוע, 8 וחצי שעות בכל יום.   </w:t>
      </w:r>
    </w:p>
    <w:p w14:paraId="6F2DDC8C" w14:textId="77777777" w:rsidR="00077D56" w:rsidRDefault="00077D56">
      <w:pPr>
        <w:spacing w:line="360" w:lineRule="auto"/>
        <w:jc w:val="both"/>
        <w:rPr>
          <w:sz w:val="28"/>
          <w:szCs w:val="28"/>
          <w:rtl/>
        </w:rPr>
      </w:pPr>
    </w:p>
    <w:p w14:paraId="4D72E44A" w14:textId="77777777" w:rsidR="00077D56" w:rsidRDefault="00664D51">
      <w:pPr>
        <w:spacing w:line="360" w:lineRule="auto"/>
        <w:jc w:val="both"/>
        <w:rPr>
          <w:sz w:val="28"/>
          <w:szCs w:val="28"/>
          <w:rtl/>
        </w:rPr>
      </w:pPr>
      <w:r>
        <w:rPr>
          <w:rFonts w:hint="cs"/>
          <w:sz w:val="28"/>
          <w:szCs w:val="28"/>
          <w:rtl/>
        </w:rPr>
        <w:t>תשומת לב הנאשם כי עליו לעדכן את הממונה בכל שינוי בכתובתו, אם יהיה כזה, ועליו לדעת כי יתכנו ביקורי פתע וכל הפרה מצידו עלולה להביא להפסקה מינהלית ולריצוי עונש מאסר בפועל.</w:t>
      </w:r>
    </w:p>
    <w:p w14:paraId="4BACC76B" w14:textId="77777777" w:rsidR="00077D56" w:rsidRDefault="00077D56">
      <w:pPr>
        <w:spacing w:line="360" w:lineRule="auto"/>
        <w:jc w:val="both"/>
        <w:rPr>
          <w:sz w:val="28"/>
          <w:szCs w:val="28"/>
          <w:rtl/>
        </w:rPr>
      </w:pPr>
    </w:p>
    <w:p w14:paraId="3E6B3A39" w14:textId="77777777" w:rsidR="00077D56" w:rsidRDefault="00664D51">
      <w:pPr>
        <w:spacing w:line="360" w:lineRule="auto"/>
        <w:jc w:val="both"/>
        <w:rPr>
          <w:sz w:val="28"/>
          <w:szCs w:val="28"/>
          <w:rtl/>
        </w:rPr>
      </w:pPr>
      <w:r>
        <w:rPr>
          <w:rFonts w:hint="cs"/>
          <w:sz w:val="28"/>
          <w:szCs w:val="28"/>
          <w:rtl/>
        </w:rPr>
        <w:t xml:space="preserve">תחילת עבודות השירות ביום 4.11.15 ויש להתייצב בתחילת העבודות במפקדת מחוז צפון יחידת עבודות שירות רחוב הציונות 14 טבריה, בשעה 08:00 בבוקר. </w:t>
      </w:r>
    </w:p>
    <w:p w14:paraId="32A57B31" w14:textId="77777777" w:rsidR="00077D56" w:rsidRDefault="00077D56">
      <w:pPr>
        <w:spacing w:line="360" w:lineRule="auto"/>
        <w:jc w:val="both"/>
        <w:rPr>
          <w:sz w:val="28"/>
          <w:szCs w:val="28"/>
          <w:rtl/>
        </w:rPr>
      </w:pPr>
    </w:p>
    <w:p w14:paraId="1173E284" w14:textId="77777777" w:rsidR="00077D56" w:rsidRDefault="00664D51">
      <w:pPr>
        <w:spacing w:line="360" w:lineRule="auto"/>
        <w:jc w:val="both"/>
        <w:rPr>
          <w:b/>
          <w:bCs/>
          <w:sz w:val="28"/>
          <w:szCs w:val="28"/>
          <w:u w:val="single"/>
          <w:rtl/>
        </w:rPr>
      </w:pPr>
      <w:r>
        <w:rPr>
          <w:rFonts w:hint="cs"/>
          <w:b/>
          <w:bCs/>
          <w:sz w:val="28"/>
          <w:szCs w:val="28"/>
          <w:u w:val="single"/>
          <w:rtl/>
        </w:rPr>
        <w:t>זכות ערעור תוך 45 יום.</w:t>
      </w:r>
    </w:p>
    <w:p w14:paraId="25C5A205" w14:textId="77777777" w:rsidR="00077D56" w:rsidRDefault="00077D56">
      <w:pPr>
        <w:spacing w:line="360" w:lineRule="auto"/>
        <w:jc w:val="both"/>
        <w:rPr>
          <w:sz w:val="28"/>
          <w:szCs w:val="28"/>
          <w:rtl/>
        </w:rPr>
      </w:pPr>
    </w:p>
    <w:p w14:paraId="29E558E8" w14:textId="77777777" w:rsidR="00077D56" w:rsidRDefault="00664D51">
      <w:pPr>
        <w:jc w:val="both"/>
        <w:rPr>
          <w:sz w:val="6"/>
          <w:szCs w:val="6"/>
        </w:rPr>
      </w:pPr>
      <w:r>
        <w:rPr>
          <w:sz w:val="6"/>
          <w:szCs w:val="6"/>
          <w:rtl/>
        </w:rPr>
        <w:t>&lt;#6#&gt;</w:t>
      </w:r>
    </w:p>
    <w:p w14:paraId="5E9093DF" w14:textId="77777777" w:rsidR="00077D56" w:rsidRDefault="00077D56">
      <w:pPr>
        <w:jc w:val="right"/>
        <w:rPr>
          <w:rtl/>
        </w:rPr>
      </w:pPr>
    </w:p>
    <w:p w14:paraId="6B85B8D0" w14:textId="77777777" w:rsidR="00077D56" w:rsidRDefault="00664D51">
      <w:pPr>
        <w:jc w:val="center"/>
        <w:rPr>
          <w:rtl/>
        </w:rPr>
      </w:pPr>
      <w:r w:rsidRPr="00664D51">
        <w:rPr>
          <w:b/>
          <w:bCs/>
          <w:color w:val="FFFFFF"/>
          <w:sz w:val="2"/>
          <w:szCs w:val="2"/>
          <w:rtl/>
        </w:rPr>
        <w:t>5129371</w:t>
      </w:r>
      <w:r>
        <w:rPr>
          <w:b/>
          <w:bCs/>
          <w:rtl/>
        </w:rPr>
        <w:t xml:space="preserve">ניתנה והודעה היום ג' תשרי תשע"ו, 16/09/2015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77D56" w14:paraId="70E3FC32" w14:textId="77777777">
        <w:trPr>
          <w:trHeight w:val="364"/>
          <w:jc w:val="right"/>
        </w:trPr>
        <w:tc>
          <w:tcPr>
            <w:tcW w:w="3708" w:type="dxa"/>
            <w:shd w:val="clear" w:color="auto" w:fill="auto"/>
          </w:tcPr>
          <w:p w14:paraId="040FE57F" w14:textId="77777777" w:rsidR="00077D56" w:rsidRPr="00664D51" w:rsidRDefault="00664D51">
            <w:pPr>
              <w:jc w:val="center"/>
              <w:rPr>
                <w:rFonts w:ascii="Times New Roman" w:eastAsia="Times New Roman" w:hAnsi="Times New Roman" w:cs="Times New Roman"/>
                <w:color w:val="FFFFFF"/>
                <w:sz w:val="2"/>
                <w:szCs w:val="2"/>
                <w:rtl/>
              </w:rPr>
            </w:pPr>
            <w:r w:rsidRPr="00664D51">
              <w:rPr>
                <w:rFonts w:ascii="Times New Roman" w:eastAsia="Times New Roman" w:hAnsi="Times New Roman" w:cs="Times New Roman"/>
                <w:color w:val="FFFFFF"/>
                <w:sz w:val="2"/>
                <w:szCs w:val="2"/>
                <w:rtl/>
              </w:rPr>
              <w:t>54678313</w:t>
            </w:r>
          </w:p>
        </w:tc>
      </w:tr>
      <w:tr w:rsidR="00077D56" w14:paraId="71D2468C" w14:textId="77777777">
        <w:trPr>
          <w:trHeight w:val="415"/>
          <w:jc w:val="right"/>
        </w:trPr>
        <w:tc>
          <w:tcPr>
            <w:tcW w:w="3708" w:type="dxa"/>
            <w:shd w:val="clear" w:color="auto" w:fill="auto"/>
          </w:tcPr>
          <w:p w14:paraId="754EF9CE" w14:textId="77777777" w:rsidR="00077D56" w:rsidRDefault="00664D51">
            <w:pPr>
              <w:jc w:val="center"/>
              <w:rPr>
                <w:rFonts w:ascii="Times New Roman" w:eastAsia="Times New Roman" w:hAnsi="Times New Roman"/>
                <w:b/>
                <w:bCs/>
                <w:rtl/>
              </w:rPr>
            </w:pPr>
            <w:r>
              <w:rPr>
                <w:rFonts w:ascii="Times New Roman" w:eastAsia="Times New Roman" w:hAnsi="Times New Roman" w:hint="cs"/>
                <w:b/>
                <w:bCs/>
                <w:rtl/>
              </w:rPr>
              <w:t>גלית ציגלר, שופטת בכירה</w:t>
            </w:r>
          </w:p>
        </w:tc>
      </w:tr>
    </w:tbl>
    <w:p w14:paraId="2AE96CA9" w14:textId="77777777" w:rsidR="00077D56" w:rsidRDefault="00077D56">
      <w:pPr>
        <w:jc w:val="right"/>
        <w:rPr>
          <w:rtl/>
        </w:rPr>
      </w:pPr>
    </w:p>
    <w:p w14:paraId="57FA565A" w14:textId="77777777" w:rsidR="00077D56" w:rsidRDefault="00077D56">
      <w:pPr>
        <w:jc w:val="center"/>
        <w:rPr>
          <w:rtl/>
        </w:rPr>
      </w:pPr>
    </w:p>
    <w:p w14:paraId="39CF950F" w14:textId="77777777" w:rsidR="00077D56" w:rsidRDefault="00077D56">
      <w:pPr>
        <w:jc w:val="center"/>
        <w:rPr>
          <w:rtl/>
        </w:rPr>
      </w:pPr>
    </w:p>
    <w:p w14:paraId="6B963C89" w14:textId="77777777" w:rsidR="00077D56" w:rsidRDefault="00664D51">
      <w:pPr>
        <w:jc w:val="both"/>
        <w:rPr>
          <w:sz w:val="28"/>
          <w:szCs w:val="28"/>
          <w:rtl/>
        </w:rPr>
      </w:pPr>
      <w:r>
        <w:rPr>
          <w:rtl/>
        </w:rPr>
        <w:t xml:space="preserve"> </w:t>
      </w:r>
    </w:p>
    <w:p w14:paraId="7D9D36AC" w14:textId="77777777" w:rsidR="00077D56" w:rsidRDefault="00664D51">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13475BB3" w14:textId="77777777" w:rsidR="00664D51" w:rsidRPr="00664D51" w:rsidRDefault="00664D51" w:rsidP="00664D51">
      <w:pPr>
        <w:keepNext/>
        <w:rPr>
          <w:color w:val="000000"/>
          <w:sz w:val="22"/>
          <w:szCs w:val="22"/>
          <w:rtl/>
        </w:rPr>
      </w:pPr>
    </w:p>
    <w:p w14:paraId="33959534" w14:textId="77777777" w:rsidR="00664D51" w:rsidRPr="00664D51" w:rsidRDefault="00664D51" w:rsidP="00664D51">
      <w:pPr>
        <w:keepNext/>
        <w:rPr>
          <w:color w:val="000000"/>
          <w:sz w:val="22"/>
          <w:szCs w:val="22"/>
          <w:rtl/>
        </w:rPr>
      </w:pPr>
      <w:r w:rsidRPr="00664D51">
        <w:rPr>
          <w:color w:val="000000"/>
          <w:sz w:val="22"/>
          <w:szCs w:val="22"/>
          <w:rtl/>
        </w:rPr>
        <w:t>גלית ציגלר 54678313</w:t>
      </w:r>
    </w:p>
    <w:p w14:paraId="0C89C80E" w14:textId="77777777" w:rsidR="00664D51" w:rsidRDefault="00664D51" w:rsidP="00664D51">
      <w:r w:rsidRPr="00664D51">
        <w:rPr>
          <w:color w:val="000000"/>
          <w:rtl/>
        </w:rPr>
        <w:t>נוסח מסמך זה כפוף לשינויי ניסוח ועריכה</w:t>
      </w:r>
    </w:p>
    <w:p w14:paraId="1CCC8499" w14:textId="77777777" w:rsidR="00664D51" w:rsidRDefault="00664D51" w:rsidP="00664D51">
      <w:pPr>
        <w:rPr>
          <w:rtl/>
        </w:rPr>
      </w:pPr>
    </w:p>
    <w:p w14:paraId="6D07AE4E" w14:textId="77777777" w:rsidR="00664D51" w:rsidRDefault="00664D51" w:rsidP="00664D51">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5AB6E689" w14:textId="77777777" w:rsidR="00077D56" w:rsidRDefault="00077D56" w:rsidP="00664D51">
      <w:pPr>
        <w:jc w:val="center"/>
        <w:rPr>
          <w:rFonts w:hint="cs"/>
          <w:color w:val="0000FF"/>
          <w:u w:val="single"/>
          <w:rtl/>
        </w:rPr>
      </w:pPr>
    </w:p>
    <w:p w14:paraId="35B70DE1" w14:textId="77777777" w:rsidR="00226EB7" w:rsidRPr="00664D51" w:rsidRDefault="00226EB7" w:rsidP="00664D51">
      <w:pPr>
        <w:jc w:val="center"/>
        <w:rPr>
          <w:color w:val="0000FF"/>
          <w:u w:val="single"/>
        </w:rPr>
      </w:pPr>
    </w:p>
    <w:sectPr w:rsidR="00226EB7" w:rsidRPr="00664D51" w:rsidSect="00664D51">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A6D09" w14:textId="77777777" w:rsidR="00EB0F33" w:rsidRDefault="00EB0F33">
      <w:r>
        <w:separator/>
      </w:r>
    </w:p>
  </w:endnote>
  <w:endnote w:type="continuationSeparator" w:id="0">
    <w:p w14:paraId="10A68FA4" w14:textId="77777777" w:rsidR="00EB0F33" w:rsidRDefault="00EB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50D20" w14:textId="77777777" w:rsidR="00EB0F33" w:rsidRDefault="00EB0F33" w:rsidP="00664D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4B7588CD" w14:textId="77777777" w:rsidR="00EB0F33" w:rsidRPr="00664D51" w:rsidRDefault="00EB0F33" w:rsidP="00664D51">
    <w:pPr>
      <w:pStyle w:val="a5"/>
      <w:pBdr>
        <w:top w:val="single" w:sz="4" w:space="1" w:color="auto"/>
        <w:between w:val="single" w:sz="4" w:space="0" w:color="auto"/>
      </w:pBdr>
      <w:spacing w:after="60"/>
      <w:jc w:val="center"/>
      <w:rPr>
        <w:rFonts w:ascii="FrankRuehl" w:hAnsi="FrankRuehl" w:cs="FrankRuehl"/>
        <w:color w:val="000000"/>
      </w:rPr>
    </w:pPr>
    <w:r w:rsidRPr="00664D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F9FB2" w14:textId="77777777" w:rsidR="00EB0F33" w:rsidRDefault="00EB0F33" w:rsidP="00664D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42EF">
      <w:rPr>
        <w:rFonts w:ascii="FrankRuehl" w:hAnsi="FrankRuehl" w:cs="FrankRuehl"/>
        <w:noProof/>
        <w:rtl/>
      </w:rPr>
      <w:t>1</w:t>
    </w:r>
    <w:r>
      <w:rPr>
        <w:rFonts w:ascii="FrankRuehl" w:hAnsi="FrankRuehl" w:cs="FrankRuehl"/>
        <w:rtl/>
      </w:rPr>
      <w:fldChar w:fldCharType="end"/>
    </w:r>
  </w:p>
  <w:p w14:paraId="657E74F6" w14:textId="77777777" w:rsidR="00EB0F33" w:rsidRPr="00664D51" w:rsidRDefault="00EB0F33" w:rsidP="00664D51">
    <w:pPr>
      <w:pStyle w:val="a5"/>
      <w:pBdr>
        <w:top w:val="single" w:sz="4" w:space="1" w:color="auto"/>
        <w:between w:val="single" w:sz="4" w:space="0" w:color="auto"/>
      </w:pBdr>
      <w:spacing w:after="60"/>
      <w:jc w:val="center"/>
      <w:rPr>
        <w:rFonts w:ascii="FrankRuehl" w:hAnsi="FrankRuehl" w:cs="FrankRuehl"/>
        <w:color w:val="000000"/>
      </w:rPr>
    </w:pPr>
    <w:r w:rsidRPr="00664D51">
      <w:rPr>
        <w:rFonts w:ascii="FrankRuehl" w:hAnsi="FrankRuehl" w:cs="FrankRuehl"/>
        <w:color w:val="000000"/>
      </w:rPr>
      <w:pict w14:anchorId="03909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FF62F" w14:textId="77777777" w:rsidR="00EB0F33" w:rsidRDefault="00EB0F33">
      <w:r>
        <w:separator/>
      </w:r>
    </w:p>
  </w:footnote>
  <w:footnote w:type="continuationSeparator" w:id="0">
    <w:p w14:paraId="6C699221" w14:textId="77777777" w:rsidR="00EB0F33" w:rsidRDefault="00EB0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9AAE9" w14:textId="77777777" w:rsidR="00EB0F33" w:rsidRPr="00664D51" w:rsidRDefault="00EB0F33" w:rsidP="00664D5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44003-08-13</w:t>
    </w:r>
    <w:r>
      <w:rPr>
        <w:color w:val="000000"/>
        <w:sz w:val="22"/>
        <w:szCs w:val="22"/>
        <w:rtl/>
      </w:rPr>
      <w:tab/>
      <w:t xml:space="preserve"> מדינת ישראל נ' דניאל שולמן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B89DA" w14:textId="77777777" w:rsidR="00EB0F33" w:rsidRPr="00664D51" w:rsidRDefault="00EB0F33" w:rsidP="00664D5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44003-08-13</w:t>
    </w:r>
    <w:r>
      <w:rPr>
        <w:color w:val="000000"/>
        <w:sz w:val="22"/>
        <w:szCs w:val="22"/>
        <w:rtl/>
      </w:rPr>
      <w:tab/>
      <w:t xml:space="preserve"> מדינת ישראל נ' דניאל שולמן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7D56"/>
    <w:rsid w:val="00077D56"/>
    <w:rsid w:val="00096DAB"/>
    <w:rsid w:val="000E205B"/>
    <w:rsid w:val="00226EB7"/>
    <w:rsid w:val="003042EF"/>
    <w:rsid w:val="00664D51"/>
    <w:rsid w:val="0074459A"/>
    <w:rsid w:val="0086557C"/>
    <w:rsid w:val="00A03504"/>
    <w:rsid w:val="00B71A94"/>
    <w:rsid w:val="00C46535"/>
    <w:rsid w:val="00CF4E14"/>
    <w:rsid w:val="00D75964"/>
    <w:rsid w:val="00EB0F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420A68"/>
  <w15:chartTrackingRefBased/>
  <w15:docId w15:val="{7313DCEB-06B8-433A-8FCC-B5ABF39D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7D5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77D56"/>
  </w:style>
  <w:style w:type="paragraph" w:styleId="a4">
    <w:name w:val="header"/>
    <w:basedOn w:val="a"/>
    <w:rsid w:val="00077D56"/>
    <w:pPr>
      <w:tabs>
        <w:tab w:val="center" w:pos="4153"/>
        <w:tab w:val="right" w:pos="8306"/>
      </w:tabs>
    </w:pPr>
  </w:style>
  <w:style w:type="paragraph" w:styleId="a5">
    <w:name w:val="footer"/>
    <w:basedOn w:val="a"/>
    <w:rsid w:val="00077D56"/>
    <w:pPr>
      <w:tabs>
        <w:tab w:val="center" w:pos="4153"/>
        <w:tab w:val="right" w:pos="8306"/>
      </w:tabs>
    </w:pPr>
  </w:style>
  <w:style w:type="character" w:styleId="a6">
    <w:name w:val="page number"/>
    <w:basedOn w:val="a0"/>
    <w:rsid w:val="00077D56"/>
  </w:style>
  <w:style w:type="paragraph" w:customStyle="1" w:styleId="12">
    <w:name w:val="רגיל + ‏12 נק'"/>
    <w:aliases w:val="מיושר לשני הצדדים,מרווח בין שורות:  שורה וחצי"/>
    <w:basedOn w:val="a"/>
    <w:rsid w:val="00077D56"/>
    <w:rPr>
      <w:rFonts w:ascii="Times New Roman" w:eastAsia="Times New Roman" w:hAnsi="Times New Roman"/>
      <w:b/>
      <w:bCs/>
      <w:u w:val="single"/>
    </w:rPr>
  </w:style>
  <w:style w:type="character" w:styleId="Hyperlink">
    <w:name w:val="Hyperlink"/>
    <w:rsid w:val="00664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case/7978261" TargetMode="External"/><Relationship Id="rId4" Type="http://schemas.openxmlformats.org/officeDocument/2006/relationships/footnotes" Target="footnotes.xml"/><Relationship Id="rId9" Type="http://schemas.openxmlformats.org/officeDocument/2006/relationships/hyperlink" Target="http://www.nevo.co.il/case/8459402"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3931</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4708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3342451</vt:i4>
      </vt:variant>
      <vt:variant>
        <vt:i4>12</vt:i4>
      </vt:variant>
      <vt:variant>
        <vt:i4>0</vt:i4>
      </vt:variant>
      <vt:variant>
        <vt:i4>5</vt:i4>
      </vt:variant>
      <vt:variant>
        <vt:lpwstr>http://www.nevo.co.il/case/7978261</vt:lpwstr>
      </vt:variant>
      <vt:variant>
        <vt:lpwstr/>
      </vt:variant>
      <vt:variant>
        <vt:i4>3866745</vt:i4>
      </vt:variant>
      <vt:variant>
        <vt:i4>9</vt:i4>
      </vt:variant>
      <vt:variant>
        <vt:i4>0</vt:i4>
      </vt:variant>
      <vt:variant>
        <vt:i4>5</vt:i4>
      </vt:variant>
      <vt:variant>
        <vt:lpwstr>http://www.nevo.co.il/case/8459402</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2025-04-22T22:07:00Z</dcterms:created>
  <dcterms:modified xsi:type="dcterms:W3CDTF">2025-04-22T22:07:00Z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44003</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דניאל שולמן</vt:lpwstr>
  </property>
  <property fmtid="{D5CDD505-2E9C-101B-9397-08002B2CF9AE}" pid="10" name="LAWYER">
    <vt:lpwstr>יפעת פינצובר</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20150916</vt:lpwstr>
  </property>
  <property fmtid="{D5CDD505-2E9C-101B-9397-08002B2CF9AE}" pid="14" name="TYPE_N_DATE">
    <vt:lpwstr>38020150916</vt:lpwstr>
  </property>
  <property fmtid="{D5CDD505-2E9C-101B-9397-08002B2CF9AE}" pid="15" name="WORDNUMPAGES">
    <vt:lpwstr>4</vt:lpwstr>
  </property>
  <property fmtid="{D5CDD505-2E9C-101B-9397-08002B2CF9AE}" pid="16" name="TYPE_ABS_DATE">
    <vt:lpwstr>380020150916</vt:lpwstr>
  </property>
  <property fmtid="{D5CDD505-2E9C-101B-9397-08002B2CF9AE}" pid="17" name="ISABSTRACT">
    <vt:lpwstr>Y</vt:lpwstr>
  </property>
  <property fmtid="{D5CDD505-2E9C-101B-9397-08002B2CF9AE}" pid="18" name="CASESLISTTMP1">
    <vt:lpwstr>8459402;7978261</vt:lpwstr>
  </property>
  <property fmtid="{D5CDD505-2E9C-101B-9397-08002B2CF9AE}" pid="19" name="LAWLISTTMP1">
    <vt:lpwstr>4216:3</vt:lpwstr>
  </property>
</Properties>
</file>