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4C86" w:rsidRPr="00FB2C2B" w14:paraId="24FA86A4" w14:textId="77777777">
        <w:trPr>
          <w:trHeight w:hRule="exact" w:val="418"/>
          <w:jc w:val="center"/>
        </w:trPr>
        <w:tc>
          <w:tcPr>
            <w:tcW w:w="8721" w:type="dxa"/>
            <w:gridSpan w:val="2"/>
          </w:tcPr>
          <w:p w14:paraId="5BC80F29" w14:textId="77777777" w:rsidR="00AF4C86" w:rsidRPr="00FB2C2B" w:rsidRDefault="00FB2C2B">
            <w:pPr>
              <w:pStyle w:val="a3"/>
              <w:jc w:val="center"/>
              <w:rPr>
                <w:rFonts w:ascii="Tahoma" w:hAnsi="Tahoma" w:cs="Tahoma"/>
                <w:color w:val="000080"/>
                <w:rtl/>
              </w:rPr>
            </w:pPr>
            <w:bookmarkStart w:id="0" w:name="LastJudge"/>
            <w:r w:rsidRPr="00FB2C2B">
              <w:rPr>
                <w:rFonts w:ascii="Tahoma" w:hAnsi="Tahoma" w:cs="Tahoma"/>
                <w:b/>
                <w:bCs/>
                <w:color w:val="000080"/>
                <w:rtl/>
              </w:rPr>
              <w:t>בית משפט השלום בתל אביב - יפו</w:t>
            </w:r>
          </w:p>
        </w:tc>
      </w:tr>
      <w:tr w:rsidR="00AF4C86" w:rsidRPr="00FB2C2B" w14:paraId="03588536" w14:textId="77777777">
        <w:trPr>
          <w:trHeight w:val="337"/>
          <w:jc w:val="center"/>
        </w:trPr>
        <w:tc>
          <w:tcPr>
            <w:tcW w:w="5054" w:type="dxa"/>
          </w:tcPr>
          <w:p w14:paraId="3A0C06E3" w14:textId="77777777" w:rsidR="00AF4C86" w:rsidRPr="00FB2C2B" w:rsidRDefault="00FB2C2B">
            <w:pPr>
              <w:rPr>
                <w:rFonts w:cs="FrankRuehl"/>
                <w:sz w:val="28"/>
                <w:szCs w:val="28"/>
                <w:rtl/>
              </w:rPr>
            </w:pPr>
            <w:r w:rsidRPr="00FB2C2B">
              <w:rPr>
                <w:rFonts w:cs="FrankRuehl"/>
                <w:sz w:val="28"/>
                <w:szCs w:val="28"/>
                <w:rtl/>
              </w:rPr>
              <w:t>ת"פ</w:t>
            </w:r>
            <w:r w:rsidRPr="00FB2C2B">
              <w:rPr>
                <w:rFonts w:cs="FrankRuehl" w:hint="cs"/>
                <w:sz w:val="28"/>
                <w:szCs w:val="28"/>
                <w:rtl/>
              </w:rPr>
              <w:t xml:space="preserve"> </w:t>
            </w:r>
            <w:r w:rsidRPr="00FB2C2B">
              <w:rPr>
                <w:rFonts w:cs="FrankRuehl"/>
                <w:sz w:val="28"/>
                <w:szCs w:val="28"/>
                <w:rtl/>
              </w:rPr>
              <w:t>28804-09-13</w:t>
            </w:r>
            <w:r w:rsidRPr="00FB2C2B">
              <w:rPr>
                <w:rFonts w:cs="FrankRuehl" w:hint="cs"/>
                <w:sz w:val="28"/>
                <w:szCs w:val="28"/>
                <w:rtl/>
              </w:rPr>
              <w:t xml:space="preserve"> </w:t>
            </w:r>
            <w:r w:rsidRPr="00FB2C2B">
              <w:rPr>
                <w:rFonts w:cs="FrankRuehl"/>
                <w:sz w:val="28"/>
                <w:szCs w:val="28"/>
                <w:rtl/>
              </w:rPr>
              <w:t>מדינת ישראל נ' צבעוני</w:t>
            </w:r>
          </w:p>
          <w:p w14:paraId="7A710CFA" w14:textId="77777777" w:rsidR="00AF4C86" w:rsidRPr="00FB2C2B" w:rsidRDefault="00AF4C86">
            <w:pPr>
              <w:pStyle w:val="a3"/>
              <w:rPr>
                <w:rFonts w:cs="FrankRuehl"/>
                <w:sz w:val="28"/>
                <w:szCs w:val="28"/>
                <w:rtl/>
              </w:rPr>
            </w:pPr>
          </w:p>
        </w:tc>
        <w:tc>
          <w:tcPr>
            <w:tcW w:w="3667" w:type="dxa"/>
          </w:tcPr>
          <w:p w14:paraId="5E0BBCD8" w14:textId="77777777" w:rsidR="00AF4C86" w:rsidRPr="00FB2C2B" w:rsidRDefault="00AF4C86">
            <w:pPr>
              <w:pStyle w:val="a3"/>
              <w:jc w:val="right"/>
              <w:rPr>
                <w:rFonts w:cs="FrankRuehl"/>
                <w:sz w:val="28"/>
                <w:szCs w:val="28"/>
                <w:rtl/>
              </w:rPr>
            </w:pPr>
          </w:p>
        </w:tc>
      </w:tr>
    </w:tbl>
    <w:p w14:paraId="75FB1AD1" w14:textId="77777777" w:rsidR="00AF4C86" w:rsidRPr="00FB2C2B" w:rsidRDefault="00FB2C2B">
      <w:pPr>
        <w:pStyle w:val="a3"/>
        <w:rPr>
          <w:rtl/>
        </w:rPr>
      </w:pPr>
      <w:r w:rsidRPr="00FB2C2B">
        <w:rPr>
          <w:rFonts w:hint="cs"/>
          <w:rtl/>
        </w:rPr>
        <w:t xml:space="preserve"> </w:t>
      </w:r>
    </w:p>
    <w:p w14:paraId="3D40B897" w14:textId="77777777" w:rsidR="00AF4C86" w:rsidRPr="00FB2C2B" w:rsidRDefault="00AF4C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4C86" w:rsidRPr="00FB2C2B" w14:paraId="4AE45B55" w14:textId="77777777">
        <w:trPr>
          <w:trHeight w:val="295"/>
          <w:jc w:val="center"/>
        </w:trPr>
        <w:tc>
          <w:tcPr>
            <w:tcW w:w="923" w:type="dxa"/>
            <w:tcBorders>
              <w:top w:val="nil"/>
              <w:left w:val="nil"/>
              <w:bottom w:val="nil"/>
              <w:right w:val="nil"/>
            </w:tcBorders>
          </w:tcPr>
          <w:p w14:paraId="76F64BA6" w14:textId="77777777" w:rsidR="00AF4C86" w:rsidRPr="00FB2C2B" w:rsidRDefault="00FB2C2B">
            <w:pPr>
              <w:jc w:val="both"/>
              <w:rPr>
                <w:rFonts w:ascii="Arial" w:hAnsi="Arial"/>
              </w:rPr>
            </w:pPr>
            <w:r w:rsidRPr="00FB2C2B">
              <w:rPr>
                <w:rFonts w:ascii="Arial" w:hAnsi="Arial" w:hint="cs"/>
                <w:rtl/>
              </w:rPr>
              <w:t>ב</w:t>
            </w:r>
            <w:r w:rsidRPr="00FB2C2B">
              <w:rPr>
                <w:rFonts w:ascii="Arial" w:hAnsi="Arial"/>
                <w:rtl/>
              </w:rPr>
              <w:t xml:space="preserve">פני </w:t>
            </w:r>
          </w:p>
        </w:tc>
        <w:tc>
          <w:tcPr>
            <w:tcW w:w="7897" w:type="dxa"/>
            <w:gridSpan w:val="2"/>
            <w:tcBorders>
              <w:top w:val="nil"/>
              <w:left w:val="nil"/>
              <w:bottom w:val="nil"/>
              <w:right w:val="nil"/>
            </w:tcBorders>
          </w:tcPr>
          <w:p w14:paraId="61C1147E" w14:textId="77777777" w:rsidR="00AF4C86" w:rsidRPr="00FB2C2B" w:rsidRDefault="00FB2C2B">
            <w:pPr>
              <w:rPr>
                <w:rFonts w:ascii="Arial" w:hAnsi="Arial"/>
                <w:b/>
                <w:bCs/>
                <w:rtl/>
              </w:rPr>
            </w:pPr>
            <w:r w:rsidRPr="00FB2C2B">
              <w:rPr>
                <w:rFonts w:ascii="Arial" w:hAnsi="Arial" w:hint="cs"/>
                <w:b/>
                <w:bCs/>
                <w:rtl/>
              </w:rPr>
              <w:t>כב' ה</w:t>
            </w:r>
            <w:r w:rsidRPr="00FB2C2B">
              <w:rPr>
                <w:rFonts w:hint="cs"/>
                <w:rtl/>
              </w:rPr>
              <w:t>שופט</w:t>
            </w:r>
            <w:r w:rsidRPr="00FB2C2B">
              <w:rPr>
                <w:rFonts w:ascii="Arial" w:hAnsi="Arial" w:hint="cs"/>
                <w:b/>
                <w:bCs/>
                <w:rtl/>
              </w:rPr>
              <w:t xml:space="preserve">  </w:t>
            </w:r>
            <w:r w:rsidRPr="00FB2C2B">
              <w:rPr>
                <w:rFonts w:hint="cs"/>
                <w:rtl/>
              </w:rPr>
              <w:t>עידו דרויאן</w:t>
            </w:r>
          </w:p>
          <w:p w14:paraId="473C02E9" w14:textId="77777777" w:rsidR="00AF4C86" w:rsidRPr="00FB2C2B" w:rsidRDefault="00AF4C86">
            <w:pPr>
              <w:rPr>
                <w:rtl/>
              </w:rPr>
            </w:pPr>
          </w:p>
          <w:p w14:paraId="64487604" w14:textId="77777777" w:rsidR="00AF4C86" w:rsidRPr="00FB2C2B" w:rsidRDefault="00AF4C86">
            <w:pPr>
              <w:jc w:val="both"/>
              <w:rPr>
                <w:rFonts w:ascii="Arial" w:hAnsi="Arial"/>
              </w:rPr>
            </w:pPr>
          </w:p>
        </w:tc>
      </w:tr>
      <w:tr w:rsidR="00AF4C86" w:rsidRPr="00FB2C2B" w14:paraId="7080955F" w14:textId="77777777">
        <w:trPr>
          <w:trHeight w:val="355"/>
          <w:jc w:val="center"/>
        </w:trPr>
        <w:tc>
          <w:tcPr>
            <w:tcW w:w="923" w:type="dxa"/>
            <w:tcBorders>
              <w:top w:val="nil"/>
              <w:left w:val="nil"/>
              <w:bottom w:val="nil"/>
              <w:right w:val="nil"/>
            </w:tcBorders>
          </w:tcPr>
          <w:p w14:paraId="3590AA97" w14:textId="77777777" w:rsidR="00AF4C86" w:rsidRPr="00FB2C2B" w:rsidRDefault="00AF4C86">
            <w:pPr>
              <w:jc w:val="both"/>
              <w:rPr>
                <w:rFonts w:ascii="Arial" w:hAnsi="Arial"/>
              </w:rPr>
            </w:pPr>
          </w:p>
        </w:tc>
        <w:tc>
          <w:tcPr>
            <w:tcW w:w="4126" w:type="dxa"/>
            <w:tcBorders>
              <w:top w:val="nil"/>
              <w:left w:val="nil"/>
              <w:bottom w:val="nil"/>
              <w:right w:val="nil"/>
            </w:tcBorders>
          </w:tcPr>
          <w:p w14:paraId="09ED2D1D" w14:textId="77777777" w:rsidR="00AF4C86" w:rsidRPr="00FB2C2B" w:rsidRDefault="00FB2C2B">
            <w:r w:rsidRPr="00FB2C2B">
              <w:rPr>
                <w:rFonts w:hint="cs"/>
                <w:b/>
                <w:bCs/>
                <w:rtl/>
              </w:rPr>
              <w:t>מדינת ישראל</w:t>
            </w:r>
          </w:p>
        </w:tc>
        <w:tc>
          <w:tcPr>
            <w:tcW w:w="3771" w:type="dxa"/>
            <w:tcBorders>
              <w:top w:val="nil"/>
              <w:left w:val="nil"/>
              <w:bottom w:val="nil"/>
              <w:right w:val="nil"/>
            </w:tcBorders>
          </w:tcPr>
          <w:p w14:paraId="6AE8653C" w14:textId="77777777" w:rsidR="00AF4C86" w:rsidRPr="00FB2C2B" w:rsidRDefault="00AF4C86">
            <w:pPr>
              <w:jc w:val="both"/>
              <w:rPr>
                <w:rFonts w:ascii="Arial" w:hAnsi="Arial"/>
              </w:rPr>
            </w:pPr>
          </w:p>
        </w:tc>
      </w:tr>
      <w:tr w:rsidR="00AF4C86" w:rsidRPr="00FB2C2B" w14:paraId="367F2F98" w14:textId="77777777">
        <w:trPr>
          <w:trHeight w:val="355"/>
          <w:jc w:val="center"/>
        </w:trPr>
        <w:tc>
          <w:tcPr>
            <w:tcW w:w="923" w:type="dxa"/>
            <w:tcBorders>
              <w:top w:val="nil"/>
              <w:left w:val="nil"/>
              <w:bottom w:val="nil"/>
              <w:right w:val="nil"/>
            </w:tcBorders>
          </w:tcPr>
          <w:p w14:paraId="0FEF50FB" w14:textId="77777777" w:rsidR="00AF4C86" w:rsidRPr="00FB2C2B" w:rsidRDefault="00AF4C86">
            <w:pPr>
              <w:jc w:val="both"/>
              <w:rPr>
                <w:rFonts w:ascii="Arial" w:hAnsi="Arial"/>
                <w:rtl/>
              </w:rPr>
            </w:pPr>
            <w:bookmarkStart w:id="1" w:name="FirstAppellant" w:colFirst="0" w:colLast="1"/>
            <w:bookmarkStart w:id="2" w:name="FirstLawyer"/>
          </w:p>
        </w:tc>
        <w:tc>
          <w:tcPr>
            <w:tcW w:w="4126" w:type="dxa"/>
            <w:tcBorders>
              <w:top w:val="nil"/>
              <w:left w:val="nil"/>
              <w:bottom w:val="nil"/>
              <w:right w:val="nil"/>
            </w:tcBorders>
          </w:tcPr>
          <w:p w14:paraId="6B025D36" w14:textId="77777777" w:rsidR="00AF4C86" w:rsidRPr="00FB2C2B" w:rsidRDefault="00FB2C2B">
            <w:pPr>
              <w:jc w:val="both"/>
              <w:rPr>
                <w:rtl/>
              </w:rPr>
            </w:pPr>
            <w:r w:rsidRPr="00FB2C2B">
              <w:rPr>
                <w:rFonts w:hint="cs"/>
                <w:rtl/>
              </w:rPr>
              <w:t>ע"י ב"כ עו"ד אורית אסולין</w:t>
            </w:r>
          </w:p>
        </w:tc>
        <w:tc>
          <w:tcPr>
            <w:tcW w:w="3771" w:type="dxa"/>
            <w:tcBorders>
              <w:top w:val="nil"/>
              <w:left w:val="nil"/>
              <w:bottom w:val="nil"/>
              <w:right w:val="nil"/>
            </w:tcBorders>
          </w:tcPr>
          <w:p w14:paraId="54BECB04" w14:textId="77777777" w:rsidR="00AF4C86" w:rsidRPr="00FB2C2B" w:rsidRDefault="00FB2C2B">
            <w:pPr>
              <w:jc w:val="right"/>
              <w:rPr>
                <w:rFonts w:ascii="Arial" w:hAnsi="Arial"/>
                <w:b/>
                <w:bCs/>
                <w:rtl/>
              </w:rPr>
            </w:pPr>
            <w:r w:rsidRPr="00FB2C2B">
              <w:rPr>
                <w:rFonts w:ascii="Arial" w:hAnsi="Arial" w:hint="cs"/>
                <w:b/>
                <w:bCs/>
                <w:rtl/>
              </w:rPr>
              <w:t>ה</w:t>
            </w:r>
            <w:r w:rsidRPr="00FB2C2B">
              <w:rPr>
                <w:rFonts w:hint="cs"/>
                <w:b/>
                <w:bCs/>
                <w:rtl/>
              </w:rPr>
              <w:t>מאשימה</w:t>
            </w:r>
          </w:p>
        </w:tc>
      </w:tr>
      <w:bookmarkEnd w:id="2"/>
      <w:tr w:rsidR="00AF4C86" w:rsidRPr="00FB2C2B" w14:paraId="45A546CF" w14:textId="77777777">
        <w:trPr>
          <w:trHeight w:val="355"/>
          <w:jc w:val="center"/>
        </w:trPr>
        <w:tc>
          <w:tcPr>
            <w:tcW w:w="923" w:type="dxa"/>
            <w:tcBorders>
              <w:top w:val="nil"/>
              <w:left w:val="nil"/>
              <w:bottom w:val="nil"/>
              <w:right w:val="nil"/>
            </w:tcBorders>
          </w:tcPr>
          <w:p w14:paraId="4851BD93" w14:textId="77777777" w:rsidR="00AF4C86" w:rsidRPr="00FB2C2B" w:rsidRDefault="00AF4C86">
            <w:pPr>
              <w:jc w:val="both"/>
              <w:rPr>
                <w:rFonts w:ascii="Arial" w:hAnsi="Arial"/>
                <w:rtl/>
              </w:rPr>
            </w:pPr>
          </w:p>
        </w:tc>
        <w:tc>
          <w:tcPr>
            <w:tcW w:w="7897" w:type="dxa"/>
            <w:gridSpan w:val="2"/>
            <w:tcBorders>
              <w:top w:val="nil"/>
              <w:left w:val="nil"/>
              <w:bottom w:val="nil"/>
              <w:right w:val="nil"/>
            </w:tcBorders>
          </w:tcPr>
          <w:p w14:paraId="02E284B3" w14:textId="77777777" w:rsidR="00AF4C86" w:rsidRPr="00FB2C2B" w:rsidRDefault="00AF4C86">
            <w:pPr>
              <w:jc w:val="center"/>
              <w:rPr>
                <w:rFonts w:ascii="Arial" w:hAnsi="Arial"/>
                <w:b/>
                <w:bCs/>
                <w:rtl/>
              </w:rPr>
            </w:pPr>
          </w:p>
          <w:p w14:paraId="470987C4" w14:textId="77777777" w:rsidR="00AF4C86" w:rsidRPr="00FB2C2B" w:rsidRDefault="00FB2C2B">
            <w:pPr>
              <w:jc w:val="center"/>
              <w:rPr>
                <w:rFonts w:ascii="Arial" w:hAnsi="Arial"/>
                <w:b/>
                <w:bCs/>
                <w:rtl/>
              </w:rPr>
            </w:pPr>
            <w:r w:rsidRPr="00FB2C2B">
              <w:rPr>
                <w:rFonts w:ascii="Arial" w:hAnsi="Arial"/>
                <w:b/>
                <w:bCs/>
                <w:rtl/>
              </w:rPr>
              <w:t>נגד</w:t>
            </w:r>
          </w:p>
          <w:p w14:paraId="53AA41A5" w14:textId="77777777" w:rsidR="00AF4C86" w:rsidRPr="00FB2C2B" w:rsidRDefault="00AF4C86">
            <w:pPr>
              <w:jc w:val="both"/>
              <w:rPr>
                <w:rFonts w:ascii="Arial" w:hAnsi="Arial"/>
              </w:rPr>
            </w:pPr>
          </w:p>
        </w:tc>
      </w:tr>
      <w:bookmarkEnd w:id="1"/>
      <w:tr w:rsidR="00AF4C86" w:rsidRPr="00FB2C2B" w14:paraId="4C8BD069" w14:textId="77777777">
        <w:trPr>
          <w:trHeight w:val="355"/>
          <w:jc w:val="center"/>
        </w:trPr>
        <w:tc>
          <w:tcPr>
            <w:tcW w:w="923" w:type="dxa"/>
            <w:tcBorders>
              <w:top w:val="nil"/>
              <w:left w:val="nil"/>
              <w:bottom w:val="nil"/>
              <w:right w:val="nil"/>
            </w:tcBorders>
          </w:tcPr>
          <w:p w14:paraId="709A544E" w14:textId="77777777" w:rsidR="00AF4C86" w:rsidRPr="00FB2C2B" w:rsidRDefault="00AF4C86">
            <w:pPr>
              <w:rPr>
                <w:rFonts w:ascii="Arial" w:hAnsi="Arial"/>
                <w:rtl/>
              </w:rPr>
            </w:pPr>
          </w:p>
        </w:tc>
        <w:tc>
          <w:tcPr>
            <w:tcW w:w="4126" w:type="dxa"/>
            <w:tcBorders>
              <w:top w:val="nil"/>
              <w:left w:val="nil"/>
              <w:bottom w:val="nil"/>
              <w:right w:val="nil"/>
            </w:tcBorders>
          </w:tcPr>
          <w:p w14:paraId="6BA11DC2" w14:textId="77777777" w:rsidR="00AF4C86" w:rsidRPr="00FB2C2B" w:rsidRDefault="00FB2C2B">
            <w:pPr>
              <w:rPr>
                <w:rtl/>
              </w:rPr>
            </w:pPr>
            <w:r w:rsidRPr="00FB2C2B">
              <w:rPr>
                <w:rFonts w:hint="cs"/>
                <w:b/>
                <w:bCs/>
                <w:rtl/>
              </w:rPr>
              <w:t>דוד-דיווי צבעוני</w:t>
            </w:r>
          </w:p>
        </w:tc>
        <w:tc>
          <w:tcPr>
            <w:tcW w:w="3771" w:type="dxa"/>
            <w:tcBorders>
              <w:top w:val="nil"/>
              <w:left w:val="nil"/>
              <w:bottom w:val="nil"/>
              <w:right w:val="nil"/>
            </w:tcBorders>
          </w:tcPr>
          <w:p w14:paraId="1EFF8B32" w14:textId="77777777" w:rsidR="00AF4C86" w:rsidRPr="00FB2C2B" w:rsidRDefault="00AF4C86">
            <w:pPr>
              <w:jc w:val="right"/>
              <w:rPr>
                <w:rFonts w:ascii="Arial" w:hAnsi="Arial"/>
              </w:rPr>
            </w:pPr>
          </w:p>
        </w:tc>
      </w:tr>
      <w:tr w:rsidR="00AF4C86" w:rsidRPr="00FB2C2B" w14:paraId="1356350C" w14:textId="77777777">
        <w:trPr>
          <w:trHeight w:val="355"/>
          <w:jc w:val="center"/>
        </w:trPr>
        <w:tc>
          <w:tcPr>
            <w:tcW w:w="923" w:type="dxa"/>
            <w:tcBorders>
              <w:top w:val="nil"/>
              <w:left w:val="nil"/>
              <w:bottom w:val="nil"/>
              <w:right w:val="nil"/>
            </w:tcBorders>
          </w:tcPr>
          <w:p w14:paraId="2AC71E6B" w14:textId="77777777" w:rsidR="00AF4C86" w:rsidRPr="00FB2C2B" w:rsidRDefault="00AF4C86">
            <w:pPr>
              <w:jc w:val="both"/>
              <w:rPr>
                <w:rFonts w:ascii="Arial" w:hAnsi="Arial"/>
                <w:rtl/>
              </w:rPr>
            </w:pPr>
          </w:p>
        </w:tc>
        <w:tc>
          <w:tcPr>
            <w:tcW w:w="4126" w:type="dxa"/>
            <w:tcBorders>
              <w:top w:val="nil"/>
              <w:left w:val="nil"/>
              <w:bottom w:val="nil"/>
              <w:right w:val="nil"/>
            </w:tcBorders>
          </w:tcPr>
          <w:p w14:paraId="33E6B348" w14:textId="77777777" w:rsidR="00AF4C86" w:rsidRPr="00FB2C2B" w:rsidRDefault="00FB2C2B">
            <w:pPr>
              <w:jc w:val="both"/>
              <w:rPr>
                <w:rtl/>
              </w:rPr>
            </w:pPr>
            <w:r w:rsidRPr="00FB2C2B">
              <w:rPr>
                <w:rFonts w:hint="cs"/>
                <w:rtl/>
              </w:rPr>
              <w:t>ע"י ב"כ עו"ד לימור הלוי</w:t>
            </w:r>
          </w:p>
        </w:tc>
        <w:tc>
          <w:tcPr>
            <w:tcW w:w="3771" w:type="dxa"/>
            <w:tcBorders>
              <w:top w:val="nil"/>
              <w:left w:val="nil"/>
              <w:bottom w:val="nil"/>
              <w:right w:val="nil"/>
            </w:tcBorders>
          </w:tcPr>
          <w:p w14:paraId="3478A4C7" w14:textId="77777777" w:rsidR="00AF4C86" w:rsidRPr="00FB2C2B" w:rsidRDefault="00FB2C2B">
            <w:pPr>
              <w:jc w:val="right"/>
              <w:rPr>
                <w:rFonts w:ascii="Arial" w:hAnsi="Arial"/>
                <w:b/>
                <w:bCs/>
              </w:rPr>
            </w:pPr>
            <w:r w:rsidRPr="00FB2C2B">
              <w:rPr>
                <w:rFonts w:ascii="Arial" w:hAnsi="Arial" w:hint="cs"/>
                <w:b/>
                <w:bCs/>
                <w:rtl/>
              </w:rPr>
              <w:t>ה</w:t>
            </w:r>
            <w:r w:rsidRPr="00FB2C2B">
              <w:rPr>
                <w:rFonts w:hint="cs"/>
                <w:b/>
                <w:bCs/>
                <w:rtl/>
              </w:rPr>
              <w:t>נאשם</w:t>
            </w:r>
          </w:p>
        </w:tc>
      </w:tr>
    </w:tbl>
    <w:p w14:paraId="6D3DBD29" w14:textId="77777777" w:rsidR="00BF614C" w:rsidRDefault="00BF614C">
      <w:pPr>
        <w:rPr>
          <w:rtl/>
        </w:rPr>
      </w:pPr>
      <w:bookmarkStart w:id="3" w:name="LawTable"/>
      <w:bookmarkEnd w:id="3"/>
    </w:p>
    <w:p w14:paraId="748EC9C0" w14:textId="77777777" w:rsidR="00BF614C" w:rsidRPr="00BF614C" w:rsidRDefault="00BF614C" w:rsidP="00BF614C">
      <w:pPr>
        <w:spacing w:after="120" w:line="240" w:lineRule="exact"/>
        <w:ind w:left="283" w:hanging="283"/>
        <w:jc w:val="both"/>
        <w:rPr>
          <w:rFonts w:ascii="FrankRuehl" w:hAnsi="FrankRuehl" w:cs="FrankRuehl"/>
          <w:rtl/>
        </w:rPr>
      </w:pPr>
      <w:r w:rsidRPr="00BF614C">
        <w:rPr>
          <w:rFonts w:ascii="FrankRuehl" w:hAnsi="FrankRuehl" w:cs="FrankRuehl"/>
          <w:rtl/>
        </w:rPr>
        <w:t xml:space="preserve">חקיקה שאוזכרה: </w:t>
      </w:r>
    </w:p>
    <w:p w14:paraId="24DEAE55" w14:textId="77777777" w:rsidR="00BF614C" w:rsidRPr="00BF614C" w:rsidRDefault="00BF614C" w:rsidP="00BF614C">
      <w:pPr>
        <w:spacing w:after="120" w:line="240" w:lineRule="exact"/>
        <w:ind w:left="283" w:hanging="283"/>
        <w:jc w:val="both"/>
        <w:rPr>
          <w:rFonts w:ascii="FrankRuehl" w:hAnsi="FrankRuehl" w:cs="FrankRuehl"/>
          <w:rtl/>
        </w:rPr>
      </w:pPr>
      <w:hyperlink r:id="rId7" w:history="1">
        <w:r w:rsidRPr="00BF614C">
          <w:rPr>
            <w:rFonts w:ascii="FrankRuehl" w:hAnsi="FrankRuehl" w:cs="FrankRuehl"/>
            <w:color w:val="0000FF"/>
            <w:u w:val="single"/>
            <w:rtl/>
          </w:rPr>
          <w:t>חוק העונשין, תשל"ז-1977</w:t>
        </w:r>
      </w:hyperlink>
      <w:r w:rsidRPr="00BF614C">
        <w:rPr>
          <w:rFonts w:ascii="FrankRuehl" w:hAnsi="FrankRuehl" w:cs="FrankRuehl"/>
          <w:rtl/>
        </w:rPr>
        <w:t xml:space="preserve">: סע'  </w:t>
      </w:r>
      <w:hyperlink r:id="rId8" w:history="1">
        <w:r w:rsidRPr="00BF614C">
          <w:rPr>
            <w:rFonts w:ascii="FrankRuehl" w:hAnsi="FrankRuehl" w:cs="FrankRuehl"/>
            <w:color w:val="0000FF"/>
            <w:u w:val="single"/>
            <w:rtl/>
          </w:rPr>
          <w:t>192</w:t>
        </w:r>
      </w:hyperlink>
      <w:r w:rsidRPr="00BF614C">
        <w:rPr>
          <w:rFonts w:ascii="FrankRuehl" w:hAnsi="FrankRuehl" w:cs="FrankRuehl"/>
          <w:rtl/>
        </w:rPr>
        <w:t xml:space="preserve">, </w:t>
      </w:r>
      <w:hyperlink r:id="rId9" w:history="1">
        <w:r w:rsidRPr="00BF614C">
          <w:rPr>
            <w:rFonts w:ascii="FrankRuehl" w:hAnsi="FrankRuehl" w:cs="FrankRuehl"/>
            <w:color w:val="0000FF"/>
            <w:u w:val="single"/>
            <w:rtl/>
          </w:rPr>
          <w:t>382(ב)</w:t>
        </w:r>
      </w:hyperlink>
      <w:r w:rsidRPr="00BF614C">
        <w:rPr>
          <w:rFonts w:ascii="FrankRuehl" w:hAnsi="FrankRuehl" w:cs="FrankRuehl"/>
          <w:rtl/>
        </w:rPr>
        <w:t xml:space="preserve">, </w:t>
      </w:r>
      <w:hyperlink r:id="rId10" w:history="1">
        <w:r w:rsidRPr="00BF614C">
          <w:rPr>
            <w:rFonts w:ascii="FrankRuehl" w:hAnsi="FrankRuehl" w:cs="FrankRuehl"/>
            <w:color w:val="0000FF"/>
            <w:u w:val="single"/>
            <w:rtl/>
          </w:rPr>
          <w:t>40יג</w:t>
        </w:r>
      </w:hyperlink>
      <w:r w:rsidRPr="00BF614C">
        <w:rPr>
          <w:rFonts w:ascii="FrankRuehl" w:hAnsi="FrankRuehl" w:cs="FrankRuehl"/>
          <w:rtl/>
        </w:rPr>
        <w:t xml:space="preserve">, </w:t>
      </w:r>
      <w:hyperlink r:id="rId11" w:history="1">
        <w:r w:rsidRPr="00BF614C">
          <w:rPr>
            <w:rFonts w:ascii="FrankRuehl" w:hAnsi="FrankRuehl" w:cs="FrankRuehl"/>
            <w:color w:val="0000FF"/>
            <w:u w:val="single"/>
            <w:rtl/>
          </w:rPr>
          <w:t>413ה</w:t>
        </w:r>
      </w:hyperlink>
      <w:r w:rsidRPr="00BF614C">
        <w:rPr>
          <w:rFonts w:ascii="FrankRuehl" w:hAnsi="FrankRuehl" w:cs="FrankRuehl"/>
          <w:rtl/>
        </w:rPr>
        <w:t xml:space="preserve">, </w:t>
      </w:r>
      <w:hyperlink r:id="rId12" w:history="1">
        <w:r w:rsidRPr="00BF614C">
          <w:rPr>
            <w:rFonts w:ascii="FrankRuehl" w:hAnsi="FrankRuehl" w:cs="FrankRuehl"/>
            <w:color w:val="0000FF"/>
            <w:u w:val="single"/>
            <w:rtl/>
          </w:rPr>
          <w:t>447(א)</w:t>
        </w:r>
      </w:hyperlink>
      <w:r w:rsidRPr="00BF614C">
        <w:rPr>
          <w:rFonts w:ascii="FrankRuehl" w:hAnsi="FrankRuehl" w:cs="FrankRuehl"/>
          <w:rtl/>
        </w:rPr>
        <w:t xml:space="preserve">, </w:t>
      </w:r>
      <w:hyperlink r:id="rId13" w:history="1">
        <w:r w:rsidRPr="00BF614C">
          <w:rPr>
            <w:rFonts w:ascii="FrankRuehl" w:hAnsi="FrankRuehl" w:cs="FrankRuehl"/>
            <w:color w:val="0000FF"/>
            <w:u w:val="single"/>
            <w:rtl/>
          </w:rPr>
          <w:t>452</w:t>
        </w:r>
      </w:hyperlink>
    </w:p>
    <w:p w14:paraId="0DD2B5CB" w14:textId="77777777" w:rsidR="00BF614C" w:rsidRPr="00BF614C" w:rsidRDefault="00BF614C" w:rsidP="00BF614C">
      <w:pPr>
        <w:spacing w:after="120" w:line="240" w:lineRule="exact"/>
        <w:ind w:left="283" w:hanging="283"/>
        <w:jc w:val="both"/>
        <w:rPr>
          <w:rFonts w:ascii="FrankRuehl" w:hAnsi="FrankRuehl" w:cs="FrankRuehl"/>
          <w:rtl/>
        </w:rPr>
      </w:pPr>
      <w:hyperlink r:id="rId14" w:history="1">
        <w:r w:rsidRPr="00BF614C">
          <w:rPr>
            <w:rFonts w:ascii="FrankRuehl" w:hAnsi="FrankRuehl" w:cs="FrankRuehl"/>
            <w:color w:val="0000FF"/>
            <w:u w:val="single"/>
            <w:rtl/>
          </w:rPr>
          <w:t>פקודת הסמים המסוכנים [נוסח חדש], תשל"ג-1973</w:t>
        </w:r>
      </w:hyperlink>
      <w:r w:rsidRPr="00BF614C">
        <w:rPr>
          <w:rFonts w:ascii="FrankRuehl" w:hAnsi="FrankRuehl" w:cs="FrankRuehl"/>
          <w:rtl/>
        </w:rPr>
        <w:t xml:space="preserve">: סע'  </w:t>
      </w:r>
      <w:hyperlink r:id="rId15" w:history="1">
        <w:r w:rsidRPr="00BF614C">
          <w:rPr>
            <w:rFonts w:ascii="FrankRuehl" w:hAnsi="FrankRuehl" w:cs="FrankRuehl"/>
            <w:color w:val="0000FF"/>
            <w:u w:val="single"/>
            <w:rtl/>
          </w:rPr>
          <w:t>7(א)</w:t>
        </w:r>
      </w:hyperlink>
      <w:r w:rsidRPr="00BF614C">
        <w:rPr>
          <w:rFonts w:ascii="FrankRuehl" w:hAnsi="FrankRuehl" w:cs="FrankRuehl"/>
          <w:rtl/>
        </w:rPr>
        <w:t xml:space="preserve">, </w:t>
      </w:r>
      <w:hyperlink r:id="rId16" w:history="1">
        <w:r w:rsidRPr="00BF614C">
          <w:rPr>
            <w:rFonts w:ascii="FrankRuehl" w:hAnsi="FrankRuehl" w:cs="FrankRuehl"/>
            <w:color w:val="0000FF"/>
            <w:u w:val="single"/>
            <w:rtl/>
          </w:rPr>
          <w:t>7(ג)</w:t>
        </w:r>
      </w:hyperlink>
    </w:p>
    <w:p w14:paraId="6794E816" w14:textId="77777777" w:rsidR="00BF614C" w:rsidRPr="00BF614C" w:rsidRDefault="00BF614C" w:rsidP="00BF614C">
      <w:pPr>
        <w:spacing w:after="120" w:line="240" w:lineRule="exact"/>
        <w:ind w:left="283" w:hanging="283"/>
        <w:jc w:val="both"/>
        <w:rPr>
          <w:rFonts w:ascii="FrankRuehl" w:hAnsi="FrankRuehl" w:cs="FrankRuehl"/>
          <w:rtl/>
        </w:rPr>
      </w:pPr>
      <w:hyperlink r:id="rId17" w:history="1">
        <w:r w:rsidRPr="00BF614C">
          <w:rPr>
            <w:rFonts w:ascii="FrankRuehl" w:hAnsi="FrankRuehl" w:cs="FrankRuehl"/>
            <w:color w:val="0000FF"/>
            <w:u w:val="single"/>
            <w:rtl/>
          </w:rPr>
          <w:t>חוק התקשורת (בזק ושידורים), תשמ"ב-1982</w:t>
        </w:r>
      </w:hyperlink>
      <w:r w:rsidRPr="00BF614C">
        <w:rPr>
          <w:rFonts w:ascii="FrankRuehl" w:hAnsi="FrankRuehl" w:cs="FrankRuehl"/>
          <w:rtl/>
        </w:rPr>
        <w:t xml:space="preserve">: סע'  </w:t>
      </w:r>
      <w:hyperlink r:id="rId18" w:history="1">
        <w:r w:rsidRPr="00BF614C">
          <w:rPr>
            <w:rFonts w:ascii="FrankRuehl" w:hAnsi="FrankRuehl" w:cs="FrankRuehl"/>
            <w:color w:val="0000FF"/>
            <w:u w:val="single"/>
            <w:rtl/>
          </w:rPr>
          <w:t>30</w:t>
        </w:r>
      </w:hyperlink>
    </w:p>
    <w:p w14:paraId="56988ECC" w14:textId="77777777" w:rsidR="00BF614C" w:rsidRPr="00BF614C" w:rsidRDefault="00BF614C" w:rsidP="00BF614C">
      <w:pPr>
        <w:spacing w:after="120" w:line="240" w:lineRule="exact"/>
        <w:ind w:left="283" w:hanging="283"/>
        <w:jc w:val="both"/>
        <w:rPr>
          <w:rFonts w:ascii="FrankRuehl" w:hAnsi="FrankRuehl" w:cs="FrankRuehl"/>
          <w:rtl/>
        </w:rPr>
      </w:pPr>
      <w:hyperlink r:id="rId19" w:history="1">
        <w:r w:rsidRPr="00BF614C">
          <w:rPr>
            <w:rFonts w:ascii="FrankRuehl" w:hAnsi="FrankRuehl" w:cs="FrankRuehl"/>
            <w:color w:val="0000FF"/>
            <w:u w:val="single"/>
            <w:rtl/>
          </w:rPr>
          <w:t>חוק המרכז לגביית קנסות, אגרות והוצאות, תשנ"ה-1995</w:t>
        </w:r>
      </w:hyperlink>
      <w:r w:rsidRPr="00BF614C">
        <w:rPr>
          <w:rFonts w:ascii="FrankRuehl" w:hAnsi="FrankRuehl" w:cs="FrankRuehl"/>
          <w:rtl/>
        </w:rPr>
        <w:t xml:space="preserve">: סע'  </w:t>
      </w:r>
      <w:hyperlink r:id="rId20" w:history="1">
        <w:r w:rsidRPr="00BF614C">
          <w:rPr>
            <w:rFonts w:ascii="FrankRuehl" w:hAnsi="FrankRuehl" w:cs="FrankRuehl"/>
            <w:color w:val="0000FF"/>
            <w:u w:val="single"/>
            <w:rtl/>
          </w:rPr>
          <w:t>5ב.</w:t>
        </w:r>
      </w:hyperlink>
    </w:p>
    <w:p w14:paraId="35AB1D26" w14:textId="77777777" w:rsidR="00BF614C" w:rsidRPr="00BF614C" w:rsidRDefault="00BF614C" w:rsidP="00BF614C">
      <w:pPr>
        <w:spacing w:after="120" w:line="240" w:lineRule="exact"/>
        <w:ind w:left="283" w:hanging="283"/>
        <w:jc w:val="both"/>
        <w:rPr>
          <w:rFonts w:ascii="FrankRuehl" w:hAnsi="FrankRuehl" w:cs="FrankRuehl"/>
          <w:rtl/>
        </w:rPr>
      </w:pPr>
    </w:p>
    <w:p w14:paraId="008A0A02" w14:textId="77777777" w:rsidR="00AF4C86" w:rsidRPr="00FB2C2B" w:rsidRDefault="00AF4C86">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4C86" w14:paraId="24AB197F" w14:textId="77777777">
        <w:trPr>
          <w:trHeight w:val="355"/>
          <w:jc w:val="center"/>
        </w:trPr>
        <w:tc>
          <w:tcPr>
            <w:tcW w:w="8820" w:type="dxa"/>
            <w:tcBorders>
              <w:top w:val="nil"/>
              <w:left w:val="nil"/>
              <w:bottom w:val="nil"/>
              <w:right w:val="nil"/>
            </w:tcBorders>
          </w:tcPr>
          <w:p w14:paraId="4AAEA1FA" w14:textId="77777777" w:rsidR="00FB2C2B" w:rsidRPr="00FB2C2B" w:rsidRDefault="00FB2C2B" w:rsidP="00FB2C2B">
            <w:pPr>
              <w:jc w:val="center"/>
              <w:rPr>
                <w:rFonts w:ascii="Arial" w:hAnsi="Arial"/>
                <w:b/>
                <w:bCs/>
                <w:sz w:val="28"/>
                <w:szCs w:val="28"/>
                <w:u w:val="single"/>
                <w:rtl/>
              </w:rPr>
            </w:pPr>
            <w:bookmarkStart w:id="5" w:name="PsakDin" w:colFirst="0" w:colLast="0"/>
            <w:bookmarkEnd w:id="0"/>
            <w:r w:rsidRPr="00FB2C2B">
              <w:rPr>
                <w:rFonts w:ascii="Arial" w:hAnsi="Arial"/>
                <w:b/>
                <w:bCs/>
                <w:sz w:val="28"/>
                <w:szCs w:val="28"/>
                <w:u w:val="single"/>
                <w:rtl/>
              </w:rPr>
              <w:t>גזר דין</w:t>
            </w:r>
          </w:p>
          <w:p w14:paraId="2888D6F4" w14:textId="77777777" w:rsidR="00AF4C86" w:rsidRPr="00FB2C2B" w:rsidRDefault="00AF4C86" w:rsidP="00FB2C2B">
            <w:pPr>
              <w:jc w:val="center"/>
              <w:rPr>
                <w:rFonts w:ascii="Arial" w:hAnsi="Arial"/>
                <w:bCs/>
                <w:u w:val="single"/>
                <w:rtl/>
              </w:rPr>
            </w:pPr>
          </w:p>
        </w:tc>
      </w:tr>
      <w:bookmarkEnd w:id="5"/>
    </w:tbl>
    <w:p w14:paraId="52FDE238" w14:textId="77777777" w:rsidR="00AF4C86" w:rsidRDefault="00AF4C86">
      <w:pPr>
        <w:spacing w:line="360" w:lineRule="auto"/>
        <w:jc w:val="both"/>
        <w:rPr>
          <w:rFonts w:ascii="Arial" w:hAnsi="Arial"/>
          <w:rtl/>
        </w:rPr>
      </w:pPr>
    </w:p>
    <w:p w14:paraId="70DC6A50" w14:textId="77777777" w:rsidR="00AF4C86" w:rsidRDefault="00FB2C2B">
      <w:pPr>
        <w:spacing w:line="360" w:lineRule="auto"/>
        <w:jc w:val="both"/>
        <w:rPr>
          <w:rFonts w:ascii="Arial" w:hAnsi="Arial"/>
          <w:rtl/>
        </w:rPr>
      </w:pPr>
      <w:bookmarkStart w:id="6" w:name="ABSTRACT_START"/>
      <w:bookmarkEnd w:id="6"/>
      <w:r>
        <w:rPr>
          <w:rFonts w:ascii="Arial" w:hAnsi="Arial" w:hint="cs"/>
          <w:rtl/>
        </w:rPr>
        <w:t>במסגרת הסדר דיוני, ללא הסכמה עונשית, הודה הנאשם והורשע ביום 20.2.14 בעבירות אלו:</w:t>
      </w:r>
    </w:p>
    <w:p w14:paraId="52E77573" w14:textId="77777777" w:rsidR="00AF4C86" w:rsidRDefault="00FB2C2B">
      <w:pPr>
        <w:spacing w:line="360" w:lineRule="auto"/>
        <w:ind w:left="720" w:hanging="720"/>
        <w:jc w:val="both"/>
        <w:rPr>
          <w:rtl/>
        </w:rPr>
      </w:pPr>
      <w:r>
        <w:rPr>
          <w:rFonts w:hint="cs"/>
          <w:rtl/>
        </w:rPr>
        <w:t>א.</w:t>
      </w:r>
      <w:r>
        <w:rPr>
          <w:rFonts w:hint="cs"/>
          <w:rtl/>
        </w:rPr>
        <w:tab/>
        <w:t xml:space="preserve">איומים, לפי </w:t>
      </w:r>
      <w:hyperlink r:id="rId21" w:history="1">
        <w:r w:rsidR="00BF614C" w:rsidRPr="00BF614C">
          <w:rPr>
            <w:color w:val="0000FF"/>
            <w:u w:val="single"/>
            <w:rtl/>
          </w:rPr>
          <w:t>סעיף 192</w:t>
        </w:r>
      </w:hyperlink>
      <w:r>
        <w:rPr>
          <w:rFonts w:hint="cs"/>
          <w:rtl/>
        </w:rPr>
        <w:t xml:space="preserve"> ל</w:t>
      </w:r>
      <w:hyperlink r:id="rId22" w:history="1">
        <w:r w:rsidRPr="00FB2C2B">
          <w:rPr>
            <w:color w:val="0000FF"/>
            <w:u w:val="single"/>
            <w:rtl/>
          </w:rPr>
          <w:t>חוק העונשין</w:t>
        </w:r>
      </w:hyperlink>
      <w:r>
        <w:rPr>
          <w:rFonts w:hint="cs"/>
          <w:rtl/>
        </w:rPr>
        <w:t xml:space="preserve">, תשל"ז – 1977 (שתי עבירות). </w:t>
      </w:r>
    </w:p>
    <w:p w14:paraId="14919652" w14:textId="77777777" w:rsidR="00AF4C86" w:rsidRDefault="00FB2C2B">
      <w:pPr>
        <w:spacing w:line="360" w:lineRule="auto"/>
        <w:ind w:left="720" w:hanging="720"/>
        <w:jc w:val="both"/>
        <w:rPr>
          <w:rtl/>
        </w:rPr>
      </w:pPr>
      <w:r>
        <w:rPr>
          <w:rFonts w:hint="cs"/>
          <w:rtl/>
        </w:rPr>
        <w:t>ב.</w:t>
      </w:r>
      <w:r>
        <w:rPr>
          <w:rFonts w:hint="cs"/>
          <w:rtl/>
        </w:rPr>
        <w:tab/>
        <w:t xml:space="preserve">הסגת גבול פלילית, לפי </w:t>
      </w:r>
      <w:hyperlink r:id="rId23" w:history="1">
        <w:r w:rsidR="00BF614C" w:rsidRPr="00BF614C">
          <w:rPr>
            <w:color w:val="0000FF"/>
            <w:u w:val="single"/>
            <w:rtl/>
          </w:rPr>
          <w:t>סעיף 447(א)</w:t>
        </w:r>
      </w:hyperlink>
      <w:r>
        <w:rPr>
          <w:rFonts w:hint="cs"/>
          <w:rtl/>
        </w:rPr>
        <w:t xml:space="preserve"> לחוק הנ"ל. </w:t>
      </w:r>
    </w:p>
    <w:p w14:paraId="30407D97" w14:textId="77777777" w:rsidR="00AF4C86" w:rsidRDefault="00FB2C2B">
      <w:pPr>
        <w:spacing w:line="360" w:lineRule="auto"/>
        <w:ind w:left="720" w:hanging="720"/>
        <w:jc w:val="both"/>
        <w:rPr>
          <w:rtl/>
        </w:rPr>
      </w:pPr>
      <w:r>
        <w:rPr>
          <w:rFonts w:hint="cs"/>
          <w:rtl/>
        </w:rPr>
        <w:t>ג.</w:t>
      </w:r>
      <w:r>
        <w:rPr>
          <w:rFonts w:hint="cs"/>
          <w:rtl/>
        </w:rPr>
        <w:tab/>
        <w:t xml:space="preserve">תקיפת בת זוג, לפי </w:t>
      </w:r>
      <w:hyperlink r:id="rId24" w:history="1">
        <w:r w:rsidR="00BF614C" w:rsidRPr="00BF614C">
          <w:rPr>
            <w:color w:val="0000FF"/>
            <w:u w:val="single"/>
            <w:rtl/>
          </w:rPr>
          <w:t>סעיף 382(ב)</w:t>
        </w:r>
      </w:hyperlink>
      <w:r>
        <w:rPr>
          <w:rFonts w:hint="cs"/>
          <w:rtl/>
        </w:rPr>
        <w:t xml:space="preserve"> לחוק הנ"ל. </w:t>
      </w:r>
    </w:p>
    <w:p w14:paraId="351ECD5E" w14:textId="77777777" w:rsidR="00AF4C86" w:rsidRDefault="00FB2C2B">
      <w:pPr>
        <w:spacing w:line="360" w:lineRule="auto"/>
        <w:ind w:left="720" w:hanging="720"/>
        <w:jc w:val="both"/>
        <w:rPr>
          <w:rtl/>
        </w:rPr>
      </w:pPr>
      <w:r>
        <w:rPr>
          <w:rFonts w:hint="cs"/>
          <w:rtl/>
        </w:rPr>
        <w:t>ד.</w:t>
      </w:r>
      <w:r>
        <w:rPr>
          <w:rFonts w:hint="cs"/>
          <w:rtl/>
        </w:rPr>
        <w:tab/>
        <w:t xml:space="preserve">היזק לרכוש במזיד, לפי </w:t>
      </w:r>
      <w:hyperlink r:id="rId25" w:history="1">
        <w:r w:rsidR="00BF614C" w:rsidRPr="00BF614C">
          <w:rPr>
            <w:color w:val="0000FF"/>
            <w:u w:val="single"/>
            <w:rtl/>
          </w:rPr>
          <w:t>סעיף 452</w:t>
        </w:r>
      </w:hyperlink>
      <w:r>
        <w:rPr>
          <w:rFonts w:hint="cs"/>
          <w:rtl/>
        </w:rPr>
        <w:t xml:space="preserve"> לחוק הנ"ל. </w:t>
      </w:r>
    </w:p>
    <w:p w14:paraId="79B95BDF" w14:textId="77777777" w:rsidR="00AF4C86" w:rsidRDefault="00FB2C2B">
      <w:pPr>
        <w:spacing w:line="360" w:lineRule="auto"/>
        <w:ind w:left="720" w:hanging="720"/>
        <w:jc w:val="both"/>
        <w:rPr>
          <w:rtl/>
        </w:rPr>
      </w:pPr>
      <w:r>
        <w:rPr>
          <w:rFonts w:hint="cs"/>
          <w:rtl/>
        </w:rPr>
        <w:t>ה.</w:t>
      </w:r>
      <w:r>
        <w:rPr>
          <w:rFonts w:hint="cs"/>
          <w:rtl/>
        </w:rPr>
        <w:tab/>
        <w:t xml:space="preserve">חבלה במזיד ברכב, לפי </w:t>
      </w:r>
      <w:hyperlink r:id="rId26" w:history="1">
        <w:r w:rsidR="00BF614C" w:rsidRPr="00BF614C">
          <w:rPr>
            <w:color w:val="0000FF"/>
            <w:u w:val="single"/>
            <w:rtl/>
          </w:rPr>
          <w:t>סעיף 413ה</w:t>
        </w:r>
      </w:hyperlink>
      <w:r>
        <w:rPr>
          <w:rFonts w:hint="cs"/>
          <w:rtl/>
        </w:rPr>
        <w:t xml:space="preserve"> לחוק הנ"ל. </w:t>
      </w:r>
    </w:p>
    <w:p w14:paraId="57067A37" w14:textId="77777777" w:rsidR="00AF4C86" w:rsidRDefault="00FB2C2B">
      <w:pPr>
        <w:spacing w:line="360" w:lineRule="auto"/>
        <w:ind w:left="720" w:hanging="720"/>
        <w:jc w:val="both"/>
        <w:rPr>
          <w:rtl/>
        </w:rPr>
      </w:pPr>
      <w:r>
        <w:rPr>
          <w:rFonts w:hint="cs"/>
          <w:rtl/>
        </w:rPr>
        <w:t>ו.</w:t>
      </w:r>
      <w:r>
        <w:rPr>
          <w:rFonts w:hint="cs"/>
          <w:rtl/>
        </w:rPr>
        <w:tab/>
        <w:t xml:space="preserve">החזקת סם מסוכן לצריכה עצמית, לפי </w:t>
      </w:r>
      <w:hyperlink r:id="rId27" w:history="1">
        <w:r w:rsidR="00BF614C" w:rsidRPr="00BF614C">
          <w:rPr>
            <w:color w:val="0000FF"/>
            <w:u w:val="single"/>
            <w:rtl/>
          </w:rPr>
          <w:t>סעיף 7(א)</w:t>
        </w:r>
      </w:hyperlink>
      <w:r>
        <w:rPr>
          <w:rFonts w:hint="cs"/>
          <w:rtl/>
        </w:rPr>
        <w:t xml:space="preserve"> בצירוף </w:t>
      </w:r>
      <w:hyperlink r:id="rId28" w:history="1">
        <w:r w:rsidR="00BF614C" w:rsidRPr="00BF614C">
          <w:rPr>
            <w:color w:val="0000FF"/>
            <w:u w:val="single"/>
            <w:rtl/>
          </w:rPr>
          <w:t>סעיף 7(ג)</w:t>
        </w:r>
      </w:hyperlink>
      <w:r>
        <w:rPr>
          <w:rFonts w:hint="cs"/>
          <w:rtl/>
        </w:rPr>
        <w:t xml:space="preserve"> סיפא ל</w:t>
      </w:r>
      <w:hyperlink r:id="rId29" w:history="1">
        <w:r w:rsidRPr="00FB2C2B">
          <w:rPr>
            <w:color w:val="0000FF"/>
            <w:u w:val="single"/>
            <w:rtl/>
          </w:rPr>
          <w:t>פקודת הסמים המסוכנים</w:t>
        </w:r>
      </w:hyperlink>
      <w:r>
        <w:rPr>
          <w:rFonts w:hint="cs"/>
          <w:rtl/>
        </w:rPr>
        <w:t xml:space="preserve"> [נוסח חדש], התשל"ג - 1973. </w:t>
      </w:r>
    </w:p>
    <w:p w14:paraId="2E8B61BB" w14:textId="77777777" w:rsidR="00AF4C86" w:rsidRDefault="00FB2C2B">
      <w:pPr>
        <w:spacing w:line="360" w:lineRule="auto"/>
        <w:ind w:left="720" w:hanging="720"/>
        <w:jc w:val="both"/>
        <w:rPr>
          <w:rtl/>
        </w:rPr>
      </w:pPr>
      <w:r>
        <w:rPr>
          <w:rFonts w:hint="cs"/>
          <w:rtl/>
        </w:rPr>
        <w:t>ז.</w:t>
      </w:r>
      <w:r>
        <w:rPr>
          <w:rFonts w:hint="cs"/>
          <w:rtl/>
        </w:rPr>
        <w:tab/>
        <w:t xml:space="preserve">הטרדה באמצעות מתקן בזק, לפי </w:t>
      </w:r>
      <w:hyperlink r:id="rId30" w:history="1">
        <w:r w:rsidR="00BF614C" w:rsidRPr="00BF614C">
          <w:rPr>
            <w:color w:val="0000FF"/>
            <w:u w:val="single"/>
            <w:rtl/>
          </w:rPr>
          <w:t>סעיף 30</w:t>
        </w:r>
      </w:hyperlink>
      <w:r>
        <w:rPr>
          <w:rFonts w:hint="cs"/>
          <w:rtl/>
        </w:rPr>
        <w:t xml:space="preserve"> </w:t>
      </w:r>
      <w:hyperlink r:id="rId31" w:history="1">
        <w:r w:rsidR="00BF614C" w:rsidRPr="00BF614C">
          <w:rPr>
            <w:color w:val="0000FF"/>
            <w:u w:val="single"/>
            <w:rtl/>
          </w:rPr>
          <w:t>לחוק התקשורת, תשמ"ב – 1982.</w:t>
        </w:r>
      </w:hyperlink>
      <w:r>
        <w:rPr>
          <w:rFonts w:hint="cs"/>
          <w:rtl/>
        </w:rPr>
        <w:t xml:space="preserve"> </w:t>
      </w:r>
    </w:p>
    <w:p w14:paraId="3430FCEE" w14:textId="77777777" w:rsidR="00AF4C86" w:rsidRDefault="00AF4C86">
      <w:pPr>
        <w:spacing w:line="360" w:lineRule="auto"/>
        <w:jc w:val="both"/>
        <w:rPr>
          <w:rFonts w:ascii="Arial" w:hAnsi="Arial"/>
          <w:rtl/>
        </w:rPr>
      </w:pPr>
      <w:bookmarkStart w:id="7" w:name="ABSTRACT_END"/>
      <w:bookmarkEnd w:id="7"/>
    </w:p>
    <w:p w14:paraId="56640090" w14:textId="77777777" w:rsidR="00AF4C86" w:rsidRDefault="00FB2C2B">
      <w:pPr>
        <w:spacing w:line="360" w:lineRule="auto"/>
        <w:jc w:val="both"/>
        <w:rPr>
          <w:rtl/>
        </w:rPr>
      </w:pPr>
      <w:r>
        <w:rPr>
          <w:rFonts w:hint="cs"/>
          <w:rtl/>
        </w:rPr>
        <w:t xml:space="preserve">במסגרת ההסדר נערך תסקיר שירות המבחן, וביוזמת בית המשפט נערכה גם חוות דעת של הממונה על עבודות השירות, והנאשם נמצא כלא כשיר לביצוע העבודות </w:t>
      </w:r>
      <w:r>
        <w:rPr>
          <w:rtl/>
        </w:rPr>
        <w:t>–</w:t>
      </w:r>
      <w:r>
        <w:rPr>
          <w:rFonts w:hint="cs"/>
          <w:rtl/>
        </w:rPr>
        <w:t xml:space="preserve"> קביעה עליה לא חלקה ההגנה.</w:t>
      </w:r>
    </w:p>
    <w:p w14:paraId="557686CD" w14:textId="77777777" w:rsidR="00AF4C86" w:rsidRDefault="00AF4C86">
      <w:pPr>
        <w:spacing w:line="360" w:lineRule="auto"/>
        <w:jc w:val="both"/>
        <w:rPr>
          <w:rtl/>
        </w:rPr>
      </w:pPr>
    </w:p>
    <w:p w14:paraId="3F1E554B" w14:textId="77777777" w:rsidR="00AF4C86" w:rsidRDefault="00FB2C2B">
      <w:pPr>
        <w:spacing w:line="360" w:lineRule="auto"/>
        <w:jc w:val="both"/>
        <w:rPr>
          <w:rtl/>
        </w:rPr>
      </w:pPr>
      <w:r>
        <w:rPr>
          <w:rFonts w:hint="cs"/>
          <w:b/>
          <w:bCs/>
          <w:u w:val="single"/>
          <w:rtl/>
        </w:rPr>
        <w:lastRenderedPageBreak/>
        <w:t>מעשי הנאשם:</w:t>
      </w:r>
    </w:p>
    <w:p w14:paraId="09BAEA87" w14:textId="77777777" w:rsidR="00AF4C86" w:rsidRDefault="00FB2C2B">
      <w:pPr>
        <w:pStyle w:val="ListParagraph"/>
        <w:numPr>
          <w:ilvl w:val="0"/>
          <w:numId w:val="1"/>
        </w:numPr>
        <w:spacing w:line="360" w:lineRule="auto"/>
        <w:jc w:val="both"/>
      </w:pPr>
      <w:r>
        <w:rPr>
          <w:rFonts w:hint="cs"/>
          <w:rtl/>
        </w:rPr>
        <w:t>בסתיו 2012 נפרדו הנאשם והמתלוננת מ.א., לאחר שהיו בני זוג וגרו יחד בדירת המתלוננת. הנאשם לא השלים עם הפרידה ונהג להתקשר למתלוננת בטלפון ובאמצעות הפייסבוק, להטריד אותה, לקלל ולאיים עליה (חלק כללי).</w:t>
      </w:r>
    </w:p>
    <w:p w14:paraId="62C3ED12" w14:textId="77777777" w:rsidR="00AF4C86" w:rsidRDefault="00FB2C2B">
      <w:pPr>
        <w:pStyle w:val="ListParagraph"/>
        <w:numPr>
          <w:ilvl w:val="0"/>
          <w:numId w:val="1"/>
        </w:numPr>
        <w:spacing w:line="360" w:lineRule="auto"/>
        <w:jc w:val="both"/>
      </w:pPr>
      <w:r>
        <w:rPr>
          <w:rFonts w:hint="cs"/>
          <w:rtl/>
        </w:rPr>
        <w:t xml:space="preserve">במהלך החודשים יוני </w:t>
      </w:r>
      <w:r>
        <w:rPr>
          <w:rtl/>
        </w:rPr>
        <w:t>–</w:t>
      </w:r>
      <w:r>
        <w:rPr>
          <w:rFonts w:hint="cs"/>
          <w:rtl/>
        </w:rPr>
        <w:t xml:space="preserve"> ספטמבר 2013 שלח הנאשם למתלוננת שלוש הודעות ובהן הטריד וגידף אותה בביטויים מעליבים וקשים. בגין אלו הורשע הנאשם בעבירה של הטרדה באמצעות מתקן בזק (אישום שני).</w:t>
      </w:r>
    </w:p>
    <w:p w14:paraId="116AB5F1" w14:textId="77777777" w:rsidR="00AF4C86" w:rsidRDefault="00FB2C2B">
      <w:pPr>
        <w:pStyle w:val="ListParagraph"/>
        <w:numPr>
          <w:ilvl w:val="0"/>
          <w:numId w:val="1"/>
        </w:numPr>
        <w:spacing w:line="360" w:lineRule="auto"/>
        <w:jc w:val="both"/>
      </w:pPr>
      <w:r>
        <w:rPr>
          <w:rFonts w:hint="cs"/>
          <w:rtl/>
        </w:rPr>
        <w:t>בתאריך 12.9.13 ארע האירוע בגינו נעצר הנאשם (אישום ראשון):</w:t>
      </w:r>
    </w:p>
    <w:p w14:paraId="45D28F54" w14:textId="77777777" w:rsidR="00AF4C86" w:rsidRDefault="00FB2C2B">
      <w:pPr>
        <w:pStyle w:val="ListParagraph"/>
        <w:numPr>
          <w:ilvl w:val="1"/>
          <w:numId w:val="1"/>
        </w:numPr>
        <w:spacing w:line="360" w:lineRule="auto"/>
        <w:jc w:val="both"/>
      </w:pPr>
      <w:r>
        <w:rPr>
          <w:rFonts w:hint="cs"/>
          <w:rtl/>
        </w:rPr>
        <w:t>סמוך לחצות התקשר הנאשם למיטל, חברתה של המתלוננת, דרש לדבר עם המתלוננת ואיים שאחרת "יקרה משהו איום למתלוננת ולבני משפחתה". המתלוננת התקשרה אפוא לנאשם, שאמר לה שבכוונתו להתאבד.</w:t>
      </w:r>
    </w:p>
    <w:p w14:paraId="39D16CDF" w14:textId="77777777" w:rsidR="00AF4C86" w:rsidRDefault="00FB2C2B">
      <w:pPr>
        <w:pStyle w:val="ListParagraph"/>
        <w:numPr>
          <w:ilvl w:val="1"/>
          <w:numId w:val="1"/>
        </w:numPr>
        <w:spacing w:line="360" w:lineRule="auto"/>
        <w:jc w:val="both"/>
      </w:pPr>
      <w:r>
        <w:rPr>
          <w:rFonts w:hint="cs"/>
          <w:rtl/>
        </w:rPr>
        <w:t>המתלוננת המודאגת הודיעה למשטרה וקבעה, יחד עם מיטל, להיפגש עם הנאשם בבית החולים "גהה" לצורך אשפוזו. הנאשם נבדק שם ושוחרר, והמתלוננת ומיטל לקחו את הנאשם ברכבה של מיטל לתחנת מוניות כדי שיחזור במונית למקום מגוריו. הנאשם נכנס למונית והמתלוננת, שליוותה אותו בדאגתה, חזרה לרכבה של מיטל.</w:t>
      </w:r>
    </w:p>
    <w:p w14:paraId="324A7B4F" w14:textId="77777777" w:rsidR="00AF4C86" w:rsidRDefault="00FB2C2B">
      <w:pPr>
        <w:pStyle w:val="ListParagraph"/>
        <w:numPr>
          <w:ilvl w:val="1"/>
          <w:numId w:val="1"/>
        </w:numPr>
        <w:spacing w:line="360" w:lineRule="auto"/>
        <w:jc w:val="both"/>
      </w:pPr>
      <w:r>
        <w:rPr>
          <w:rFonts w:hint="cs"/>
          <w:rtl/>
        </w:rPr>
        <w:t>לפתע רץ הנאשם לעבר רכבה של מיטל, קילל, ירק וניסה לפתוח את הרכב. מיטל והמתלוננת ברחו בנסיעה ברכב, והנאשם התקשר למיטל מספר פעמים ואיים ברצח של המתלוננת וילדיה.</w:t>
      </w:r>
    </w:p>
    <w:p w14:paraId="6E69466F" w14:textId="77777777" w:rsidR="00AF4C86" w:rsidRDefault="00FB2C2B">
      <w:pPr>
        <w:pStyle w:val="ListParagraph"/>
        <w:numPr>
          <w:ilvl w:val="1"/>
          <w:numId w:val="1"/>
        </w:numPr>
        <w:spacing w:line="360" w:lineRule="auto"/>
        <w:jc w:val="both"/>
      </w:pPr>
      <w:r>
        <w:rPr>
          <w:rFonts w:hint="cs"/>
          <w:rtl/>
        </w:rPr>
        <w:t>סמוך לשעה 02:30 הגיע הנאשם לדירת המתלוננת, הסיג גבול לתוכה ונכנס כשהוא מנופף במקל, צועק ומקלל. המתלוננת ניסתה להרגיעו אך הנאשם דחף אותה ואיים לתקוף אותה במקל. לבסוף נמלטה המתלוננת החוצה, נעלה את הנאשם ואת מיטל בדירה והזעיקה משטרה.</w:t>
      </w:r>
    </w:p>
    <w:p w14:paraId="57C00E21" w14:textId="77777777" w:rsidR="00AF4C86" w:rsidRDefault="00FB2C2B">
      <w:pPr>
        <w:pStyle w:val="ListParagraph"/>
        <w:numPr>
          <w:ilvl w:val="1"/>
          <w:numId w:val="1"/>
        </w:numPr>
        <w:spacing w:line="360" w:lineRule="auto"/>
        <w:jc w:val="both"/>
      </w:pPr>
      <w:r>
        <w:rPr>
          <w:rFonts w:hint="cs"/>
          <w:rtl/>
        </w:rPr>
        <w:t>בינתיים השתולל הנאשם בדירה וגרם נזק רב לרכוש, ולאחר מכן יצא דרך החלון ושבר באבן את שמשת מכוניתה של המתלוננת, והכל תוך צעקות ואיומים ברצח, ועד שהוברח מהמקום על-ידי שכן שריסס אותו בגז פלפל.</w:t>
      </w:r>
    </w:p>
    <w:p w14:paraId="7DEAE0ED" w14:textId="77777777" w:rsidR="00AF4C86" w:rsidRDefault="00FB2C2B">
      <w:pPr>
        <w:pStyle w:val="ListParagraph"/>
        <w:numPr>
          <w:ilvl w:val="1"/>
          <w:numId w:val="1"/>
        </w:numPr>
        <w:spacing w:line="360" w:lineRule="auto"/>
        <w:jc w:val="both"/>
      </w:pPr>
      <w:r>
        <w:rPr>
          <w:rFonts w:hint="cs"/>
          <w:rtl/>
        </w:rPr>
        <w:t>הנאשם נעצר לאחר מכן ועל גופו נתפס חשיש במשקל 11.4 גרם ברוטו לצריכה עצמית.</w:t>
      </w:r>
    </w:p>
    <w:p w14:paraId="36C3D53E" w14:textId="77777777" w:rsidR="00AF4C86" w:rsidRDefault="00AF4C86">
      <w:pPr>
        <w:spacing w:line="360" w:lineRule="auto"/>
        <w:jc w:val="both"/>
        <w:rPr>
          <w:rtl/>
        </w:rPr>
      </w:pPr>
    </w:p>
    <w:p w14:paraId="11D869CB" w14:textId="77777777" w:rsidR="00AF4C86" w:rsidRDefault="00FB2C2B">
      <w:pPr>
        <w:spacing w:line="360" w:lineRule="auto"/>
        <w:jc w:val="both"/>
        <w:rPr>
          <w:b/>
          <w:bCs/>
          <w:u w:val="single"/>
          <w:rtl/>
        </w:rPr>
      </w:pPr>
      <w:r>
        <w:rPr>
          <w:rFonts w:hint="cs"/>
          <w:b/>
          <w:bCs/>
          <w:u w:val="single"/>
          <w:rtl/>
        </w:rPr>
        <w:t>מתחם העונש הראוי לעבירות של הטרדה באמצעות מתקן בזק בהודעות:</w:t>
      </w:r>
    </w:p>
    <w:p w14:paraId="365F420D" w14:textId="77777777" w:rsidR="00AF4C86" w:rsidRDefault="00FB2C2B">
      <w:pPr>
        <w:pStyle w:val="ListParagraph"/>
        <w:numPr>
          <w:ilvl w:val="0"/>
          <w:numId w:val="2"/>
        </w:numPr>
        <w:spacing w:line="360" w:lineRule="auto"/>
        <w:jc w:val="both"/>
      </w:pPr>
      <w:r>
        <w:rPr>
          <w:rFonts w:hint="cs"/>
          <w:rtl/>
        </w:rPr>
        <w:t xml:space="preserve">עבירה זו באה להגן על שלוות נפשו של אדם. במקרה דנן, ההטרדות החוזרות ונשנות, עם המלל המבזה והקשה, שהגבול בינו לבין איום הינו דק מאוד, גרמו לפגיעה קשה בערך המוגן. קל לתאר את מצוקתה של המתלוננת לנוכח התמדתו של הנאשם במירור חייה והכרזותיו שהוא עתיד להתאבד בשל התנהגותה, כך שניתן לקבוע שפוטנציאל הנזק התממש כדבעי. </w:t>
      </w:r>
    </w:p>
    <w:p w14:paraId="7F75B420" w14:textId="77777777" w:rsidR="00AF4C86" w:rsidRDefault="00FB2C2B">
      <w:pPr>
        <w:pStyle w:val="ListParagraph"/>
        <w:numPr>
          <w:ilvl w:val="0"/>
          <w:numId w:val="2"/>
        </w:numPr>
        <w:spacing w:line="360" w:lineRule="auto"/>
        <w:jc w:val="both"/>
      </w:pPr>
      <w:r>
        <w:rPr>
          <w:rFonts w:hint="cs"/>
          <w:rtl/>
        </w:rPr>
        <w:lastRenderedPageBreak/>
        <w:t>לנוכח חומרת ההטרדה והחזרתיות שבביצוע, אך גם לנוכח הענישה הלא-מחמירה הנהוגה בגין עבירה זו, ייקבע מתחם הולם שבין מאסר מותנה לבין שישה חודשי מאסר בפועל (שניתן לרצותם בעבודות שירות) כעונש עיקרי, כהצעת התביעה, לכלל האירועים.</w:t>
      </w:r>
    </w:p>
    <w:p w14:paraId="618C33CC" w14:textId="77777777" w:rsidR="00AF4C86" w:rsidRDefault="00AF4C86">
      <w:pPr>
        <w:spacing w:line="360" w:lineRule="auto"/>
        <w:jc w:val="both"/>
        <w:rPr>
          <w:rtl/>
        </w:rPr>
      </w:pPr>
    </w:p>
    <w:p w14:paraId="5AAC02D5" w14:textId="77777777" w:rsidR="00AF4C86" w:rsidRDefault="00FB2C2B">
      <w:pPr>
        <w:spacing w:line="360" w:lineRule="auto"/>
        <w:jc w:val="both"/>
        <w:rPr>
          <w:b/>
          <w:bCs/>
          <w:u w:val="single"/>
          <w:rtl/>
        </w:rPr>
      </w:pPr>
      <w:r>
        <w:rPr>
          <w:rFonts w:hint="cs"/>
          <w:b/>
          <w:bCs/>
          <w:u w:val="single"/>
          <w:rtl/>
        </w:rPr>
        <w:t>מתחם העונש ההולם לאירוע מיום 12.9.13:</w:t>
      </w:r>
    </w:p>
    <w:p w14:paraId="13F58A89" w14:textId="77777777" w:rsidR="00AF4C86" w:rsidRDefault="00FB2C2B">
      <w:pPr>
        <w:pStyle w:val="ListParagraph"/>
        <w:numPr>
          <w:ilvl w:val="0"/>
          <w:numId w:val="3"/>
        </w:numPr>
        <w:spacing w:line="360" w:lineRule="auto"/>
        <w:jc w:val="both"/>
      </w:pPr>
      <w:r>
        <w:rPr>
          <w:rFonts w:hint="cs"/>
          <w:rtl/>
        </w:rPr>
        <w:t xml:space="preserve">לפי הוראות </w:t>
      </w:r>
      <w:hyperlink r:id="rId32" w:history="1">
        <w:r w:rsidR="00BF614C" w:rsidRPr="00BF614C">
          <w:rPr>
            <w:color w:val="0000FF"/>
            <w:u w:val="single"/>
            <w:rtl/>
          </w:rPr>
          <w:t>סעיף 40יג</w:t>
        </w:r>
      </w:hyperlink>
      <w:r>
        <w:rPr>
          <w:rFonts w:hint="cs"/>
          <w:rtl/>
        </w:rPr>
        <w:t xml:space="preserve"> והנחיות הפסיקה, אראה באירוע 'אירוע עבירה' אחד, על-אף התפרסותו בזמנים ומקומות שונים, לנוכח הזיקה בין המעשים והעבירות (וראו למשל </w:t>
      </w:r>
      <w:hyperlink r:id="rId33" w:history="1">
        <w:r w:rsidRPr="00FB2C2B">
          <w:rPr>
            <w:color w:val="0000FF"/>
            <w:u w:val="single"/>
            <w:rtl/>
          </w:rPr>
          <w:t>ע"פ  1127/13</w:t>
        </w:r>
      </w:hyperlink>
      <w:r>
        <w:rPr>
          <w:rtl/>
        </w:rPr>
        <w:t xml:space="preserve"> </w:t>
      </w:r>
      <w:r>
        <w:rPr>
          <w:b/>
          <w:bCs/>
          <w:rtl/>
        </w:rPr>
        <w:t>גברזגיי נ' מ.י.</w:t>
      </w:r>
      <w:r>
        <w:rPr>
          <w:rtl/>
        </w:rPr>
        <w:t xml:space="preserve"> (2014)</w:t>
      </w:r>
      <w:r>
        <w:rPr>
          <w:rFonts w:hint="cs"/>
          <w:rtl/>
        </w:rPr>
        <w:t xml:space="preserve"> ).</w:t>
      </w:r>
    </w:p>
    <w:p w14:paraId="4DD0657D" w14:textId="77777777" w:rsidR="00AF4C86" w:rsidRDefault="00FB2C2B">
      <w:pPr>
        <w:pStyle w:val="ListParagraph"/>
        <w:numPr>
          <w:ilvl w:val="0"/>
          <w:numId w:val="3"/>
        </w:numPr>
        <w:spacing w:line="360" w:lineRule="auto"/>
        <w:jc w:val="both"/>
      </w:pPr>
      <w:r>
        <w:rPr>
          <w:rFonts w:hint="cs"/>
          <w:rtl/>
        </w:rPr>
        <w:t>הערכים שנפגעו:</w:t>
      </w:r>
    </w:p>
    <w:p w14:paraId="4ED23D55" w14:textId="77777777" w:rsidR="00AF4C86" w:rsidRDefault="00FB2C2B">
      <w:pPr>
        <w:pStyle w:val="ListParagraph"/>
        <w:numPr>
          <w:ilvl w:val="1"/>
          <w:numId w:val="3"/>
        </w:numPr>
        <w:spacing w:line="360" w:lineRule="auto"/>
        <w:jc w:val="both"/>
      </w:pPr>
      <w:r>
        <w:rPr>
          <w:rFonts w:hint="cs"/>
          <w:rtl/>
        </w:rPr>
        <w:t xml:space="preserve">מעשה התקיפה אמנם היה מינורי למדי </w:t>
      </w:r>
      <w:r>
        <w:rPr>
          <w:rtl/>
        </w:rPr>
        <w:t>–</w:t>
      </w:r>
      <w:r>
        <w:rPr>
          <w:rFonts w:hint="cs"/>
          <w:rtl/>
        </w:rPr>
        <w:t xml:space="preserve"> דחיפת המתלוננת </w:t>
      </w:r>
      <w:r>
        <w:rPr>
          <w:rtl/>
        </w:rPr>
        <w:t>–</w:t>
      </w:r>
      <w:r>
        <w:rPr>
          <w:rFonts w:hint="cs"/>
          <w:rtl/>
        </w:rPr>
        <w:t xml:space="preserve"> אולם גם מעשה זה פגע באוטונומית המתלוננת על גופה ובשלומה הפיזי. חומרה מיוחדת נודעת לעובדה שמדובר בבת זוג לשעבר, המתבטאת בהחמרה העונשית שקבע המחוקק.</w:t>
      </w:r>
    </w:p>
    <w:p w14:paraId="7287C64F" w14:textId="77777777" w:rsidR="00AF4C86" w:rsidRDefault="00FB2C2B">
      <w:pPr>
        <w:pStyle w:val="ListParagraph"/>
        <w:numPr>
          <w:ilvl w:val="1"/>
          <w:numId w:val="3"/>
        </w:numPr>
        <w:spacing w:line="360" w:lineRule="auto"/>
        <w:jc w:val="both"/>
      </w:pPr>
      <w:r>
        <w:rPr>
          <w:rFonts w:hint="cs"/>
          <w:rtl/>
        </w:rPr>
        <w:t>מעשי האיום פגעו באופן קשה וחמור בשלוות הנפש של המתלוננת ובחופש הרצון שלה.</w:t>
      </w:r>
    </w:p>
    <w:p w14:paraId="5DCFBC22" w14:textId="77777777" w:rsidR="00AF4C86" w:rsidRDefault="00FB2C2B">
      <w:pPr>
        <w:pStyle w:val="ListParagraph"/>
        <w:numPr>
          <w:ilvl w:val="1"/>
          <w:numId w:val="3"/>
        </w:numPr>
        <w:spacing w:line="360" w:lineRule="auto"/>
        <w:jc w:val="both"/>
      </w:pPr>
      <w:r>
        <w:rPr>
          <w:rFonts w:hint="cs"/>
          <w:rtl/>
        </w:rPr>
        <w:t>הסגת הגבול האלימה והפרועה לדירתה של המתלוננת פגעה בזכותה של המתלוננת לקניין, בזכותה לחירות בתוך ביתה-מבצרה, בשלוות נפשה ובאוטונומיה שלה.</w:t>
      </w:r>
    </w:p>
    <w:p w14:paraId="057152E0" w14:textId="77777777" w:rsidR="00AF4C86" w:rsidRDefault="00FB2C2B">
      <w:pPr>
        <w:pStyle w:val="ListParagraph"/>
        <w:numPr>
          <w:ilvl w:val="1"/>
          <w:numId w:val="3"/>
        </w:numPr>
        <w:spacing w:line="360" w:lineRule="auto"/>
        <w:jc w:val="both"/>
      </w:pPr>
      <w:r>
        <w:rPr>
          <w:rFonts w:hint="cs"/>
          <w:rtl/>
        </w:rPr>
        <w:t>ההשחתה הפרועה של הרכוש בבית ושל המכונית פגעו חמורות בזכות הקניין של המתלוננת.</w:t>
      </w:r>
    </w:p>
    <w:p w14:paraId="67850BC7" w14:textId="77777777" w:rsidR="00AF4C86" w:rsidRDefault="00FB2C2B">
      <w:pPr>
        <w:pStyle w:val="ListParagraph"/>
        <w:numPr>
          <w:ilvl w:val="1"/>
          <w:numId w:val="3"/>
        </w:numPr>
        <w:spacing w:line="360" w:lineRule="auto"/>
        <w:jc w:val="both"/>
      </w:pPr>
      <w:r>
        <w:rPr>
          <w:rFonts w:hint="cs"/>
          <w:rtl/>
        </w:rPr>
        <w:t>בהתחשב בכלל הנסיבות, כאשר הנאשם שב ופגע בכל מעשה ממעשיו באוטונומיה ובחופש הרצון של המתלוננת, וכאשר כל מעשיו כוונו להשלטת רצונו הנקמני כלפיה, יש לקבוע כי מידת הפגיעה בכלל הערכים היתה גבוהה וחמורה.</w:t>
      </w:r>
    </w:p>
    <w:p w14:paraId="7621B82B" w14:textId="77777777" w:rsidR="00AF4C86" w:rsidRDefault="00FB2C2B">
      <w:pPr>
        <w:pStyle w:val="ListParagraph"/>
        <w:numPr>
          <w:ilvl w:val="0"/>
          <w:numId w:val="3"/>
        </w:numPr>
        <w:spacing w:line="360" w:lineRule="auto"/>
        <w:jc w:val="both"/>
      </w:pPr>
      <w:r>
        <w:rPr>
          <w:rFonts w:hint="cs"/>
          <w:rtl/>
        </w:rPr>
        <w:t>למתלוננת נגרמו נזקים רכושיים משמעותיים, ברמה המייתרת הערכה של נזקים פוטנציאליים. הנזק הנפשי אינו ידוע, אך קל במקרה זה להעריך ולקבוע כי מדובר בנזק ממשי, ואפילו לא ניתן לקבוע כי הוא מתמיד.</w:t>
      </w:r>
    </w:p>
    <w:p w14:paraId="06A33286" w14:textId="77777777" w:rsidR="00AF4C86" w:rsidRDefault="00FB2C2B">
      <w:pPr>
        <w:pStyle w:val="ListParagraph"/>
        <w:numPr>
          <w:ilvl w:val="0"/>
          <w:numId w:val="3"/>
        </w:numPr>
        <w:spacing w:line="360" w:lineRule="auto"/>
        <w:jc w:val="both"/>
      </w:pPr>
      <w:r>
        <w:rPr>
          <w:rFonts w:hint="cs"/>
          <w:rtl/>
        </w:rPr>
        <w:t>בין הנסיבות יש לציין את התמשכות האירוע והסלמתו, מאיומים ועד תקיפה והשתוללות מאיימת, כאשר הנאשם אינו עוצר ואינו נרתע בשום שלב, אף מגיע במיוחד לבית המתלוננת כדי לתקוף, לאיים ולהשחית רכוש.</w:t>
      </w:r>
    </w:p>
    <w:p w14:paraId="3DD5FD8C" w14:textId="77777777" w:rsidR="00AF4C86" w:rsidRDefault="00FB2C2B">
      <w:pPr>
        <w:pStyle w:val="ListParagraph"/>
        <w:numPr>
          <w:ilvl w:val="0"/>
          <w:numId w:val="3"/>
        </w:numPr>
        <w:spacing w:line="360" w:lineRule="auto"/>
        <w:jc w:val="both"/>
      </w:pPr>
      <w:r>
        <w:rPr>
          <w:rFonts w:hint="cs"/>
          <w:rtl/>
        </w:rPr>
        <w:t>בנסיבות אלו, ותוך שאני נותן דעתי על מדיניות הענישה הנהוגה, יש לקבוע מתחם עונשי שבין ארבעה חודשי מאסר (שניתן לרצותם בעבודות שירות) ועד 18 חודשי מאסר, כעונש עיקרי.</w:t>
      </w:r>
    </w:p>
    <w:p w14:paraId="556CA68B" w14:textId="77777777" w:rsidR="00AF4C86" w:rsidRDefault="00FB2C2B">
      <w:pPr>
        <w:pStyle w:val="ListParagraph"/>
        <w:numPr>
          <w:ilvl w:val="0"/>
          <w:numId w:val="3"/>
        </w:numPr>
        <w:spacing w:line="360" w:lineRule="auto"/>
        <w:jc w:val="both"/>
      </w:pPr>
      <w:r>
        <w:rPr>
          <w:rFonts w:hint="cs"/>
          <w:rtl/>
        </w:rPr>
        <w:t>אציין, שלא מצאתי צורך או תועלת בהתייחסות מחמירה נפרדת למעשה החזקת הסמים.</w:t>
      </w:r>
    </w:p>
    <w:p w14:paraId="443E15A9" w14:textId="77777777" w:rsidR="00AF4C86" w:rsidRDefault="00AF4C86">
      <w:pPr>
        <w:spacing w:line="360" w:lineRule="auto"/>
        <w:jc w:val="both"/>
        <w:rPr>
          <w:rtl/>
        </w:rPr>
      </w:pPr>
    </w:p>
    <w:p w14:paraId="1CD1D534" w14:textId="77777777" w:rsidR="00AF4C86" w:rsidRDefault="00FB2C2B">
      <w:pPr>
        <w:spacing w:line="360" w:lineRule="auto"/>
        <w:jc w:val="both"/>
        <w:rPr>
          <w:b/>
          <w:bCs/>
          <w:u w:val="single"/>
          <w:rtl/>
        </w:rPr>
      </w:pPr>
      <w:r>
        <w:rPr>
          <w:rFonts w:hint="cs"/>
          <w:b/>
          <w:bCs/>
          <w:u w:val="single"/>
          <w:rtl/>
        </w:rPr>
        <w:t>קביעת העונש במתחמים - נסיבות אישיות שאינן קשורות בעבירה:</w:t>
      </w:r>
    </w:p>
    <w:p w14:paraId="38ECF971" w14:textId="77777777" w:rsidR="00AF4C86" w:rsidRDefault="00FB2C2B">
      <w:pPr>
        <w:pStyle w:val="ListParagraph"/>
        <w:numPr>
          <w:ilvl w:val="0"/>
          <w:numId w:val="4"/>
        </w:numPr>
        <w:spacing w:line="360" w:lineRule="auto"/>
        <w:jc w:val="both"/>
      </w:pPr>
      <w:r>
        <w:rPr>
          <w:rFonts w:hint="cs"/>
          <w:rtl/>
        </w:rPr>
        <w:t>הנאשם יליד 1977, כבן 26 כיום, גרוש וללא ילדים, העובד כעצמאי בשיווק אבן ושיש, ללא עבר פלילי.</w:t>
      </w:r>
    </w:p>
    <w:p w14:paraId="762A3DD0" w14:textId="77777777" w:rsidR="00AF4C86" w:rsidRDefault="00FB2C2B">
      <w:pPr>
        <w:pStyle w:val="ListParagraph"/>
        <w:numPr>
          <w:ilvl w:val="0"/>
          <w:numId w:val="4"/>
        </w:numPr>
        <w:spacing w:line="360" w:lineRule="auto"/>
        <w:jc w:val="both"/>
      </w:pPr>
      <w:r>
        <w:rPr>
          <w:rFonts w:hint="cs"/>
          <w:rtl/>
        </w:rPr>
        <w:t>מוצאו של הנאשם במשפחה נורמטיבית, אך לדבריו לא סיפקו הוריו את צרכיו וצרכי אחיו כנדרש. לאחר שבגר הנאשם, הסתבך אביו בחובות ונמלט מהארץ כשהוא מותיר את הנאשם לשלם חובותיו. לאורך השנים פנה הנאשם לטיפול פסיכיאטרי ואובחן כסובל ממצב דכאוני, אך לא התמיד בטיפול וניתק קשר עם מטפליו. הנאשם נהג להשתמש בקנאביס מגיל 20, עד למעצרו.</w:t>
      </w:r>
    </w:p>
    <w:p w14:paraId="4D9245A1" w14:textId="77777777" w:rsidR="00AF4C86" w:rsidRDefault="00FB2C2B">
      <w:pPr>
        <w:pStyle w:val="ListParagraph"/>
        <w:numPr>
          <w:ilvl w:val="0"/>
          <w:numId w:val="4"/>
        </w:numPr>
        <w:spacing w:line="360" w:lineRule="auto"/>
        <w:jc w:val="both"/>
      </w:pPr>
      <w:r>
        <w:rPr>
          <w:rFonts w:hint="cs"/>
          <w:rtl/>
        </w:rPr>
        <w:t>בשנת 2013, בהיותו כבן 35, נישא למתלוננת לאחר היכרות קצרה. הקשר היה קצר אך רווי עוצמות רגשיות ואלימות מילולית. השניים נפרדו, לאחר שהמתלוננת הפילה את עוברה ללא ידיעה ושיתוף של הנאשם. הנאשם תולה התנהגותו בתסכול וחוסר שביעות רצון מהתנהגות המתלוננת, אך שירות המבחן מציין שהנאשם טשטש את חומרת מעשיו.</w:t>
      </w:r>
    </w:p>
    <w:p w14:paraId="7F860F12" w14:textId="77777777" w:rsidR="00AF4C86" w:rsidRDefault="00FB2C2B">
      <w:pPr>
        <w:pStyle w:val="ListParagraph"/>
        <w:numPr>
          <w:ilvl w:val="0"/>
          <w:numId w:val="4"/>
        </w:numPr>
        <w:spacing w:line="360" w:lineRule="auto"/>
        <w:jc w:val="both"/>
      </w:pPr>
      <w:r>
        <w:rPr>
          <w:rFonts w:hint="cs"/>
          <w:rtl/>
        </w:rPr>
        <w:t>הנאשם אינו נמצא בקשר עם המתלוננת מאז מעצרו ושחרורו, כפי שמסרה גם המתלוננת לשירות. לאחר שחרורו ממעצר חדל הנאשם משימוש בסמים (כפי שהעידו בדיקות שתן) והוא פנה לטיפול נפשי פרטי, על-רקע דכאון וחרדה. הנאשם מטופל בתרופות ובטיפול שיחתי, כשהוא מתמיד בטיפול מדצמבר 2013. במהלך הטיפול עוסק הנאשם גם במניעי מעשיו ומשמעותם, ומתקדם בהבנתם ובחרטתו בגינם (מכתב נע/1, מיולי 2014).</w:t>
      </w:r>
    </w:p>
    <w:p w14:paraId="54FD20B8" w14:textId="77777777" w:rsidR="00AF4C86" w:rsidRDefault="00FB2C2B">
      <w:pPr>
        <w:pStyle w:val="ListParagraph"/>
        <w:numPr>
          <w:ilvl w:val="0"/>
          <w:numId w:val="4"/>
        </w:numPr>
        <w:spacing w:line="360" w:lineRule="auto"/>
        <w:jc w:val="both"/>
      </w:pPr>
      <w:r>
        <w:rPr>
          <w:rFonts w:hint="cs"/>
          <w:rtl/>
        </w:rPr>
        <w:t>שירות המבחן מוצא כי מדובר באדם נורמטיבי ככלל, נטול נורמות עברייניות, שמעשיו נבעו מתסכול וכעס ללא יכולת שליטה בתחושות אלו. השירות התרשם מהבנתו של הנאשם את טיב מעשיו ואת מצבו, ומפנייתו לטיפול יעיל. לנוכח התמדתו של הנאשם בטיפול, היעדר קשר עם המתלוננת, המוטיבציה של הנאשם להמשך הטיפול, הבסיס הנורמטיבי התקין של הנאשם והיעדר הסתבכויות קודמות, ממליץ השירות על נקיטתו של אפיק שיקומי של צו מבחן ושל"צ.</w:t>
      </w:r>
    </w:p>
    <w:p w14:paraId="0DDD245D" w14:textId="77777777" w:rsidR="00AF4C86" w:rsidRDefault="00FB2C2B">
      <w:pPr>
        <w:pStyle w:val="ListParagraph"/>
        <w:numPr>
          <w:ilvl w:val="0"/>
          <w:numId w:val="4"/>
        </w:numPr>
        <w:spacing w:line="360" w:lineRule="auto"/>
        <w:jc w:val="both"/>
      </w:pPr>
      <w:r>
        <w:rPr>
          <w:rFonts w:hint="cs"/>
          <w:rtl/>
        </w:rPr>
        <w:t>עוד יש לציין כי פגיעתו של מאסר ראשון בנאשם עתידה להיות קשה, אך לעניין הפגיעה במשפחתו יש לציין כי אין לנאשם תלויים.</w:t>
      </w:r>
    </w:p>
    <w:p w14:paraId="77C8BE60" w14:textId="77777777" w:rsidR="00AF4C86" w:rsidRDefault="00FB2C2B">
      <w:pPr>
        <w:pStyle w:val="ListParagraph"/>
        <w:numPr>
          <w:ilvl w:val="0"/>
          <w:numId w:val="4"/>
        </w:numPr>
        <w:spacing w:line="360" w:lineRule="auto"/>
        <w:jc w:val="both"/>
      </w:pPr>
      <w:r>
        <w:rPr>
          <w:rFonts w:hint="cs"/>
          <w:rtl/>
        </w:rPr>
        <w:t>הנאשם הודה והביע חרטה כנה, עניין שיש לזקוף לזכותו, כמו גם את הירתמותו הכנה לטיפול.</w:t>
      </w:r>
    </w:p>
    <w:p w14:paraId="6B3C6AB9" w14:textId="77777777" w:rsidR="00AF4C86" w:rsidRDefault="00FB2C2B">
      <w:pPr>
        <w:pStyle w:val="ListParagraph"/>
        <w:numPr>
          <w:ilvl w:val="0"/>
          <w:numId w:val="4"/>
        </w:numPr>
        <w:spacing w:line="360" w:lineRule="auto"/>
        <w:jc w:val="both"/>
      </w:pPr>
      <w:r>
        <w:rPr>
          <w:rFonts w:hint="cs"/>
          <w:rtl/>
        </w:rPr>
        <w:t>עוד יש לזקוף לזכות הנאשם את היעדרו של עבר פלילי ואת אורח חייו התקין, ככלל.</w:t>
      </w:r>
    </w:p>
    <w:p w14:paraId="07D7332C" w14:textId="77777777" w:rsidR="00AF4C86" w:rsidRDefault="00FB2C2B">
      <w:pPr>
        <w:pStyle w:val="ListParagraph"/>
        <w:numPr>
          <w:ilvl w:val="0"/>
          <w:numId w:val="4"/>
        </w:numPr>
        <w:spacing w:line="360" w:lineRule="auto"/>
        <w:jc w:val="both"/>
      </w:pPr>
      <w:r>
        <w:rPr>
          <w:rFonts w:hint="cs"/>
          <w:rtl/>
        </w:rPr>
        <w:t>לפיכך, ייקבע עונשו של הנאשם בקרבה לחלק התחתון של מתחמי העונש.</w:t>
      </w:r>
    </w:p>
    <w:p w14:paraId="65D2CB1D" w14:textId="77777777" w:rsidR="00AF4C86" w:rsidRDefault="00FB2C2B">
      <w:pPr>
        <w:pStyle w:val="ListParagraph"/>
        <w:numPr>
          <w:ilvl w:val="0"/>
          <w:numId w:val="4"/>
        </w:numPr>
        <w:spacing w:line="360" w:lineRule="auto"/>
        <w:jc w:val="both"/>
      </w:pPr>
      <w:r>
        <w:rPr>
          <w:rFonts w:hint="cs"/>
          <w:rtl/>
        </w:rPr>
        <w:t xml:space="preserve">לנוכח מצבו הכלכלי של הנאשם, אמנע מהטלת קנס. לא כך באשר לפיצוי, שכן לפי ההלכה הפסוקה, מצבו הכלכלי של הנאשם ויכולת התשלום שלו אינם משפיעים על קביעתו של פיצוי, כדין  פיצוי אזרחי (והשוו </w:t>
      </w:r>
      <w:hyperlink r:id="rId34" w:history="1">
        <w:r w:rsidRPr="00FB2C2B">
          <w:rPr>
            <w:color w:val="0000FF"/>
            <w:u w:val="single"/>
            <w:rtl/>
          </w:rPr>
          <w:t>ע"פ 5761/05</w:t>
        </w:r>
      </w:hyperlink>
      <w:r>
        <w:rPr>
          <w:rFonts w:hint="cs"/>
          <w:rtl/>
        </w:rPr>
        <w:t xml:space="preserve"> </w:t>
      </w:r>
      <w:r>
        <w:rPr>
          <w:rFonts w:hint="cs"/>
          <w:b/>
          <w:bCs/>
          <w:rtl/>
        </w:rPr>
        <w:t>מג'דלאוי נ' מ.י.</w:t>
      </w:r>
      <w:r>
        <w:rPr>
          <w:rFonts w:hint="cs"/>
          <w:rtl/>
        </w:rPr>
        <w:t xml:space="preserve"> (2006) ו</w:t>
      </w:r>
      <w:hyperlink r:id="rId35" w:history="1">
        <w:r w:rsidRPr="00FB2C2B">
          <w:rPr>
            <w:color w:val="0000FF"/>
            <w:u w:val="single"/>
            <w:rtl/>
          </w:rPr>
          <w:t>ע"פ 2661/12</w:t>
        </w:r>
      </w:hyperlink>
      <w:r>
        <w:rPr>
          <w:rFonts w:hint="cs"/>
          <w:rtl/>
        </w:rPr>
        <w:t xml:space="preserve"> </w:t>
      </w:r>
      <w:r>
        <w:rPr>
          <w:rFonts w:hint="cs"/>
          <w:b/>
          <w:bCs/>
          <w:rtl/>
        </w:rPr>
        <w:t>פלוני נ' מ.י.</w:t>
      </w:r>
      <w:r>
        <w:rPr>
          <w:rFonts w:hint="cs"/>
          <w:rtl/>
        </w:rPr>
        <w:t xml:space="preserve"> (2012) ). מועד תשלומו של הפיצוי יידחה ואילו דחייתו הנוספת או פריסתו לתשלומים יהיו במידת הצורך עניין לטיפול המרכז לגביית קנסות לפי </w:t>
      </w:r>
      <w:hyperlink r:id="rId36" w:history="1">
        <w:r w:rsidR="00BF614C" w:rsidRPr="00BF614C">
          <w:rPr>
            <w:color w:val="0000FF"/>
            <w:u w:val="single"/>
            <w:rtl/>
          </w:rPr>
          <w:t>סעיף 5ב.</w:t>
        </w:r>
      </w:hyperlink>
      <w:r>
        <w:rPr>
          <w:rFonts w:hint="cs"/>
          <w:rtl/>
        </w:rPr>
        <w:t xml:space="preserve"> ל</w:t>
      </w:r>
      <w:hyperlink r:id="rId37" w:history="1">
        <w:r w:rsidRPr="00FB2C2B">
          <w:rPr>
            <w:color w:val="0000FF"/>
            <w:u w:val="single"/>
            <w:rtl/>
          </w:rPr>
          <w:t>חוק המרכז לגביית קנסות, אגרות והוצאות</w:t>
        </w:r>
      </w:hyperlink>
      <w:r>
        <w:rPr>
          <w:rFonts w:hint="cs"/>
          <w:rtl/>
        </w:rPr>
        <w:t>, תשנ"ה-1995.</w:t>
      </w:r>
    </w:p>
    <w:p w14:paraId="62C71736" w14:textId="77777777" w:rsidR="00AF4C86" w:rsidRDefault="00AF4C86">
      <w:pPr>
        <w:spacing w:line="360" w:lineRule="auto"/>
        <w:jc w:val="both"/>
        <w:rPr>
          <w:rtl/>
        </w:rPr>
      </w:pPr>
    </w:p>
    <w:p w14:paraId="0AD2603E" w14:textId="77777777" w:rsidR="00AF4C86" w:rsidRDefault="00FB2C2B">
      <w:pPr>
        <w:spacing w:line="360" w:lineRule="auto"/>
        <w:jc w:val="both"/>
        <w:rPr>
          <w:rtl/>
        </w:rPr>
      </w:pPr>
      <w:r>
        <w:rPr>
          <w:rFonts w:hint="cs"/>
          <w:b/>
          <w:bCs/>
          <w:u w:val="single"/>
          <w:rtl/>
        </w:rPr>
        <w:t>סוף דבר, אני גוזר על הנאשם את העונשים הבאים:</w:t>
      </w:r>
    </w:p>
    <w:p w14:paraId="43C2D409" w14:textId="77777777" w:rsidR="00AF4C86" w:rsidRDefault="00FB2C2B">
      <w:pPr>
        <w:pStyle w:val="ListParagraph"/>
        <w:numPr>
          <w:ilvl w:val="0"/>
          <w:numId w:val="5"/>
        </w:numPr>
        <w:spacing w:line="360" w:lineRule="auto"/>
        <w:jc w:val="both"/>
      </w:pPr>
      <w:r>
        <w:rPr>
          <w:rFonts w:hint="cs"/>
          <w:rtl/>
        </w:rPr>
        <w:t>מאסר בפועל בן חמישה חודשים, בניכוי ימי מעצרו מיום 12.9.13 ועד 11.12.13, ואפילו יראו רישומי שב"ס אחרת.</w:t>
      </w:r>
    </w:p>
    <w:p w14:paraId="244D28E0" w14:textId="77777777" w:rsidR="00AF4C86" w:rsidRDefault="00FB2C2B">
      <w:pPr>
        <w:pStyle w:val="ListParagraph"/>
        <w:numPr>
          <w:ilvl w:val="0"/>
          <w:numId w:val="5"/>
        </w:numPr>
        <w:spacing w:line="360" w:lineRule="auto"/>
        <w:jc w:val="both"/>
      </w:pPr>
      <w:r>
        <w:rPr>
          <w:rFonts w:hint="cs"/>
          <w:rtl/>
        </w:rPr>
        <w:t>מאסר על-תנאי בן שלושה חודשים למשך שנתיים מהיום, שלא יעבור עבירה עליה הורשע בתיק זה.</w:t>
      </w:r>
    </w:p>
    <w:p w14:paraId="3F25D76A" w14:textId="77777777" w:rsidR="00AF4C86" w:rsidRDefault="00FB2C2B">
      <w:pPr>
        <w:pStyle w:val="ListParagraph"/>
        <w:numPr>
          <w:ilvl w:val="0"/>
          <w:numId w:val="5"/>
        </w:numPr>
        <w:spacing w:line="360" w:lineRule="auto"/>
        <w:jc w:val="both"/>
      </w:pPr>
      <w:r>
        <w:rPr>
          <w:rFonts w:hint="cs"/>
          <w:rtl/>
        </w:rPr>
        <w:t xml:space="preserve">פיצוי למתלוננת בסך של 7,000 ₪, שיופקד בקופת בית המשפט ויועבר למתלוננת, לא יאוחר מיום 1.2.15 . </w:t>
      </w:r>
    </w:p>
    <w:p w14:paraId="29C5E6A2" w14:textId="77777777" w:rsidR="00AF4C86" w:rsidRDefault="00AF4C86">
      <w:pPr>
        <w:spacing w:line="360" w:lineRule="auto"/>
        <w:jc w:val="both"/>
        <w:rPr>
          <w:rtl/>
        </w:rPr>
      </w:pPr>
    </w:p>
    <w:p w14:paraId="282DA8A0" w14:textId="77777777" w:rsidR="00AF4C86" w:rsidRDefault="00FB2C2B">
      <w:pPr>
        <w:spacing w:line="360" w:lineRule="auto"/>
        <w:jc w:val="both"/>
        <w:rPr>
          <w:rtl/>
        </w:rPr>
      </w:pPr>
      <w:r>
        <w:rPr>
          <w:rFonts w:hint="cs"/>
          <w:rtl/>
        </w:rPr>
        <w:t>לנוכח מעצרו של הנאשם בתיק אחר, אינני מחייב אותו בצו מבחן.</w:t>
      </w:r>
    </w:p>
    <w:p w14:paraId="7AAAB872" w14:textId="77777777" w:rsidR="00AF4C86" w:rsidRDefault="00AF4C86">
      <w:pPr>
        <w:spacing w:line="360" w:lineRule="auto"/>
        <w:jc w:val="both"/>
        <w:rPr>
          <w:rtl/>
        </w:rPr>
      </w:pPr>
    </w:p>
    <w:p w14:paraId="0272E1B5" w14:textId="77777777" w:rsidR="00AF4C86" w:rsidRDefault="00FB2C2B">
      <w:pPr>
        <w:spacing w:line="360" w:lineRule="auto"/>
        <w:jc w:val="both"/>
        <w:rPr>
          <w:b/>
          <w:bCs/>
          <w:u w:val="single"/>
          <w:rtl/>
        </w:rPr>
      </w:pPr>
      <w:r>
        <w:rPr>
          <w:rFonts w:hint="cs"/>
          <w:b/>
          <w:bCs/>
          <w:u w:val="single"/>
          <w:rtl/>
        </w:rPr>
        <w:t>הוראות נלוות:</w:t>
      </w:r>
    </w:p>
    <w:p w14:paraId="0C498CA3" w14:textId="77777777" w:rsidR="00AF4C86" w:rsidRDefault="00FB2C2B">
      <w:pPr>
        <w:pStyle w:val="ListParagraph"/>
        <w:numPr>
          <w:ilvl w:val="0"/>
          <w:numId w:val="6"/>
        </w:numPr>
        <w:spacing w:line="360" w:lineRule="auto"/>
        <w:jc w:val="both"/>
      </w:pPr>
      <w:r>
        <w:rPr>
          <w:rFonts w:hint="cs"/>
          <w:rtl/>
        </w:rPr>
        <w:t xml:space="preserve">עותק גזר הדין יישלח לידיעה לממונה על עבודות השירות, לשירות המבחן </w:t>
      </w:r>
      <w:r>
        <w:rPr>
          <w:rFonts w:hint="cs"/>
          <w:u w:val="single"/>
          <w:rtl/>
        </w:rPr>
        <w:t>וכן</w:t>
      </w:r>
      <w:r>
        <w:rPr>
          <w:rFonts w:hint="cs"/>
          <w:rtl/>
        </w:rPr>
        <w:t xml:space="preserve"> למתלוננת (עדת תביעה 1 בכתב האישום).</w:t>
      </w:r>
    </w:p>
    <w:p w14:paraId="7CA4FF50" w14:textId="77777777" w:rsidR="00AF4C86" w:rsidRDefault="00FB2C2B">
      <w:pPr>
        <w:pStyle w:val="ListParagraph"/>
        <w:numPr>
          <w:ilvl w:val="0"/>
          <w:numId w:val="6"/>
        </w:numPr>
        <w:spacing w:line="360" w:lineRule="auto"/>
        <w:jc w:val="both"/>
      </w:pPr>
      <w:r>
        <w:rPr>
          <w:rFonts w:hint="cs"/>
          <w:rtl/>
        </w:rPr>
        <w:t>הסם יושמד.</w:t>
      </w:r>
    </w:p>
    <w:p w14:paraId="60E39670" w14:textId="77777777" w:rsidR="00AF4C86" w:rsidRDefault="00FB2C2B">
      <w:pPr>
        <w:pStyle w:val="ListParagraph"/>
        <w:numPr>
          <w:ilvl w:val="0"/>
          <w:numId w:val="6"/>
        </w:numPr>
        <w:spacing w:line="360" w:lineRule="auto"/>
        <w:jc w:val="both"/>
        <w:rPr>
          <w:rtl/>
        </w:rPr>
      </w:pPr>
      <w:r>
        <w:rPr>
          <w:rFonts w:hint="cs"/>
          <w:rtl/>
        </w:rPr>
        <w:t>כל מוצג שבעליו ידוע יושב לו, וכל מוצג אחר יועבר להכרעה פרטנית של קצין משטרה.</w:t>
      </w:r>
    </w:p>
    <w:p w14:paraId="160F3775" w14:textId="77777777" w:rsidR="00AF4C86" w:rsidRDefault="00AF4C86">
      <w:pPr>
        <w:spacing w:line="360" w:lineRule="auto"/>
        <w:jc w:val="both"/>
        <w:rPr>
          <w:rtl/>
        </w:rPr>
      </w:pPr>
    </w:p>
    <w:p w14:paraId="60CF4524" w14:textId="77777777" w:rsidR="00AF4C86" w:rsidRDefault="00AF4C86">
      <w:pPr>
        <w:spacing w:line="360" w:lineRule="auto"/>
        <w:jc w:val="both"/>
        <w:rPr>
          <w:rtl/>
        </w:rPr>
      </w:pPr>
    </w:p>
    <w:p w14:paraId="0A9C546B" w14:textId="77777777" w:rsidR="00AF4C86" w:rsidRDefault="00FB2C2B">
      <w:pPr>
        <w:spacing w:line="360" w:lineRule="auto"/>
        <w:jc w:val="both"/>
        <w:rPr>
          <w:rtl/>
        </w:rPr>
      </w:pPr>
      <w:r>
        <w:rPr>
          <w:rFonts w:hint="cs"/>
          <w:rtl/>
        </w:rPr>
        <w:t>זכות ערעור תוך 45 יום מהיום.</w:t>
      </w:r>
    </w:p>
    <w:p w14:paraId="2A5F3449" w14:textId="77777777" w:rsidR="00AF4C86" w:rsidRDefault="00AF4C86">
      <w:pPr>
        <w:spacing w:line="360" w:lineRule="auto"/>
        <w:jc w:val="both"/>
        <w:rPr>
          <w:rtl/>
        </w:rPr>
      </w:pPr>
    </w:p>
    <w:p w14:paraId="21659CD4" w14:textId="77777777" w:rsidR="00AF4C86" w:rsidRPr="00FB2C2B" w:rsidRDefault="00FB2C2B">
      <w:pPr>
        <w:spacing w:line="360" w:lineRule="auto"/>
        <w:jc w:val="both"/>
        <w:rPr>
          <w:color w:val="FFFFFF"/>
          <w:sz w:val="2"/>
          <w:szCs w:val="2"/>
          <w:rtl/>
        </w:rPr>
      </w:pPr>
      <w:r w:rsidRPr="00FB2C2B">
        <w:rPr>
          <w:color w:val="FFFFFF"/>
          <w:sz w:val="2"/>
          <w:szCs w:val="2"/>
          <w:rtl/>
        </w:rPr>
        <w:t>5129371</w:t>
      </w:r>
    </w:p>
    <w:p w14:paraId="523E2F5B" w14:textId="77777777" w:rsidR="00AF4C86" w:rsidRDefault="00FB2C2B">
      <w:pPr>
        <w:rPr>
          <w:rtl/>
        </w:rPr>
      </w:pPr>
      <w:r w:rsidRPr="00FB2C2B">
        <w:rPr>
          <w:rFonts w:ascii="Arial" w:hAnsi="Arial"/>
          <w:color w:val="FFFFFF"/>
          <w:sz w:val="2"/>
          <w:szCs w:val="2"/>
          <w:rtl/>
        </w:rPr>
        <w:t>54678313</w:t>
      </w:r>
      <w:r>
        <w:rPr>
          <w:rFonts w:ascii="Arial" w:hAnsi="Arial"/>
          <w:rtl/>
        </w:rPr>
        <w:t xml:space="preserve">ניתן היום,  ב' כסלו תשע"ה, 24 נובמבר 2014, במעמד הצדדים. </w:t>
      </w:r>
    </w:p>
    <w:p w14:paraId="36AB94B2" w14:textId="77777777" w:rsidR="00AF4C86" w:rsidRDefault="00FB2C2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F7433F2" w14:textId="77777777" w:rsidR="00AF4C86" w:rsidRDefault="00AF4C86">
      <w:pPr>
        <w:jc w:val="center"/>
        <w:rPr>
          <w:rFonts w:ascii="Arial" w:hAnsi="Arial"/>
          <w:rtl/>
        </w:rPr>
      </w:pPr>
    </w:p>
    <w:p w14:paraId="57F9CF76" w14:textId="77777777" w:rsidR="00AF4C86" w:rsidRDefault="00AF4C86">
      <w:pPr>
        <w:rPr>
          <w:rtl/>
        </w:rPr>
      </w:pPr>
    </w:p>
    <w:p w14:paraId="2598C825" w14:textId="77777777" w:rsidR="00AF4C86" w:rsidRPr="00BF614C" w:rsidRDefault="00BF614C">
      <w:pPr>
        <w:pStyle w:val="a3"/>
        <w:jc w:val="center"/>
        <w:rPr>
          <w:color w:val="FFFFFF"/>
          <w:sz w:val="2"/>
          <w:szCs w:val="2"/>
          <w:rtl/>
        </w:rPr>
      </w:pPr>
      <w:r w:rsidRPr="00BF614C">
        <w:rPr>
          <w:color w:val="FFFFFF"/>
          <w:sz w:val="2"/>
          <w:szCs w:val="2"/>
          <w:rtl/>
        </w:rPr>
        <w:t>5129371</w:t>
      </w:r>
    </w:p>
    <w:p w14:paraId="71430AF4" w14:textId="77777777" w:rsidR="00FB2C2B" w:rsidRPr="00BF614C" w:rsidRDefault="00BF614C" w:rsidP="00FB2C2B">
      <w:pPr>
        <w:keepNext/>
        <w:rPr>
          <w:rFonts w:ascii="David" w:hAnsi="David"/>
          <w:color w:val="FFFFFF"/>
          <w:sz w:val="2"/>
          <w:szCs w:val="2"/>
          <w:rtl/>
        </w:rPr>
      </w:pPr>
      <w:r w:rsidRPr="00BF614C">
        <w:rPr>
          <w:rFonts w:ascii="David" w:hAnsi="David"/>
          <w:color w:val="FFFFFF"/>
          <w:sz w:val="2"/>
          <w:szCs w:val="2"/>
          <w:rtl/>
        </w:rPr>
        <w:t>54678313</w:t>
      </w:r>
    </w:p>
    <w:p w14:paraId="340838D7" w14:textId="77777777" w:rsidR="00FB2C2B" w:rsidRPr="00FB2C2B" w:rsidRDefault="00FB2C2B" w:rsidP="00FB2C2B">
      <w:pPr>
        <w:keepNext/>
        <w:rPr>
          <w:rFonts w:ascii="David" w:hAnsi="David"/>
          <w:color w:val="000000"/>
          <w:sz w:val="22"/>
          <w:szCs w:val="22"/>
          <w:rtl/>
        </w:rPr>
      </w:pPr>
      <w:r w:rsidRPr="00FB2C2B">
        <w:rPr>
          <w:rFonts w:ascii="David" w:hAnsi="David"/>
          <w:color w:val="000000"/>
          <w:sz w:val="22"/>
          <w:szCs w:val="22"/>
          <w:rtl/>
        </w:rPr>
        <w:t>עידו דרויאן 54678313</w:t>
      </w:r>
    </w:p>
    <w:p w14:paraId="3A794FDF" w14:textId="77777777" w:rsidR="00FB2C2B" w:rsidRDefault="00FB2C2B" w:rsidP="00FB2C2B">
      <w:r w:rsidRPr="00FB2C2B">
        <w:rPr>
          <w:color w:val="000000"/>
          <w:rtl/>
        </w:rPr>
        <w:t>נוסח מסמך זה כפוף לשינויי ניסוח ועריכה</w:t>
      </w:r>
    </w:p>
    <w:p w14:paraId="5AF9E797" w14:textId="77777777" w:rsidR="00FB2C2B" w:rsidRDefault="00FB2C2B" w:rsidP="00FB2C2B">
      <w:pPr>
        <w:rPr>
          <w:rtl/>
        </w:rPr>
      </w:pPr>
    </w:p>
    <w:p w14:paraId="403673EE" w14:textId="77777777" w:rsidR="00FB2C2B" w:rsidRDefault="00FB2C2B" w:rsidP="00FB2C2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40A56C5" w14:textId="77777777" w:rsidR="00BF614C" w:rsidRPr="00BF614C" w:rsidRDefault="00BF614C" w:rsidP="00BF614C">
      <w:pPr>
        <w:keepNext/>
        <w:rPr>
          <w:rFonts w:ascii="David" w:hAnsi="David"/>
          <w:color w:val="000000"/>
          <w:sz w:val="22"/>
          <w:szCs w:val="22"/>
          <w:rtl/>
        </w:rPr>
      </w:pPr>
    </w:p>
    <w:sectPr w:rsidR="00BF614C" w:rsidRPr="00BF614C" w:rsidSect="00BF614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ACA65" w14:textId="77777777" w:rsidR="00F43435" w:rsidRPr="00A07C6A" w:rsidRDefault="00F43435">
      <w:pPr>
        <w:rPr>
          <w:rFonts w:cs="Arial"/>
          <w:szCs w:val="20"/>
        </w:rPr>
      </w:pPr>
      <w:r>
        <w:separator/>
      </w:r>
    </w:p>
  </w:endnote>
  <w:endnote w:type="continuationSeparator" w:id="0">
    <w:p w14:paraId="38576EFE" w14:textId="77777777" w:rsidR="00F43435" w:rsidRPr="00A07C6A" w:rsidRDefault="00F4343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DDBA5" w14:textId="77777777" w:rsidR="00BF614C" w:rsidRDefault="00BF614C" w:rsidP="00BF61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70470D" w14:textId="77777777" w:rsidR="00AF4C86" w:rsidRPr="00BF614C" w:rsidRDefault="00BF614C" w:rsidP="00BF614C">
    <w:pPr>
      <w:pStyle w:val="a4"/>
      <w:pBdr>
        <w:top w:val="single" w:sz="4" w:space="1" w:color="auto"/>
        <w:between w:val="single" w:sz="4" w:space="0" w:color="auto"/>
      </w:pBdr>
      <w:spacing w:after="60"/>
      <w:jc w:val="center"/>
      <w:rPr>
        <w:rFonts w:ascii="FrankRuehl" w:hAnsi="FrankRuehl" w:cs="FrankRuehl"/>
        <w:color w:val="000000"/>
      </w:rPr>
    </w:pPr>
    <w:r w:rsidRPr="00BF61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B6FC" w14:textId="77777777" w:rsidR="00BF614C" w:rsidRDefault="00BF614C" w:rsidP="00BF61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7703">
      <w:rPr>
        <w:rFonts w:ascii="FrankRuehl" w:hAnsi="FrankRuehl" w:cs="FrankRuehl"/>
        <w:noProof/>
        <w:rtl/>
      </w:rPr>
      <w:t>1</w:t>
    </w:r>
    <w:r>
      <w:rPr>
        <w:rFonts w:ascii="FrankRuehl" w:hAnsi="FrankRuehl" w:cs="FrankRuehl"/>
        <w:rtl/>
      </w:rPr>
      <w:fldChar w:fldCharType="end"/>
    </w:r>
  </w:p>
  <w:p w14:paraId="00A9CBA6" w14:textId="77777777" w:rsidR="00AF4C86" w:rsidRPr="00BF614C" w:rsidRDefault="00BF614C" w:rsidP="00BF614C">
    <w:pPr>
      <w:pStyle w:val="a4"/>
      <w:pBdr>
        <w:top w:val="single" w:sz="4" w:space="1" w:color="auto"/>
        <w:between w:val="single" w:sz="4" w:space="0" w:color="auto"/>
      </w:pBdr>
      <w:spacing w:after="60"/>
      <w:jc w:val="center"/>
      <w:rPr>
        <w:rFonts w:ascii="FrankRuehl" w:hAnsi="FrankRuehl" w:cs="FrankRuehl"/>
        <w:color w:val="000000"/>
      </w:rPr>
    </w:pPr>
    <w:r w:rsidRPr="00BF614C">
      <w:rPr>
        <w:rFonts w:ascii="FrankRuehl" w:hAnsi="FrankRuehl" w:cs="FrankRuehl"/>
        <w:color w:val="000000"/>
      </w:rPr>
      <w:pict w14:anchorId="562C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9CE9A" w14:textId="77777777" w:rsidR="00F43435" w:rsidRPr="00A07C6A" w:rsidRDefault="00F43435">
      <w:pPr>
        <w:rPr>
          <w:rFonts w:cs="Arial"/>
          <w:szCs w:val="20"/>
        </w:rPr>
      </w:pPr>
      <w:r>
        <w:separator/>
      </w:r>
    </w:p>
  </w:footnote>
  <w:footnote w:type="continuationSeparator" w:id="0">
    <w:p w14:paraId="4F487B04" w14:textId="77777777" w:rsidR="00F43435" w:rsidRPr="00A07C6A" w:rsidRDefault="00F4343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E03F" w14:textId="77777777" w:rsidR="00FB2C2B" w:rsidRPr="00BF614C" w:rsidRDefault="00BF614C" w:rsidP="00BF61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28804-09-13</w:t>
    </w:r>
    <w:r>
      <w:rPr>
        <w:rFonts w:ascii="David" w:hAnsi="David"/>
        <w:color w:val="000000"/>
        <w:sz w:val="22"/>
        <w:szCs w:val="22"/>
        <w:rtl/>
      </w:rPr>
      <w:tab/>
      <w:t xml:space="preserve"> מדינת ישראל נ' דוד-דיווי צבעוני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063C7" w14:textId="77777777" w:rsidR="00FB2C2B" w:rsidRPr="00BF614C" w:rsidRDefault="00BF614C" w:rsidP="00BF61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28804-09-13</w:t>
    </w:r>
    <w:r>
      <w:rPr>
        <w:rFonts w:ascii="David" w:hAnsi="David"/>
        <w:color w:val="000000"/>
        <w:sz w:val="22"/>
        <w:szCs w:val="22"/>
        <w:rtl/>
      </w:rPr>
      <w:tab/>
      <w:t xml:space="preserve"> מדינת ישראל נ' דוד-דיווי צבעוני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56D"/>
    <w:multiLevelType w:val="hybridMultilevel"/>
    <w:tmpl w:val="ECEA6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C3811"/>
    <w:multiLevelType w:val="hybridMultilevel"/>
    <w:tmpl w:val="25A44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DB722F"/>
    <w:multiLevelType w:val="hybridMultilevel"/>
    <w:tmpl w:val="D97AC72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4A5F30"/>
    <w:multiLevelType w:val="hybridMultilevel"/>
    <w:tmpl w:val="A4FAA564"/>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9A7A07"/>
    <w:multiLevelType w:val="hybridMultilevel"/>
    <w:tmpl w:val="487AC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2C0EE9"/>
    <w:multiLevelType w:val="hybridMultilevel"/>
    <w:tmpl w:val="48601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2852101">
    <w:abstractNumId w:val="2"/>
  </w:num>
  <w:num w:numId="2" w16cid:durableId="1228301449">
    <w:abstractNumId w:val="1"/>
  </w:num>
  <w:num w:numId="3" w16cid:durableId="438450245">
    <w:abstractNumId w:val="3"/>
  </w:num>
  <w:num w:numId="4" w16cid:durableId="1656178156">
    <w:abstractNumId w:val="0"/>
  </w:num>
  <w:num w:numId="5" w16cid:durableId="812873422">
    <w:abstractNumId w:val="5"/>
  </w:num>
  <w:num w:numId="6" w16cid:durableId="56750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4C86"/>
    <w:rsid w:val="000A0010"/>
    <w:rsid w:val="00267703"/>
    <w:rsid w:val="00A91F63"/>
    <w:rsid w:val="00AF4C86"/>
    <w:rsid w:val="00BF614C"/>
    <w:rsid w:val="00F43435"/>
    <w:rsid w:val="00FB2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4DC882"/>
  <w15:chartTrackingRefBased/>
  <w15:docId w15:val="{78B29E6D-45D5-4A93-B728-F6834F3D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4C8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F4C86"/>
    <w:pPr>
      <w:tabs>
        <w:tab w:val="center" w:pos="4153"/>
        <w:tab w:val="right" w:pos="8306"/>
      </w:tabs>
    </w:pPr>
  </w:style>
  <w:style w:type="paragraph" w:styleId="a4">
    <w:name w:val="footer"/>
    <w:basedOn w:val="a"/>
    <w:rsid w:val="00AF4C86"/>
    <w:pPr>
      <w:tabs>
        <w:tab w:val="center" w:pos="4153"/>
        <w:tab w:val="right" w:pos="8306"/>
      </w:tabs>
    </w:pPr>
  </w:style>
  <w:style w:type="character" w:styleId="a5">
    <w:name w:val="page number"/>
    <w:basedOn w:val="a0"/>
    <w:rsid w:val="00AF4C86"/>
  </w:style>
  <w:style w:type="paragraph" w:customStyle="1" w:styleId="ListParagraph">
    <w:name w:val="List Paragraph"/>
    <w:basedOn w:val="a"/>
    <w:rsid w:val="00AF4C86"/>
    <w:pPr>
      <w:ind w:left="720"/>
      <w:contextualSpacing/>
    </w:pPr>
  </w:style>
  <w:style w:type="character" w:styleId="Hyperlink">
    <w:name w:val="Hyperlink"/>
    <w:basedOn w:val="a0"/>
    <w:rsid w:val="00FB2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4420/30" TargetMode="External"/><Relationship Id="rId26" Type="http://schemas.openxmlformats.org/officeDocument/2006/relationships/hyperlink" Target="http://www.nevo.co.il/law/70301/413e" TargetMode="External"/><Relationship Id="rId39" Type="http://schemas.openxmlformats.org/officeDocument/2006/relationships/header" Target="header1.xml"/><Relationship Id="rId21" Type="http://schemas.openxmlformats.org/officeDocument/2006/relationships/hyperlink" Target="http://www.nevo.co.il/law/70301/192" TargetMode="External"/><Relationship Id="rId34" Type="http://schemas.openxmlformats.org/officeDocument/2006/relationships/hyperlink" Target="http://www.nevo.co.il/case/603189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75003/5b" TargetMode="External"/><Relationship Id="rId29" Type="http://schemas.openxmlformats.org/officeDocument/2006/relationships/hyperlink" Target="http://www.nevo.co.il/law/42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e" TargetMode="External"/><Relationship Id="rId24" Type="http://schemas.openxmlformats.org/officeDocument/2006/relationships/hyperlink" Target="http://www.nevo.co.il/law/70301/382.b"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law/7500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47.a"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5003/5b"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law/75003" TargetMode="External"/><Relationship Id="rId31" Type="http://schemas.openxmlformats.org/officeDocument/2006/relationships/hyperlink" Target="http://www.nevo.co.il/law/7442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82.b"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4420/30" TargetMode="External"/><Relationship Id="rId35" Type="http://schemas.openxmlformats.org/officeDocument/2006/relationships/hyperlink" Target="http://www.nevo.co.il/case/6244398" TargetMode="External"/><Relationship Id="rId43" Type="http://schemas.openxmlformats.org/officeDocument/2006/relationships/fontTable" Target="fontTable.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447.a" TargetMode="External"/><Relationship Id="rId17" Type="http://schemas.openxmlformats.org/officeDocument/2006/relationships/hyperlink" Target="http://www.nevo.co.il/law/74420" TargetMode="External"/><Relationship Id="rId25" Type="http://schemas.openxmlformats.org/officeDocument/2006/relationships/hyperlink" Target="http://www.nevo.co.il/law/70301/452" TargetMode="External"/><Relationship Id="rId33" Type="http://schemas.openxmlformats.org/officeDocument/2006/relationships/hyperlink" Target="http://www.nevo.co.il/case/60185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8055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8323175</vt:i4>
      </vt:variant>
      <vt:variant>
        <vt:i4>90</vt:i4>
      </vt:variant>
      <vt:variant>
        <vt:i4>0</vt:i4>
      </vt:variant>
      <vt:variant>
        <vt:i4>5</vt:i4>
      </vt:variant>
      <vt:variant>
        <vt:lpwstr>http://www.nevo.co.il/law/75003</vt:lpwstr>
      </vt:variant>
      <vt:variant>
        <vt:lpwstr/>
      </vt:variant>
      <vt:variant>
        <vt:i4>3276897</vt:i4>
      </vt:variant>
      <vt:variant>
        <vt:i4>87</vt:i4>
      </vt:variant>
      <vt:variant>
        <vt:i4>0</vt:i4>
      </vt:variant>
      <vt:variant>
        <vt:i4>5</vt:i4>
      </vt:variant>
      <vt:variant>
        <vt:lpwstr>http://www.nevo.co.il/law/75003/5b</vt:lpwstr>
      </vt:variant>
      <vt:variant>
        <vt:lpwstr/>
      </vt:variant>
      <vt:variant>
        <vt:i4>3735675</vt:i4>
      </vt:variant>
      <vt:variant>
        <vt:i4>84</vt:i4>
      </vt:variant>
      <vt:variant>
        <vt:i4>0</vt:i4>
      </vt:variant>
      <vt:variant>
        <vt:i4>5</vt:i4>
      </vt:variant>
      <vt:variant>
        <vt:lpwstr>http://www.nevo.co.il/case/6244398</vt:lpwstr>
      </vt:variant>
      <vt:variant>
        <vt:lpwstr/>
      </vt:variant>
      <vt:variant>
        <vt:i4>3932284</vt:i4>
      </vt:variant>
      <vt:variant>
        <vt:i4>81</vt:i4>
      </vt:variant>
      <vt:variant>
        <vt:i4>0</vt:i4>
      </vt:variant>
      <vt:variant>
        <vt:i4>5</vt:i4>
      </vt:variant>
      <vt:variant>
        <vt:lpwstr>http://www.nevo.co.il/case/6031891</vt:lpwstr>
      </vt:variant>
      <vt:variant>
        <vt:lpwstr/>
      </vt:variant>
      <vt:variant>
        <vt:i4>3407997</vt:i4>
      </vt:variant>
      <vt:variant>
        <vt:i4>78</vt:i4>
      </vt:variant>
      <vt:variant>
        <vt:i4>0</vt:i4>
      </vt:variant>
      <vt:variant>
        <vt:i4>5</vt:i4>
      </vt:variant>
      <vt:variant>
        <vt:lpwstr>http://www.nevo.co.il/case/6018516</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8126563</vt:i4>
      </vt:variant>
      <vt:variant>
        <vt:i4>72</vt:i4>
      </vt:variant>
      <vt:variant>
        <vt:i4>0</vt:i4>
      </vt:variant>
      <vt:variant>
        <vt:i4>5</vt:i4>
      </vt:variant>
      <vt:variant>
        <vt:lpwstr>http://www.nevo.co.il/law/74420</vt:lpwstr>
      </vt:variant>
      <vt:variant>
        <vt:lpwstr/>
      </vt:variant>
      <vt:variant>
        <vt:i4>6488160</vt:i4>
      </vt:variant>
      <vt:variant>
        <vt:i4>69</vt:i4>
      </vt:variant>
      <vt:variant>
        <vt:i4>0</vt:i4>
      </vt:variant>
      <vt:variant>
        <vt:i4>5</vt:i4>
      </vt:variant>
      <vt:variant>
        <vt:lpwstr>http://www.nevo.co.il/law/74420/30</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65618</vt:i4>
      </vt:variant>
      <vt:variant>
        <vt:i4>57</vt:i4>
      </vt:variant>
      <vt:variant>
        <vt:i4>0</vt:i4>
      </vt:variant>
      <vt:variant>
        <vt:i4>5</vt:i4>
      </vt:variant>
      <vt:variant>
        <vt:lpwstr>http://www.nevo.co.il/law/70301/413e</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4390996</vt:i4>
      </vt:variant>
      <vt:variant>
        <vt:i4>51</vt:i4>
      </vt:variant>
      <vt:variant>
        <vt:i4>0</vt:i4>
      </vt:variant>
      <vt:variant>
        <vt:i4>5</vt:i4>
      </vt:variant>
      <vt:variant>
        <vt:lpwstr>http://www.nevo.co.il/law/70301/382.b</vt:lpwstr>
      </vt:variant>
      <vt:variant>
        <vt:lpwstr/>
      </vt:variant>
      <vt:variant>
        <vt:i4>5177430</vt:i4>
      </vt:variant>
      <vt:variant>
        <vt:i4>48</vt:i4>
      </vt:variant>
      <vt:variant>
        <vt:i4>0</vt:i4>
      </vt:variant>
      <vt:variant>
        <vt:i4>5</vt:i4>
      </vt:variant>
      <vt:variant>
        <vt:lpwstr>http://www.nevo.co.il/law/70301/447.a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3276897</vt:i4>
      </vt:variant>
      <vt:variant>
        <vt:i4>39</vt:i4>
      </vt:variant>
      <vt:variant>
        <vt:i4>0</vt:i4>
      </vt:variant>
      <vt:variant>
        <vt:i4>5</vt:i4>
      </vt:variant>
      <vt:variant>
        <vt:lpwstr>http://www.nevo.co.il/law/75003/5b</vt:lpwstr>
      </vt:variant>
      <vt:variant>
        <vt:lpwstr/>
      </vt:variant>
      <vt:variant>
        <vt:i4>8323175</vt:i4>
      </vt:variant>
      <vt:variant>
        <vt:i4>36</vt:i4>
      </vt:variant>
      <vt:variant>
        <vt:i4>0</vt:i4>
      </vt:variant>
      <vt:variant>
        <vt:i4>5</vt:i4>
      </vt:variant>
      <vt:variant>
        <vt:lpwstr>http://www.nevo.co.il/law/75003</vt:lpwstr>
      </vt:variant>
      <vt:variant>
        <vt:lpwstr/>
      </vt:variant>
      <vt:variant>
        <vt:i4>6488160</vt:i4>
      </vt:variant>
      <vt:variant>
        <vt:i4>33</vt:i4>
      </vt:variant>
      <vt:variant>
        <vt:i4>0</vt:i4>
      </vt:variant>
      <vt:variant>
        <vt:i4>5</vt:i4>
      </vt:variant>
      <vt:variant>
        <vt:lpwstr>http://www.nevo.co.il/law/74420/30</vt:lpwstr>
      </vt:variant>
      <vt:variant>
        <vt:lpwstr/>
      </vt:variant>
      <vt:variant>
        <vt:i4>8126563</vt:i4>
      </vt:variant>
      <vt:variant>
        <vt:i4>30</vt:i4>
      </vt:variant>
      <vt:variant>
        <vt:i4>0</vt:i4>
      </vt:variant>
      <vt:variant>
        <vt:i4>5</vt:i4>
      </vt:variant>
      <vt:variant>
        <vt:lpwstr>http://www.nevo.co.il/law/74420</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5177430</vt:i4>
      </vt:variant>
      <vt:variant>
        <vt:i4>15</vt:i4>
      </vt:variant>
      <vt:variant>
        <vt:i4>0</vt:i4>
      </vt:variant>
      <vt:variant>
        <vt:i4>5</vt:i4>
      </vt:variant>
      <vt:variant>
        <vt:lpwstr>http://www.nevo.co.il/law/70301/447.a</vt:lpwstr>
      </vt:variant>
      <vt:variant>
        <vt:lpwstr/>
      </vt:variant>
      <vt:variant>
        <vt:i4>65618</vt:i4>
      </vt:variant>
      <vt:variant>
        <vt:i4>12</vt:i4>
      </vt:variant>
      <vt:variant>
        <vt:i4>0</vt:i4>
      </vt:variant>
      <vt:variant>
        <vt:i4>5</vt:i4>
      </vt:variant>
      <vt:variant>
        <vt:lpwstr>http://www.nevo.co.il/law/70301/413e</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4390996</vt:i4>
      </vt:variant>
      <vt:variant>
        <vt:i4>6</vt:i4>
      </vt:variant>
      <vt:variant>
        <vt:i4>0</vt:i4>
      </vt:variant>
      <vt:variant>
        <vt:i4>5</vt:i4>
      </vt:variant>
      <vt:variant>
        <vt:lpwstr>http://www.nevo.co.il/law/70301/382.b</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28804</vt:lpwstr>
  </property>
  <property fmtid="{D5CDD505-2E9C-101B-9397-08002B2CF9AE}" pid="6" name="NEWPARTB">
    <vt:lpwstr>09</vt:lpwstr>
  </property>
  <property fmtid="{D5CDD505-2E9C-101B-9397-08002B2CF9AE}" pid="7" name="NEWPARTC">
    <vt:lpwstr>13</vt:lpwstr>
  </property>
  <property fmtid="{D5CDD505-2E9C-101B-9397-08002B2CF9AE}" pid="8" name="APPELLEE">
    <vt:lpwstr>דוד-דיווי צבעוני</vt:lpwstr>
  </property>
  <property fmtid="{D5CDD505-2E9C-101B-9397-08002B2CF9AE}" pid="9" name="LAWYER">
    <vt:lpwstr>אורית אסולין;לימור הלוי</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20141124</vt:lpwstr>
  </property>
  <property fmtid="{D5CDD505-2E9C-101B-9397-08002B2CF9AE}" pid="13" name="TYPE_N_DATE">
    <vt:lpwstr>38020141124</vt:lpwstr>
  </property>
  <property fmtid="{D5CDD505-2E9C-101B-9397-08002B2CF9AE}" pid="14" name="CASESLISTTMP1">
    <vt:lpwstr>6018516;6031891;6244398</vt:lpwstr>
  </property>
  <property fmtid="{D5CDD505-2E9C-101B-9397-08002B2CF9AE}" pid="15" name="WORDNUMPAGES">
    <vt:lpwstr>5</vt:lpwstr>
  </property>
  <property fmtid="{D5CDD505-2E9C-101B-9397-08002B2CF9AE}" pid="16" name="TYPE_ABS_DATE">
    <vt:lpwstr>380020141124</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70301/192;447.a;382.b;452;413e;40jc</vt:lpwstr>
  </property>
  <property fmtid="{D5CDD505-2E9C-101B-9397-08002B2CF9AE}" pid="37" name="LAWLISTTMP2">
    <vt:lpwstr>4216/007.a;007.c</vt:lpwstr>
  </property>
  <property fmtid="{D5CDD505-2E9C-101B-9397-08002B2CF9AE}" pid="38" name="LAWLISTTMP3">
    <vt:lpwstr>74420/030</vt:lpwstr>
  </property>
  <property fmtid="{D5CDD505-2E9C-101B-9397-08002B2CF9AE}" pid="39" name="LAWLISTTMP4">
    <vt:lpwstr>75003/005b</vt:lpwstr>
  </property>
</Properties>
</file>