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91E10" w:rsidRPr="00B1531E" w14:paraId="588239DB" w14:textId="77777777">
        <w:trPr>
          <w:trHeight w:hRule="exact" w:val="418"/>
          <w:jc w:val="center"/>
        </w:trPr>
        <w:tc>
          <w:tcPr>
            <w:tcW w:w="8721" w:type="dxa"/>
            <w:gridSpan w:val="2"/>
          </w:tcPr>
          <w:p w14:paraId="4D51DC6E" w14:textId="77777777" w:rsidR="00891E10" w:rsidRPr="00B1531E" w:rsidRDefault="00B1531E">
            <w:pPr>
              <w:pStyle w:val="a3"/>
              <w:jc w:val="center"/>
              <w:rPr>
                <w:rFonts w:ascii="Tahoma" w:hAnsi="Tahoma" w:cs="Tahoma"/>
                <w:color w:val="000080"/>
                <w:rtl/>
              </w:rPr>
            </w:pPr>
            <w:bookmarkStart w:id="0" w:name="FirstLawyer"/>
            <w:bookmarkStart w:id="1" w:name="LastJudge"/>
            <w:r w:rsidRPr="00B1531E">
              <w:rPr>
                <w:rFonts w:ascii="Tahoma" w:hAnsi="Tahoma" w:cs="Tahoma"/>
                <w:b/>
                <w:bCs/>
                <w:color w:val="000080"/>
                <w:rtl/>
              </w:rPr>
              <w:t>בית משפט השלום בירושלים</w:t>
            </w:r>
          </w:p>
        </w:tc>
      </w:tr>
      <w:tr w:rsidR="00891E10" w:rsidRPr="00B1531E" w14:paraId="4E7E771C" w14:textId="77777777">
        <w:trPr>
          <w:trHeight w:val="337"/>
          <w:jc w:val="center"/>
        </w:trPr>
        <w:tc>
          <w:tcPr>
            <w:tcW w:w="5058" w:type="dxa"/>
          </w:tcPr>
          <w:p w14:paraId="16F274DB" w14:textId="77777777" w:rsidR="00891E10" w:rsidRPr="00B1531E" w:rsidRDefault="00B1531E">
            <w:pPr>
              <w:rPr>
                <w:rFonts w:cs="FrankRuehl"/>
                <w:sz w:val="28"/>
                <w:szCs w:val="28"/>
                <w:rtl/>
              </w:rPr>
            </w:pPr>
            <w:r w:rsidRPr="00B1531E">
              <w:rPr>
                <w:rFonts w:cs="FrankRuehl"/>
                <w:sz w:val="28"/>
                <w:szCs w:val="28"/>
                <w:rtl/>
              </w:rPr>
              <w:t>ת"פ</w:t>
            </w:r>
            <w:r w:rsidRPr="00B1531E">
              <w:rPr>
                <w:rFonts w:cs="FrankRuehl" w:hint="cs"/>
                <w:sz w:val="28"/>
                <w:szCs w:val="28"/>
                <w:rtl/>
              </w:rPr>
              <w:t xml:space="preserve"> </w:t>
            </w:r>
            <w:r w:rsidRPr="00B1531E">
              <w:rPr>
                <w:rFonts w:cs="FrankRuehl"/>
                <w:sz w:val="28"/>
                <w:szCs w:val="28"/>
                <w:rtl/>
              </w:rPr>
              <w:t>5119-09-13</w:t>
            </w:r>
            <w:r w:rsidRPr="00B1531E">
              <w:rPr>
                <w:rFonts w:cs="FrankRuehl" w:hint="cs"/>
                <w:sz w:val="28"/>
                <w:szCs w:val="28"/>
                <w:rtl/>
              </w:rPr>
              <w:t xml:space="preserve"> </w:t>
            </w:r>
            <w:r w:rsidRPr="00B1531E">
              <w:rPr>
                <w:rFonts w:cs="FrankRuehl"/>
                <w:sz w:val="28"/>
                <w:szCs w:val="28"/>
                <w:rtl/>
              </w:rPr>
              <w:t>מדינת ישראל נ' לישנר(אחר/נוסף)</w:t>
            </w:r>
          </w:p>
        </w:tc>
        <w:tc>
          <w:tcPr>
            <w:tcW w:w="3663" w:type="dxa"/>
          </w:tcPr>
          <w:p w14:paraId="6E79B76B" w14:textId="77777777" w:rsidR="00891E10" w:rsidRPr="00B1531E" w:rsidRDefault="00B1531E">
            <w:pPr>
              <w:pStyle w:val="a3"/>
              <w:jc w:val="right"/>
              <w:rPr>
                <w:rFonts w:cs="FrankRuehl"/>
                <w:sz w:val="28"/>
                <w:szCs w:val="28"/>
                <w:rtl/>
              </w:rPr>
            </w:pPr>
            <w:r w:rsidRPr="00B1531E">
              <w:rPr>
                <w:rFonts w:cs="FrankRuehl"/>
                <w:sz w:val="28"/>
                <w:szCs w:val="28"/>
                <w:rtl/>
              </w:rPr>
              <w:t>06 מאי 2015</w:t>
            </w:r>
          </w:p>
        </w:tc>
      </w:tr>
    </w:tbl>
    <w:p w14:paraId="64AC5518" w14:textId="77777777" w:rsidR="00891E10" w:rsidRPr="00B1531E" w:rsidRDefault="00B1531E">
      <w:pPr>
        <w:pStyle w:val="a3"/>
        <w:rPr>
          <w:rtl/>
        </w:rPr>
      </w:pPr>
      <w:r w:rsidRPr="00B1531E">
        <w:rPr>
          <w:rFonts w:hint="cs"/>
          <w:rtl/>
        </w:rPr>
        <w:t xml:space="preserve"> </w:t>
      </w:r>
    </w:p>
    <w:p w14:paraId="42497773" w14:textId="77777777" w:rsidR="00891E10" w:rsidRPr="00B1531E" w:rsidRDefault="00B1531E">
      <w:pPr>
        <w:pStyle w:val="a3"/>
      </w:pPr>
      <w:r w:rsidRPr="00B1531E">
        <w:rPr>
          <w:rFonts w:cs="Times New Roman" w:hint="cs"/>
          <w:b/>
          <w:bCs/>
          <w:sz w:val="26"/>
          <w:szCs w:val="28"/>
          <w:rtl/>
        </w:rPr>
        <w:t xml:space="preserve"> </w:t>
      </w:r>
    </w:p>
    <w:p w14:paraId="177848AD" w14:textId="77777777" w:rsidR="00891E10" w:rsidRPr="00B1531E" w:rsidRDefault="00891E1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91E10" w:rsidRPr="00B1531E" w14:paraId="50455516" w14:textId="77777777">
        <w:trPr>
          <w:trHeight w:val="295"/>
          <w:jc w:val="center"/>
        </w:trPr>
        <w:tc>
          <w:tcPr>
            <w:tcW w:w="923" w:type="dxa"/>
            <w:tcBorders>
              <w:top w:val="nil"/>
              <w:left w:val="nil"/>
              <w:bottom w:val="nil"/>
              <w:right w:val="nil"/>
            </w:tcBorders>
            <w:shd w:val="clear" w:color="auto" w:fill="auto"/>
          </w:tcPr>
          <w:p w14:paraId="7C88DCC7" w14:textId="77777777" w:rsidR="00891E10" w:rsidRPr="00B1531E" w:rsidRDefault="00B1531E">
            <w:pPr>
              <w:jc w:val="both"/>
              <w:rPr>
                <w:rFonts w:ascii="Arial" w:hAnsi="Arial" w:cs="FrankRuehl"/>
                <w:sz w:val="28"/>
                <w:szCs w:val="28"/>
              </w:rPr>
            </w:pPr>
            <w:r w:rsidRPr="00B1531E">
              <w:rPr>
                <w:rFonts w:ascii="Arial" w:hAnsi="Arial" w:cs="FrankRuehl" w:hint="cs"/>
                <w:sz w:val="28"/>
                <w:szCs w:val="28"/>
                <w:rtl/>
              </w:rPr>
              <w:t>ב</w:t>
            </w:r>
            <w:r w:rsidRPr="00B1531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98AA685" w14:textId="77777777" w:rsidR="00891E10" w:rsidRPr="00B1531E" w:rsidRDefault="00B1531E">
            <w:pPr>
              <w:rPr>
                <w:rFonts w:ascii="Arial" w:hAnsi="Arial" w:cs="FrankRuehl"/>
                <w:b/>
                <w:bCs/>
                <w:sz w:val="28"/>
                <w:szCs w:val="28"/>
                <w:rtl/>
              </w:rPr>
            </w:pPr>
            <w:r w:rsidRPr="00B1531E">
              <w:rPr>
                <w:rFonts w:ascii="Arial" w:hAnsi="Arial" w:cs="FrankRuehl" w:hint="cs"/>
                <w:b/>
                <w:bCs/>
                <w:sz w:val="28"/>
                <w:szCs w:val="28"/>
                <w:rtl/>
              </w:rPr>
              <w:t>כב' השופטת דנה כהן-לקח</w:t>
            </w:r>
          </w:p>
          <w:p w14:paraId="47230945" w14:textId="77777777" w:rsidR="00891E10" w:rsidRPr="00B1531E" w:rsidRDefault="00891E10">
            <w:pPr>
              <w:rPr>
                <w:rFonts w:ascii="Arial" w:hAnsi="Arial" w:cs="FrankRuehl"/>
                <w:b/>
                <w:bCs/>
                <w:sz w:val="28"/>
                <w:szCs w:val="28"/>
                <w:rtl/>
              </w:rPr>
            </w:pPr>
          </w:p>
          <w:p w14:paraId="26276473" w14:textId="77777777" w:rsidR="00891E10" w:rsidRPr="00B1531E" w:rsidRDefault="00891E10">
            <w:pPr>
              <w:jc w:val="both"/>
              <w:rPr>
                <w:rFonts w:ascii="Arial" w:hAnsi="Arial" w:cs="FrankRuehl"/>
                <w:b/>
                <w:bCs/>
                <w:sz w:val="28"/>
                <w:szCs w:val="28"/>
              </w:rPr>
            </w:pPr>
          </w:p>
        </w:tc>
      </w:tr>
      <w:tr w:rsidR="00891E10" w:rsidRPr="00B1531E" w14:paraId="511797BC" w14:textId="77777777">
        <w:trPr>
          <w:trHeight w:val="355"/>
          <w:jc w:val="center"/>
        </w:trPr>
        <w:tc>
          <w:tcPr>
            <w:tcW w:w="923" w:type="dxa"/>
            <w:tcBorders>
              <w:top w:val="nil"/>
              <w:left w:val="nil"/>
              <w:bottom w:val="nil"/>
              <w:right w:val="nil"/>
            </w:tcBorders>
            <w:shd w:val="clear" w:color="auto" w:fill="auto"/>
          </w:tcPr>
          <w:p w14:paraId="0EDE0782" w14:textId="77777777" w:rsidR="00891E10" w:rsidRPr="00B1531E" w:rsidRDefault="00B1531E">
            <w:pPr>
              <w:jc w:val="both"/>
              <w:rPr>
                <w:rFonts w:ascii="Arial" w:hAnsi="Arial" w:cs="FrankRuehl"/>
                <w:sz w:val="28"/>
                <w:szCs w:val="28"/>
              </w:rPr>
            </w:pPr>
            <w:bookmarkStart w:id="2" w:name="FirstAppellant"/>
            <w:r w:rsidRPr="00B1531E">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6D2C9E2" w14:textId="77777777" w:rsidR="00891E10" w:rsidRPr="00B1531E" w:rsidRDefault="00B1531E">
            <w:r w:rsidRPr="00B1531E">
              <w:rPr>
                <w:rFonts w:hint="cs"/>
                <w:rtl/>
              </w:rPr>
              <w:t>מדינת ישראל</w:t>
            </w:r>
          </w:p>
        </w:tc>
        <w:tc>
          <w:tcPr>
            <w:tcW w:w="3771" w:type="dxa"/>
            <w:tcBorders>
              <w:top w:val="nil"/>
              <w:left w:val="nil"/>
              <w:bottom w:val="nil"/>
              <w:right w:val="nil"/>
            </w:tcBorders>
            <w:shd w:val="clear" w:color="auto" w:fill="auto"/>
          </w:tcPr>
          <w:p w14:paraId="0F97E422" w14:textId="77777777" w:rsidR="00891E10" w:rsidRPr="00B1531E" w:rsidRDefault="00891E10">
            <w:pPr>
              <w:jc w:val="both"/>
              <w:rPr>
                <w:rFonts w:ascii="Arial" w:hAnsi="Arial" w:cs="FrankRuehl"/>
                <w:sz w:val="28"/>
                <w:szCs w:val="28"/>
              </w:rPr>
            </w:pPr>
          </w:p>
        </w:tc>
      </w:tr>
      <w:bookmarkEnd w:id="2"/>
      <w:tr w:rsidR="00891E10" w:rsidRPr="00B1531E" w14:paraId="4E913AED" w14:textId="77777777">
        <w:trPr>
          <w:trHeight w:val="355"/>
          <w:jc w:val="center"/>
        </w:trPr>
        <w:tc>
          <w:tcPr>
            <w:tcW w:w="923" w:type="dxa"/>
            <w:tcBorders>
              <w:top w:val="nil"/>
              <w:left w:val="nil"/>
              <w:bottom w:val="nil"/>
              <w:right w:val="nil"/>
            </w:tcBorders>
            <w:shd w:val="clear" w:color="auto" w:fill="auto"/>
          </w:tcPr>
          <w:p w14:paraId="1124E7A8" w14:textId="77777777" w:rsidR="00891E10" w:rsidRPr="00B1531E" w:rsidRDefault="00891E1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FD7E222" w14:textId="77777777" w:rsidR="00891E10" w:rsidRPr="00B1531E" w:rsidRDefault="00891E10">
            <w:pPr>
              <w:jc w:val="both"/>
              <w:rPr>
                <w:rtl/>
              </w:rPr>
            </w:pPr>
          </w:p>
        </w:tc>
        <w:tc>
          <w:tcPr>
            <w:tcW w:w="3771" w:type="dxa"/>
            <w:tcBorders>
              <w:top w:val="nil"/>
              <w:left w:val="nil"/>
              <w:bottom w:val="nil"/>
              <w:right w:val="nil"/>
            </w:tcBorders>
            <w:shd w:val="clear" w:color="auto" w:fill="auto"/>
          </w:tcPr>
          <w:p w14:paraId="280B24D8" w14:textId="77777777" w:rsidR="00891E10" w:rsidRPr="00B1531E" w:rsidRDefault="00B1531E">
            <w:pPr>
              <w:jc w:val="right"/>
              <w:rPr>
                <w:rFonts w:ascii="Arial" w:hAnsi="Arial" w:cs="FrankRuehl"/>
                <w:sz w:val="28"/>
                <w:szCs w:val="28"/>
                <w:rtl/>
              </w:rPr>
            </w:pPr>
            <w:r w:rsidRPr="00B1531E">
              <w:rPr>
                <w:rFonts w:ascii="Arial" w:hAnsi="Arial" w:cs="FrankRuehl" w:hint="cs"/>
                <w:sz w:val="28"/>
                <w:szCs w:val="28"/>
                <w:rtl/>
              </w:rPr>
              <w:t>ה</w:t>
            </w:r>
            <w:r w:rsidRPr="00B1531E">
              <w:rPr>
                <w:rFonts w:hint="cs"/>
                <w:rtl/>
              </w:rPr>
              <w:t>מאשימה</w:t>
            </w:r>
          </w:p>
        </w:tc>
      </w:tr>
      <w:tr w:rsidR="00891E10" w:rsidRPr="00B1531E" w14:paraId="1DEEFBED" w14:textId="77777777">
        <w:trPr>
          <w:trHeight w:val="355"/>
          <w:jc w:val="center"/>
        </w:trPr>
        <w:tc>
          <w:tcPr>
            <w:tcW w:w="923" w:type="dxa"/>
            <w:tcBorders>
              <w:top w:val="nil"/>
              <w:left w:val="nil"/>
              <w:bottom w:val="nil"/>
              <w:right w:val="nil"/>
            </w:tcBorders>
            <w:shd w:val="clear" w:color="auto" w:fill="auto"/>
          </w:tcPr>
          <w:p w14:paraId="348E6260" w14:textId="77777777" w:rsidR="00891E10" w:rsidRPr="00B1531E" w:rsidRDefault="00891E1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560D344" w14:textId="77777777" w:rsidR="00891E10" w:rsidRPr="00B1531E" w:rsidRDefault="00891E10">
            <w:pPr>
              <w:jc w:val="center"/>
              <w:rPr>
                <w:rFonts w:ascii="Arial" w:hAnsi="Arial" w:cs="FrankRuehl"/>
                <w:b/>
                <w:bCs/>
                <w:sz w:val="28"/>
                <w:szCs w:val="28"/>
                <w:rtl/>
              </w:rPr>
            </w:pPr>
          </w:p>
          <w:p w14:paraId="7E95C219" w14:textId="77777777" w:rsidR="00891E10" w:rsidRPr="00B1531E" w:rsidRDefault="00B1531E">
            <w:pPr>
              <w:jc w:val="center"/>
              <w:rPr>
                <w:rFonts w:ascii="Arial" w:hAnsi="Arial" w:cs="FrankRuehl"/>
                <w:b/>
                <w:bCs/>
                <w:sz w:val="28"/>
                <w:szCs w:val="28"/>
                <w:rtl/>
              </w:rPr>
            </w:pPr>
            <w:r w:rsidRPr="00B1531E">
              <w:rPr>
                <w:rFonts w:ascii="Arial" w:hAnsi="Arial" w:cs="FrankRuehl"/>
                <w:b/>
                <w:bCs/>
                <w:sz w:val="28"/>
                <w:szCs w:val="28"/>
                <w:rtl/>
              </w:rPr>
              <w:t>נגד</w:t>
            </w:r>
          </w:p>
          <w:p w14:paraId="52443696" w14:textId="77777777" w:rsidR="00891E10" w:rsidRPr="00B1531E" w:rsidRDefault="00891E10">
            <w:pPr>
              <w:jc w:val="both"/>
              <w:rPr>
                <w:rFonts w:ascii="Arial" w:hAnsi="Arial" w:cs="FrankRuehl"/>
                <w:sz w:val="28"/>
                <w:szCs w:val="28"/>
              </w:rPr>
            </w:pPr>
          </w:p>
        </w:tc>
      </w:tr>
      <w:tr w:rsidR="00891E10" w:rsidRPr="00B1531E" w14:paraId="7176E831" w14:textId="77777777">
        <w:trPr>
          <w:trHeight w:val="355"/>
          <w:jc w:val="center"/>
        </w:trPr>
        <w:tc>
          <w:tcPr>
            <w:tcW w:w="923" w:type="dxa"/>
            <w:tcBorders>
              <w:top w:val="nil"/>
              <w:left w:val="nil"/>
              <w:bottom w:val="nil"/>
              <w:right w:val="nil"/>
            </w:tcBorders>
            <w:shd w:val="clear" w:color="auto" w:fill="auto"/>
          </w:tcPr>
          <w:p w14:paraId="744367FF" w14:textId="77777777" w:rsidR="00891E10" w:rsidRPr="00B1531E" w:rsidRDefault="00891E1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8F9849E" w14:textId="77777777" w:rsidR="00891E10" w:rsidRPr="00B1531E" w:rsidRDefault="00B1531E">
            <w:pPr>
              <w:jc w:val="both"/>
              <w:rPr>
                <w:rtl/>
              </w:rPr>
            </w:pPr>
            <w:r w:rsidRPr="00B1531E">
              <w:rPr>
                <w:rFonts w:hint="cs"/>
                <w:rtl/>
              </w:rPr>
              <w:t>אברהם לישנר</w:t>
            </w:r>
          </w:p>
        </w:tc>
        <w:tc>
          <w:tcPr>
            <w:tcW w:w="3771" w:type="dxa"/>
            <w:tcBorders>
              <w:top w:val="nil"/>
              <w:left w:val="nil"/>
              <w:bottom w:val="nil"/>
              <w:right w:val="nil"/>
            </w:tcBorders>
            <w:shd w:val="clear" w:color="auto" w:fill="auto"/>
          </w:tcPr>
          <w:p w14:paraId="77617949" w14:textId="77777777" w:rsidR="00891E10" w:rsidRPr="00B1531E" w:rsidRDefault="00891E10">
            <w:pPr>
              <w:jc w:val="right"/>
              <w:rPr>
                <w:rFonts w:ascii="Arial" w:hAnsi="Arial" w:cs="FrankRuehl"/>
                <w:sz w:val="28"/>
                <w:szCs w:val="28"/>
              </w:rPr>
            </w:pPr>
          </w:p>
        </w:tc>
      </w:tr>
      <w:tr w:rsidR="00891E10" w:rsidRPr="00B1531E" w14:paraId="4D7856BF" w14:textId="77777777">
        <w:trPr>
          <w:trHeight w:val="355"/>
          <w:jc w:val="center"/>
        </w:trPr>
        <w:tc>
          <w:tcPr>
            <w:tcW w:w="923" w:type="dxa"/>
            <w:tcBorders>
              <w:top w:val="nil"/>
              <w:left w:val="nil"/>
              <w:bottom w:val="nil"/>
              <w:right w:val="nil"/>
            </w:tcBorders>
            <w:shd w:val="clear" w:color="auto" w:fill="auto"/>
          </w:tcPr>
          <w:p w14:paraId="79B6979C" w14:textId="77777777" w:rsidR="00891E10" w:rsidRPr="00B1531E" w:rsidRDefault="00891E1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CE32698" w14:textId="77777777" w:rsidR="00891E10" w:rsidRPr="00B1531E" w:rsidRDefault="00891E10">
            <w:pPr>
              <w:jc w:val="both"/>
              <w:rPr>
                <w:rtl/>
              </w:rPr>
            </w:pPr>
          </w:p>
        </w:tc>
        <w:tc>
          <w:tcPr>
            <w:tcW w:w="3771" w:type="dxa"/>
            <w:tcBorders>
              <w:top w:val="nil"/>
              <w:left w:val="nil"/>
              <w:bottom w:val="nil"/>
              <w:right w:val="nil"/>
            </w:tcBorders>
            <w:shd w:val="clear" w:color="auto" w:fill="auto"/>
          </w:tcPr>
          <w:p w14:paraId="614C76D9" w14:textId="77777777" w:rsidR="00891E10" w:rsidRPr="00B1531E" w:rsidRDefault="00B1531E">
            <w:pPr>
              <w:jc w:val="right"/>
              <w:rPr>
                <w:rFonts w:ascii="Arial" w:hAnsi="Arial" w:cs="FrankRuehl"/>
                <w:sz w:val="28"/>
                <w:szCs w:val="28"/>
              </w:rPr>
            </w:pPr>
            <w:r w:rsidRPr="00B1531E">
              <w:rPr>
                <w:rFonts w:ascii="Arial" w:hAnsi="Arial" w:cs="FrankRuehl" w:hint="cs"/>
                <w:sz w:val="28"/>
                <w:szCs w:val="28"/>
                <w:rtl/>
              </w:rPr>
              <w:t>ה</w:t>
            </w:r>
            <w:r w:rsidRPr="00B1531E">
              <w:rPr>
                <w:rFonts w:hint="cs"/>
                <w:rtl/>
              </w:rPr>
              <w:t>נאשם</w:t>
            </w:r>
          </w:p>
        </w:tc>
      </w:tr>
    </w:tbl>
    <w:p w14:paraId="1CA4B727" w14:textId="77777777" w:rsidR="00233884" w:rsidRPr="00233884" w:rsidRDefault="00233884" w:rsidP="00233884">
      <w:pPr>
        <w:spacing w:after="120" w:line="240" w:lineRule="exact"/>
        <w:ind w:left="283" w:hanging="283"/>
        <w:jc w:val="both"/>
        <w:rPr>
          <w:rFonts w:ascii="FrankRuehl" w:hAnsi="FrankRuehl" w:cs="FrankRuehl"/>
          <w:rtl/>
        </w:rPr>
      </w:pPr>
    </w:p>
    <w:p w14:paraId="76131DDE" w14:textId="77777777" w:rsidR="00233884" w:rsidRPr="00233884" w:rsidRDefault="00233884" w:rsidP="00233884">
      <w:pPr>
        <w:spacing w:after="120" w:line="240" w:lineRule="exact"/>
        <w:ind w:left="283" w:hanging="283"/>
        <w:jc w:val="both"/>
        <w:rPr>
          <w:rFonts w:ascii="FrankRuehl" w:hAnsi="FrankRuehl" w:cs="FrankRuehl"/>
          <w:rtl/>
        </w:rPr>
      </w:pPr>
      <w:r w:rsidRPr="00233884">
        <w:rPr>
          <w:rFonts w:ascii="FrankRuehl" w:hAnsi="FrankRuehl" w:cs="FrankRuehl"/>
          <w:rtl/>
        </w:rPr>
        <w:t xml:space="preserve">חקיקה שאוזכרה: </w:t>
      </w:r>
    </w:p>
    <w:p w14:paraId="566DD185" w14:textId="77777777" w:rsidR="00233884" w:rsidRPr="00233884" w:rsidRDefault="00233884" w:rsidP="00233884">
      <w:pPr>
        <w:spacing w:after="120" w:line="240" w:lineRule="exact"/>
        <w:ind w:left="283" w:hanging="283"/>
        <w:jc w:val="both"/>
        <w:rPr>
          <w:rFonts w:ascii="FrankRuehl" w:hAnsi="FrankRuehl" w:cs="FrankRuehl"/>
          <w:rtl/>
        </w:rPr>
      </w:pPr>
      <w:hyperlink r:id="rId6" w:history="1">
        <w:r w:rsidRPr="00233884">
          <w:rPr>
            <w:rFonts w:ascii="FrankRuehl" w:hAnsi="FrankRuehl" w:cs="FrankRuehl"/>
            <w:color w:val="0000FF"/>
            <w:u w:val="single"/>
            <w:rtl/>
          </w:rPr>
          <w:t>פקודת הסמים המסוכנים [נוסח חדש], תשל"ג-1973</w:t>
        </w:r>
      </w:hyperlink>
      <w:r w:rsidRPr="00233884">
        <w:rPr>
          <w:rFonts w:ascii="FrankRuehl" w:hAnsi="FrankRuehl" w:cs="FrankRuehl"/>
          <w:rtl/>
        </w:rPr>
        <w:t xml:space="preserve">: סע'  </w:t>
      </w:r>
      <w:hyperlink r:id="rId7" w:history="1">
        <w:r w:rsidRPr="00233884">
          <w:rPr>
            <w:rFonts w:ascii="FrankRuehl" w:hAnsi="FrankRuehl" w:cs="FrankRuehl"/>
            <w:color w:val="0000FF"/>
            <w:u w:val="single"/>
            <w:rtl/>
          </w:rPr>
          <w:t>6</w:t>
        </w:r>
      </w:hyperlink>
      <w:r w:rsidRPr="00233884">
        <w:rPr>
          <w:rFonts w:ascii="FrankRuehl" w:hAnsi="FrankRuehl" w:cs="FrankRuehl"/>
          <w:rtl/>
        </w:rPr>
        <w:t xml:space="preserve">, </w:t>
      </w:r>
      <w:hyperlink r:id="rId8" w:history="1">
        <w:r w:rsidRPr="00233884">
          <w:rPr>
            <w:rFonts w:ascii="FrankRuehl" w:hAnsi="FrankRuehl" w:cs="FrankRuehl"/>
            <w:color w:val="0000FF"/>
            <w:u w:val="single"/>
            <w:rtl/>
          </w:rPr>
          <w:t>7.א.</w:t>
        </w:r>
      </w:hyperlink>
      <w:r w:rsidRPr="00233884">
        <w:rPr>
          <w:rFonts w:ascii="FrankRuehl" w:hAnsi="FrankRuehl" w:cs="FrankRuehl"/>
          <w:rtl/>
        </w:rPr>
        <w:t xml:space="preserve">, </w:t>
      </w:r>
      <w:hyperlink r:id="rId9" w:history="1">
        <w:r w:rsidRPr="00233884">
          <w:rPr>
            <w:rFonts w:ascii="FrankRuehl" w:hAnsi="FrankRuehl" w:cs="FrankRuehl"/>
            <w:color w:val="0000FF"/>
            <w:u w:val="single"/>
            <w:rtl/>
          </w:rPr>
          <w:t>7.ג</w:t>
        </w:r>
      </w:hyperlink>
    </w:p>
    <w:p w14:paraId="4E0BCF88" w14:textId="77777777" w:rsidR="00233884" w:rsidRPr="00233884" w:rsidRDefault="00233884" w:rsidP="00233884">
      <w:pPr>
        <w:spacing w:after="120" w:line="240" w:lineRule="exact"/>
        <w:ind w:left="283" w:hanging="283"/>
        <w:jc w:val="both"/>
        <w:rPr>
          <w:rFonts w:ascii="FrankRuehl" w:hAnsi="FrankRuehl" w:cs="FrankRuehl"/>
          <w:rtl/>
        </w:rPr>
      </w:pPr>
      <w:hyperlink r:id="rId10" w:history="1">
        <w:r w:rsidRPr="00233884">
          <w:rPr>
            <w:rFonts w:ascii="FrankRuehl" w:hAnsi="FrankRuehl" w:cs="FrankRuehl"/>
            <w:color w:val="0000FF"/>
            <w:u w:val="single"/>
            <w:rtl/>
          </w:rPr>
          <w:t>חוק העונשין, תשל"ז-1977</w:t>
        </w:r>
      </w:hyperlink>
      <w:r w:rsidRPr="00233884">
        <w:rPr>
          <w:rFonts w:ascii="FrankRuehl" w:hAnsi="FrankRuehl" w:cs="FrankRuehl"/>
          <w:rtl/>
        </w:rPr>
        <w:t xml:space="preserve">: סע'  </w:t>
      </w:r>
      <w:hyperlink r:id="rId11" w:history="1">
        <w:r w:rsidRPr="00233884">
          <w:rPr>
            <w:rFonts w:ascii="FrankRuehl" w:hAnsi="FrankRuehl" w:cs="FrankRuehl"/>
            <w:color w:val="0000FF"/>
            <w:u w:val="single"/>
            <w:rtl/>
          </w:rPr>
          <w:t>40ג(א)</w:t>
        </w:r>
      </w:hyperlink>
      <w:r w:rsidRPr="00233884">
        <w:rPr>
          <w:rFonts w:ascii="FrankRuehl" w:hAnsi="FrankRuehl" w:cs="FrankRuehl"/>
          <w:rtl/>
        </w:rPr>
        <w:t xml:space="preserve">, </w:t>
      </w:r>
      <w:hyperlink r:id="rId12" w:history="1">
        <w:r w:rsidRPr="00233884">
          <w:rPr>
            <w:rFonts w:ascii="FrankRuehl" w:hAnsi="FrankRuehl" w:cs="FrankRuehl"/>
            <w:color w:val="0000FF"/>
            <w:u w:val="single"/>
            <w:rtl/>
          </w:rPr>
          <w:t>40ד(א)</w:t>
        </w:r>
      </w:hyperlink>
      <w:r w:rsidRPr="00233884">
        <w:rPr>
          <w:rFonts w:ascii="FrankRuehl" w:hAnsi="FrankRuehl" w:cs="FrankRuehl"/>
          <w:rtl/>
        </w:rPr>
        <w:t xml:space="preserve">, </w:t>
      </w:r>
      <w:hyperlink r:id="rId13" w:history="1">
        <w:r w:rsidRPr="00233884">
          <w:rPr>
            <w:rFonts w:ascii="FrankRuehl" w:hAnsi="FrankRuehl" w:cs="FrankRuehl"/>
            <w:color w:val="0000FF"/>
            <w:u w:val="single"/>
            <w:rtl/>
          </w:rPr>
          <w:t>40יא</w:t>
        </w:r>
      </w:hyperlink>
      <w:r w:rsidRPr="00233884">
        <w:rPr>
          <w:rFonts w:ascii="FrankRuehl" w:hAnsi="FrankRuehl" w:cs="FrankRuehl"/>
          <w:rtl/>
        </w:rPr>
        <w:t xml:space="preserve">, </w:t>
      </w:r>
      <w:hyperlink r:id="rId14" w:history="1">
        <w:r w:rsidRPr="00233884">
          <w:rPr>
            <w:rFonts w:ascii="FrankRuehl" w:hAnsi="FrankRuehl" w:cs="FrankRuehl"/>
            <w:color w:val="0000FF"/>
            <w:u w:val="single"/>
            <w:rtl/>
          </w:rPr>
          <w:t>40יג(א)</w:t>
        </w:r>
      </w:hyperlink>
    </w:p>
    <w:p w14:paraId="362563AE" w14:textId="77777777" w:rsidR="00233884" w:rsidRPr="00233884" w:rsidRDefault="00233884" w:rsidP="00233884">
      <w:pPr>
        <w:spacing w:after="120" w:line="240" w:lineRule="exact"/>
        <w:ind w:left="283" w:hanging="283"/>
        <w:jc w:val="both"/>
        <w:rPr>
          <w:rFonts w:ascii="FrankRuehl" w:hAnsi="FrankRuehl" w:cs="FrankRuehl"/>
          <w:rtl/>
        </w:rPr>
      </w:pPr>
    </w:p>
    <w:p w14:paraId="536DEACB" w14:textId="77777777" w:rsidR="00891E10" w:rsidRPr="00B1531E" w:rsidRDefault="00891E1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1E10" w:rsidRPr="00B1531E" w14:paraId="23EE6E3E" w14:textId="77777777">
        <w:trPr>
          <w:trHeight w:val="355"/>
          <w:jc w:val="center"/>
        </w:trPr>
        <w:tc>
          <w:tcPr>
            <w:tcW w:w="8820" w:type="dxa"/>
            <w:tcBorders>
              <w:top w:val="nil"/>
              <w:left w:val="nil"/>
              <w:bottom w:val="nil"/>
              <w:right w:val="nil"/>
            </w:tcBorders>
            <w:shd w:val="clear" w:color="auto" w:fill="auto"/>
          </w:tcPr>
          <w:p w14:paraId="3AD54CC1" w14:textId="77777777" w:rsidR="00891E10" w:rsidRPr="00B1531E" w:rsidRDefault="00B1531E">
            <w:pPr>
              <w:jc w:val="center"/>
              <w:rPr>
                <w:rFonts w:ascii="Arial" w:hAnsi="Arial" w:cs="FrankRuehl"/>
                <w:sz w:val="32"/>
                <w:szCs w:val="32"/>
                <w:rtl/>
              </w:rPr>
            </w:pPr>
            <w:r w:rsidRPr="00B1531E">
              <w:rPr>
                <w:rFonts w:ascii="Arial" w:hAnsi="Arial" w:cs="FrankRuehl" w:hint="cs"/>
                <w:b/>
                <w:bCs/>
                <w:sz w:val="32"/>
                <w:szCs w:val="32"/>
                <w:rtl/>
              </w:rPr>
              <w:t xml:space="preserve">החלטה </w:t>
            </w:r>
            <w:bookmarkStart w:id="3" w:name="PsakDin"/>
            <w:r w:rsidRPr="00B1531E">
              <w:rPr>
                <w:rFonts w:ascii="Arial" w:hAnsi="Arial" w:cs="FrankRuehl" w:hint="cs"/>
                <w:b/>
                <w:bCs/>
                <w:sz w:val="32"/>
                <w:szCs w:val="32"/>
                <w:rtl/>
              </w:rPr>
              <w:t>וגזר-דין</w:t>
            </w:r>
            <w:bookmarkEnd w:id="3"/>
          </w:p>
        </w:tc>
      </w:tr>
    </w:tbl>
    <w:p w14:paraId="0D080A1B" w14:textId="77777777" w:rsidR="00891E10" w:rsidRPr="00B1531E" w:rsidRDefault="00891E10">
      <w:pPr>
        <w:spacing w:after="120" w:line="360" w:lineRule="auto"/>
        <w:jc w:val="both"/>
        <w:rPr>
          <w:rFonts w:cs="FrankRuehl"/>
          <w:sz w:val="28"/>
          <w:szCs w:val="28"/>
          <w:rtl/>
        </w:rPr>
      </w:pPr>
    </w:p>
    <w:p w14:paraId="08786F86"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רקע</w:t>
      </w:r>
    </w:p>
    <w:p w14:paraId="0F5B269F"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1.</w:t>
      </w:r>
      <w:r w:rsidRPr="00B1531E">
        <w:rPr>
          <w:rFonts w:cs="FrankRuehl" w:hint="cs"/>
          <w:sz w:val="28"/>
          <w:szCs w:val="28"/>
          <w:rtl/>
        </w:rPr>
        <w:tab/>
      </w:r>
      <w:bookmarkStart w:id="4" w:name="ABSTRACT_START"/>
      <w:bookmarkEnd w:id="4"/>
      <w:r w:rsidRPr="00B1531E">
        <w:rPr>
          <w:rFonts w:cs="FrankRuehl" w:hint="cs"/>
          <w:sz w:val="28"/>
          <w:szCs w:val="28"/>
          <w:rtl/>
        </w:rPr>
        <w:t xml:space="preserve">ביום 23.3.2014 הורשע הנאשם בהתאם להודאתו, בעבירות שיוחסו לו בכתב אישום מתוקן כדלקמן: גידול סמים לפי </w:t>
      </w:r>
      <w:hyperlink r:id="rId15" w:history="1">
        <w:r w:rsidR="00233884" w:rsidRPr="00233884">
          <w:rPr>
            <w:rFonts w:cs="FrankRuehl"/>
            <w:color w:val="0000FF"/>
            <w:sz w:val="28"/>
            <w:szCs w:val="28"/>
            <w:u w:val="single"/>
            <w:rtl/>
          </w:rPr>
          <w:t>סעיף 6</w:t>
        </w:r>
      </w:hyperlink>
      <w:r w:rsidRPr="00B1531E">
        <w:rPr>
          <w:rFonts w:cs="FrankRuehl" w:hint="cs"/>
          <w:sz w:val="28"/>
          <w:szCs w:val="28"/>
          <w:rtl/>
        </w:rPr>
        <w:t xml:space="preserve"> ל</w:t>
      </w:r>
      <w:hyperlink r:id="rId16" w:history="1">
        <w:r w:rsidRPr="00B1531E">
          <w:rPr>
            <w:rFonts w:cs="FrankRuehl"/>
            <w:color w:val="0000FF"/>
            <w:sz w:val="28"/>
            <w:szCs w:val="28"/>
            <w:u w:val="single"/>
            <w:rtl/>
          </w:rPr>
          <w:t>פקודת הסמים המסוכנים</w:t>
        </w:r>
      </w:hyperlink>
      <w:r w:rsidRPr="00B1531E">
        <w:rPr>
          <w:rFonts w:cs="FrankRuehl" w:hint="cs"/>
          <w:sz w:val="28"/>
          <w:szCs w:val="28"/>
          <w:rtl/>
        </w:rPr>
        <w:t xml:space="preserve"> [נוסח חדש], התשל"ג-1973 (להלן: </w:t>
      </w:r>
      <w:r w:rsidRPr="00B1531E">
        <w:rPr>
          <w:rFonts w:cs="Miriam" w:hint="cs"/>
          <w:rtl/>
        </w:rPr>
        <w:t>פקודת הסמים</w:t>
      </w:r>
      <w:r w:rsidRPr="00B1531E">
        <w:rPr>
          <w:rFonts w:cs="FrankRuehl" w:hint="cs"/>
          <w:sz w:val="28"/>
          <w:szCs w:val="28"/>
          <w:rtl/>
        </w:rPr>
        <w:t xml:space="preserve"> או </w:t>
      </w:r>
      <w:r w:rsidRPr="00B1531E">
        <w:rPr>
          <w:rFonts w:cs="Miriam" w:hint="cs"/>
          <w:rtl/>
        </w:rPr>
        <w:t>הפקודה</w:t>
      </w:r>
      <w:r w:rsidRPr="00B1531E">
        <w:rPr>
          <w:rFonts w:cs="FrankRuehl" w:hint="cs"/>
          <w:sz w:val="28"/>
          <w:szCs w:val="28"/>
          <w:rtl/>
        </w:rPr>
        <w:t xml:space="preserve">); והחזקת סמים לצריכה עצמית לפי </w:t>
      </w:r>
      <w:hyperlink r:id="rId17" w:history="1">
        <w:r w:rsidR="00233884" w:rsidRPr="00233884">
          <w:rPr>
            <w:rFonts w:cs="FrankRuehl"/>
            <w:color w:val="0000FF"/>
            <w:sz w:val="28"/>
            <w:szCs w:val="28"/>
            <w:u w:val="single"/>
            <w:rtl/>
          </w:rPr>
          <w:t>סעיף 7(א)+(ג)</w:t>
        </w:r>
      </w:hyperlink>
      <w:r w:rsidRPr="00B1531E">
        <w:rPr>
          <w:rFonts w:cs="FrankRuehl" w:hint="cs"/>
          <w:sz w:val="28"/>
          <w:szCs w:val="28"/>
          <w:rtl/>
        </w:rPr>
        <w:t xml:space="preserve"> סיפא לפקודה. </w:t>
      </w:r>
    </w:p>
    <w:p w14:paraId="36E56B6B" w14:textId="77777777" w:rsidR="00891E10" w:rsidRPr="00B1531E" w:rsidRDefault="00891E10">
      <w:pPr>
        <w:spacing w:after="120" w:line="360" w:lineRule="auto"/>
        <w:jc w:val="both"/>
        <w:rPr>
          <w:rFonts w:cs="FrankRuehl"/>
          <w:sz w:val="28"/>
          <w:szCs w:val="28"/>
        </w:rPr>
      </w:pPr>
      <w:bookmarkStart w:id="5" w:name="ABSTRACT_END"/>
      <w:bookmarkEnd w:id="5"/>
    </w:p>
    <w:p w14:paraId="1A56B08E"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ab/>
        <w:t xml:space="preserve">בהתאם לעובדות כתב-האישום המתוקן, ביום 29.8.2013 בדירתו בירושלים, גידל הנאשם שמונה-עשר שתילים של סם מסוג קנביס במשקל </w:t>
      </w:r>
      <w:smartTag w:uri="urn:schemas-microsoft-com:office:smarttags" w:element="metricconverter">
        <w:smartTagPr>
          <w:attr w:name="ProductID" w:val="246.47 גרם"/>
        </w:smartTagPr>
        <w:r w:rsidRPr="00B1531E">
          <w:rPr>
            <w:rFonts w:cs="FrankRuehl" w:hint="cs"/>
            <w:sz w:val="28"/>
            <w:szCs w:val="28"/>
            <w:rtl/>
          </w:rPr>
          <w:t>246.47 גרם</w:t>
        </w:r>
      </w:smartTag>
      <w:r w:rsidRPr="00B1531E">
        <w:rPr>
          <w:rFonts w:cs="FrankRuehl" w:hint="cs"/>
          <w:sz w:val="28"/>
          <w:szCs w:val="28"/>
          <w:rtl/>
        </w:rPr>
        <w:t xml:space="preserve"> נטו. הנאשם הצטייד בזרעי קנבוס שהביא לו אדם אחר מאמסטרדם הולנד (זהותו של אותו אחר אינה ידועה למאשימה). הנאשם הקים במרכז החדר הפנימי בדירתו אוהל, צייד אותו באמצעי תאורה, מד-חום, תעלת אוורור וחוטי חשמל, זרע את זרעי הקנביס בעציצים, וגידל באוהל שמונה עשר שתילי קנביס כאמור לעיל. באותן נסיבות, החזיק הנאשם לצריכתו העצמית בארון במרכז הדירה, סם מסוכן מסוג חשיש במשקל </w:t>
      </w:r>
      <w:smartTag w:uri="urn:schemas-microsoft-com:office:smarttags" w:element="metricconverter">
        <w:smartTagPr>
          <w:attr w:name="ProductID" w:val="2.5 גרם"/>
        </w:smartTagPr>
        <w:r w:rsidRPr="00B1531E">
          <w:rPr>
            <w:rFonts w:cs="FrankRuehl" w:hint="cs"/>
            <w:sz w:val="28"/>
            <w:szCs w:val="28"/>
            <w:rtl/>
          </w:rPr>
          <w:t>2.5 גרם</w:t>
        </w:r>
      </w:smartTag>
      <w:r w:rsidRPr="00B1531E">
        <w:rPr>
          <w:rFonts w:cs="FrankRuehl" w:hint="cs"/>
          <w:sz w:val="28"/>
          <w:szCs w:val="28"/>
          <w:rtl/>
        </w:rPr>
        <w:t xml:space="preserve"> נטו. </w:t>
      </w:r>
      <w:r w:rsidRPr="00B1531E">
        <w:rPr>
          <w:rFonts w:cs="FrankRuehl" w:hint="cs"/>
          <w:sz w:val="28"/>
          <w:szCs w:val="28"/>
          <w:rtl/>
        </w:rPr>
        <w:tab/>
      </w:r>
    </w:p>
    <w:p w14:paraId="0ABFF269" w14:textId="77777777" w:rsidR="00891E10" w:rsidRPr="00B1531E" w:rsidRDefault="00891E10">
      <w:pPr>
        <w:spacing w:after="120" w:line="360" w:lineRule="auto"/>
        <w:jc w:val="both"/>
        <w:rPr>
          <w:rFonts w:cs="FrankRuehl"/>
          <w:sz w:val="28"/>
          <w:szCs w:val="28"/>
          <w:rtl/>
        </w:rPr>
      </w:pPr>
    </w:p>
    <w:p w14:paraId="00C349D1"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2.</w:t>
      </w:r>
      <w:r w:rsidRPr="00B1531E">
        <w:rPr>
          <w:rFonts w:cs="FrankRuehl" w:hint="cs"/>
          <w:sz w:val="28"/>
          <w:szCs w:val="28"/>
          <w:rtl/>
        </w:rPr>
        <w:tab/>
        <w:t>הסדר-הטיעון בין הצדדים לא כלל הסכמה לעניין העונש, והצדדים נותרו חופשיים בטיעוניהם. לצד זאת, הוסכם כי הנאשם יופנה לשירות המבחן. בשים לב לכך שבאותו שלב הנאשם היה משולב במוסד "רטורנו" בתכנית לגמילה מסמים, הוסכם כי יוגש בעניינו של הנאשם תסקיר מעקב, וכי מספר חודשים לאחר מכן יוגש תסקיר משלים נוסף לעניין העונש. בסך-הכל הוגשו בעניינו של הנאשם שלושה תסקירים.</w:t>
      </w:r>
    </w:p>
    <w:p w14:paraId="5EF375B8" w14:textId="77777777" w:rsidR="00891E10" w:rsidRPr="00B1531E" w:rsidRDefault="00891E10">
      <w:pPr>
        <w:spacing w:after="120" w:line="360" w:lineRule="auto"/>
        <w:jc w:val="both"/>
        <w:rPr>
          <w:rFonts w:cs="FrankRuehl"/>
          <w:sz w:val="28"/>
          <w:szCs w:val="28"/>
          <w:rtl/>
        </w:rPr>
      </w:pPr>
    </w:p>
    <w:p w14:paraId="3CF806C9"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תסקירי שירות המבחן</w:t>
      </w:r>
    </w:p>
    <w:p w14:paraId="12292464"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3.</w:t>
      </w:r>
      <w:r w:rsidRPr="00B1531E">
        <w:rPr>
          <w:rFonts w:cs="FrankRuehl" w:hint="cs"/>
          <w:sz w:val="28"/>
          <w:szCs w:val="28"/>
          <w:rtl/>
        </w:rPr>
        <w:tab/>
        <w:t xml:space="preserve">משלושת תסקירי שירות המבחן עולה כי הנאשם כבן 29, רווק, בן למשפחת-מוצא בת 9 נפשות, נעדר עבר פלילי. משפחת הנאשם ניהלה אורח חיים חרדי-חב"דניקי. בהיותו של הנאשם כבן 3, עברו בני המשפחה להתגורר בארה"ב. הנאשם תיאר כי הקשר בין הוריו לווה במתחים רבים, עד לגירושיהם בהיותו כבן 18. כאשר הנאשם היה כבן 12, הגיעו בני המשפחה לארץ על-מנת לחגוג חגיגת בר-מצווה. בעת שהותם בארץ, החליטה האם להישאר בישראל ואילו האב חזר לארה"ב, עניין אשר הנאשם חווה באופן פתאומי ולא מתוכנן, תוך ניתוק מחייו בארה"ב. בהמשך לכך, למד הנאשם במסגרות חינוך ישיבתיות. הנאשם תיאר בפני שירות המבחן כי התקשה בלימודים מבחינה לימודית והתנהגותית. עוד ציין כי חווה חוויות טראומטיות, אולם התקשה להרחיב לגביהן בפני שירות המבחן. כאשר הנאשם היה כבן 19, נסע לעבוד בארה"ב ושילב עבודה עם לימודים בישיבה לנערים שהתרחקו מאורח חיים דתי. הנאשם תיאר כי בתקופה זו נחשף לסמים, החל להשתמש בסם מסוג "גראס", ולאחר מכן אף בסמים מסוג ל.ס.ד, קוקאין והרואין. בהיותו כבן 20 שב ארצה. עד גיל 26 הנאשם עבר בין ישראל וארה"ב באופן תכוף, חייו אופיינו בחוסר יציבות, תלישות ותחושת חוסר שייכות. הנאשם ניסה לעבוד בעבודות מזדמנות, אך היה ללא מקום מגורים קבוע, נע ונד בין קרובי משפחה וחברים ולתקופות אף שהה ברחוב, כל זאת תוך ניהול אורח חיים שולי והתמכרותי. </w:t>
      </w:r>
    </w:p>
    <w:p w14:paraId="4F65BBDC" w14:textId="77777777" w:rsidR="00891E10" w:rsidRPr="00B1531E" w:rsidRDefault="00891E10">
      <w:pPr>
        <w:spacing w:after="120" w:line="360" w:lineRule="auto"/>
        <w:ind w:firstLine="720"/>
        <w:jc w:val="both"/>
        <w:rPr>
          <w:rFonts w:cs="FrankRuehl"/>
          <w:sz w:val="28"/>
          <w:szCs w:val="28"/>
          <w:rtl/>
        </w:rPr>
      </w:pPr>
    </w:p>
    <w:p w14:paraId="0CE4D538" w14:textId="77777777" w:rsidR="00891E10" w:rsidRPr="00B1531E" w:rsidRDefault="00B1531E">
      <w:pPr>
        <w:spacing w:after="120" w:line="360" w:lineRule="auto"/>
        <w:ind w:firstLine="720"/>
        <w:jc w:val="both"/>
        <w:rPr>
          <w:rFonts w:cs="FrankRuehl"/>
          <w:sz w:val="28"/>
          <w:szCs w:val="28"/>
          <w:highlight w:val="magenta"/>
          <w:rtl/>
        </w:rPr>
      </w:pPr>
      <w:r w:rsidRPr="00B1531E">
        <w:rPr>
          <w:rFonts w:cs="FrankRuehl" w:hint="cs"/>
          <w:sz w:val="28"/>
          <w:szCs w:val="28"/>
          <w:rtl/>
        </w:rPr>
        <w:t xml:space="preserve">במסגרת הליך המעצר בתיק זה, השתלב הנאשם בקהילה לגמילה מסמים "רטורנו" ושהה שם כשמונה חודשים. מדיווח של גורמי הטיפול בקהילה עלה כי הנאשם סיים את התהליך בקהילה בצורה טובה, עבר תהליך טיפול משמעותי במסגרתו למד על עצמו ועל דפוסי התנהגותו, ואף נעשתה התערבות משפחתית עם אמו וחידוש הקשר של הנאשם עמה. ביוני 2014 השתלב הנאשם בהוסטל, שהינו מסגרת המשך של הקהילה. מדיווח של גורמי הטיפול עלה כי הנאשם שיתף פעולה ועמד בכללי המסגרת. במקביל, שולב הנאשם בעבודת ניקיון והתמיד בה באופן עקבי ויציב. בנוסף, שולב הנאשם בקורס ללימודי משפטים באוניברסיטה העברית במסגרת </w:t>
      </w:r>
      <w:r w:rsidRPr="00B1531E">
        <w:rPr>
          <w:rFonts w:cs="FrankRuehl" w:hint="cs"/>
          <w:sz w:val="28"/>
          <w:szCs w:val="28"/>
          <w:rtl/>
        </w:rPr>
        <w:lastRenderedPageBreak/>
        <w:t>פרויקט "אוניברסיטה בעם". מהתסקיר המעדכן האחרון מיום 4.5.2015 עולה כי הנאשם ממשיך לגלות מוטיבציה גבוהה לתהליך השיקומי, ומצליח לשמר את ההישגים הטיפוליים. הוא נמנע משימוש בסמים, עובד במקום תעסוקתי יציב, שוכר דירה באופן עצמאי, מתחיל להחזיר חובות כספיים, ומתמיד בטיפולים הפרטניים ביחידה להתמכרויות וכן בקבוצות לעזרה עצמית.</w:t>
      </w:r>
    </w:p>
    <w:p w14:paraId="41D48735" w14:textId="77777777" w:rsidR="00891E10" w:rsidRPr="00B1531E" w:rsidRDefault="00891E10">
      <w:pPr>
        <w:spacing w:after="120" w:line="360" w:lineRule="auto"/>
        <w:jc w:val="both"/>
        <w:rPr>
          <w:rFonts w:cs="FrankRuehl"/>
          <w:sz w:val="28"/>
          <w:szCs w:val="28"/>
          <w:rtl/>
        </w:rPr>
      </w:pPr>
    </w:p>
    <w:p w14:paraId="1153C922"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ab/>
        <w:t xml:space="preserve">אשר לעבירות נשוא התיק שבכותרת - הנאשם נטל אחריות לביצוע העבירות והסבירן על רקע שימושו בסמים ודפוסי התנהגותו. שירות המבחן התרשם כי הנאשם תופס את ההליך המשפטי כהזדמנות עבורו לעריכת שינוי, מאחר שהתקשה לבצע תפנית זו באופן עצמאי. הנאשם הדגיש בפני שירות המבחן את התהליך הטיפולי שערך. לגישת שירות המבחן, ניכר כי הנאשם היה זקוק למסגרת אשר מחד גיסא תציב עבורו גבולות, ומאידך גיסא תהווה מקור לתמיכה והכלה. </w:t>
      </w:r>
    </w:p>
    <w:p w14:paraId="5657DEC3" w14:textId="77777777" w:rsidR="00891E10" w:rsidRPr="00B1531E" w:rsidRDefault="00891E10">
      <w:pPr>
        <w:spacing w:after="120" w:line="360" w:lineRule="auto"/>
        <w:jc w:val="both"/>
        <w:rPr>
          <w:rFonts w:cs="FrankRuehl"/>
          <w:sz w:val="28"/>
          <w:szCs w:val="28"/>
          <w:rtl/>
        </w:rPr>
      </w:pPr>
    </w:p>
    <w:p w14:paraId="0409CEA3"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ab/>
        <w:t xml:space="preserve">במישור ההתרשמות - שירות המבחן ציין כי חייו של הנאשם אופיינו בחוסר יציבות מבחינה נפשית ותעסוקתית, וכן מבחינת דיור ומבחינת מערכות יחסים. ההתרשמות היא כי הנאשם גדל ללא גורמי תמיכה במשפחתו ובסביבתו, וכי יחסיו עם בני משפחתו מורכבים. בנוסף, ניכרים דפוסים התמכרותיים. בהתחשב בכל אלה, הערכת שירות המבחן היא כי בהעדר המשך טיפול, הסיכון להישנות העבירה הינו גבוה. יחד עם זאת, צוין כי הנאשם ערך תהליך חיובי וממושך, תחילה בקהילה ולאחר מכן בהוסטל "רטורנו". ניכר כי הוא עורך שינוי בדפוסי חשיבתו והתנהגותו והוא בעל מוטיבציה לניהול אורח חיים תקין. ההתרשמות היא כי הנאשם נעזר בהליך המשפטי לצורך התהליך השיקומי, באופן שההליכים המשפטיים הציבו גבולות להתנהגות מותרת ואסורה, ובאמצעותם הנאשם התגייס להליך הטיפולי. </w:t>
      </w:r>
    </w:p>
    <w:p w14:paraId="0748F6FE" w14:textId="77777777" w:rsidR="00891E10" w:rsidRPr="00B1531E" w:rsidRDefault="00891E10">
      <w:pPr>
        <w:spacing w:after="120" w:line="360" w:lineRule="auto"/>
        <w:jc w:val="both"/>
        <w:rPr>
          <w:rFonts w:cs="FrankRuehl"/>
          <w:sz w:val="28"/>
          <w:szCs w:val="28"/>
          <w:rtl/>
        </w:rPr>
      </w:pPr>
    </w:p>
    <w:p w14:paraId="15383575" w14:textId="77777777" w:rsidR="00891E10" w:rsidRPr="00B1531E" w:rsidRDefault="00B1531E">
      <w:pPr>
        <w:spacing w:after="120" w:line="360" w:lineRule="auto"/>
        <w:ind w:firstLine="720"/>
        <w:jc w:val="both"/>
        <w:rPr>
          <w:rFonts w:cs="FrankRuehl"/>
          <w:sz w:val="28"/>
          <w:szCs w:val="28"/>
          <w:rtl/>
        </w:rPr>
      </w:pPr>
      <w:r w:rsidRPr="00B1531E">
        <w:rPr>
          <w:rFonts w:cs="FrankRuehl" w:hint="cs"/>
          <w:sz w:val="28"/>
          <w:szCs w:val="28"/>
          <w:rtl/>
        </w:rPr>
        <w:t xml:space="preserve">במישור ההמלצה - שירות המבחן התרשם כי הרשעה עלולה להוביל לפגיעה בדימויו העצמי של הנאשם. מבחינה תעסוקתית, צוין בתסקיר כי בטווח הקרוב, הרשעה לא תוביל לפגיעה במסגרת התעסוקתית. עם זאת, כחלק מתהליך השיקום, מעוניין הנאשם לפנות בהמשך הדרך ללימודי מקצוע, והוא חושש כי אפשרויות מסוימות ייחסמו עבורו עקב ההרשעה. שירות המבחן המליץ על הטלת ענישה אשר תאפשר לנאשם להמשיך בתהליך השיקומי. להערכת שירות המבחן, ענישה מחמירה, ולו בעבודות שירות, עלולה לגדוע את הרצף השיקומי, ובכלל זה את עבודתו היציבה של הנאשם. נכתב בתסקיר כי שמירה על יציבות תעסוקתית חשובה עבור הנאשם, אשר חייו אופיינו בחוסר יציבות במישורים השונים של חייו. כמו-כן, צוין כי הפסקת עבודתו של הנאשם משמעותה פגיעה בהיבט הכלכלי, כאשר כיום הנאשם מנסה לכלכל עצמו ולשכור דירה באופן עצמאי. לפיכך, המליץ שירות המבחן על הטלת צו של"צ בהיקף של 180 שעות, לצד צו מבחן למשך שנה. </w:t>
      </w:r>
    </w:p>
    <w:p w14:paraId="28679269" w14:textId="77777777" w:rsidR="00891E10" w:rsidRPr="00B1531E" w:rsidRDefault="00891E10">
      <w:pPr>
        <w:spacing w:after="120" w:line="360" w:lineRule="auto"/>
        <w:jc w:val="both"/>
        <w:rPr>
          <w:rFonts w:cs="FrankRuehl"/>
          <w:sz w:val="28"/>
          <w:szCs w:val="28"/>
          <w:rtl/>
        </w:rPr>
      </w:pPr>
    </w:p>
    <w:p w14:paraId="286895DF" w14:textId="77777777" w:rsidR="00891E10" w:rsidRPr="00B1531E" w:rsidRDefault="00891E10">
      <w:pPr>
        <w:spacing w:after="120" w:line="360" w:lineRule="auto"/>
        <w:jc w:val="both"/>
        <w:rPr>
          <w:rFonts w:cs="FrankRuehl"/>
          <w:sz w:val="28"/>
          <w:szCs w:val="28"/>
          <w:rtl/>
        </w:rPr>
      </w:pPr>
    </w:p>
    <w:p w14:paraId="4F4A49AD"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 xml:space="preserve">טיעוני הצדדים לעונש </w:t>
      </w:r>
    </w:p>
    <w:p w14:paraId="6FF95E7E"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4.</w:t>
      </w:r>
      <w:r w:rsidRPr="00B1531E">
        <w:rPr>
          <w:rFonts w:cs="FrankRuehl" w:hint="cs"/>
          <w:sz w:val="28"/>
          <w:szCs w:val="28"/>
          <w:rtl/>
        </w:rPr>
        <w:tab/>
        <w:t xml:space="preserve">בא-כוח המאשימה עמד על חומרת העבירות שביצע הנאשם, על נסיבות ביצוען ועל הערכים שנפגעו בגינן. לשיטת המאשימה, אין מקום לביטול הרשעתו של הנאשם, ויש להותירה על כנה. לפי הנטען, מתחם העונש ההולם לעבירות בגינן הורשע הנאשם, נע מ- 6 חודשי מאסר בפועל לריצוי מאחורי סורג ובריח ועד 24 חודשי מאסר בפועל. בנסיבות העניין, עתרה המאשימה להטיל על הנאשם עונש מאסר בפועל שמשכו לא יפחת משנה. </w:t>
      </w:r>
    </w:p>
    <w:p w14:paraId="4CAAF026" w14:textId="77777777" w:rsidR="00891E10" w:rsidRPr="00B1531E" w:rsidRDefault="00891E10">
      <w:pPr>
        <w:spacing w:after="120" w:line="360" w:lineRule="auto"/>
        <w:jc w:val="both"/>
        <w:rPr>
          <w:rFonts w:cs="FrankRuehl"/>
          <w:sz w:val="28"/>
          <w:szCs w:val="28"/>
          <w:rtl/>
        </w:rPr>
      </w:pPr>
    </w:p>
    <w:p w14:paraId="54CBBCB1"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5.</w:t>
      </w:r>
      <w:r w:rsidRPr="00B1531E">
        <w:rPr>
          <w:rFonts w:cs="FrankRuehl" w:hint="cs"/>
          <w:sz w:val="28"/>
          <w:szCs w:val="28"/>
          <w:rtl/>
        </w:rPr>
        <w:tab/>
        <w:t xml:space="preserve">מנגד, בא-כוח הנאשם טען כי מתחם העונש ההולם נע ממאסר על-תנאי ועד עבודות שירות לתקופה קצרה. הסנגור עמד על נסיבות החיים המורכבות של הנאשם אשר היוו את הרקע לביצוע העבירות הנדונות, וציין את הדרך השיקומית שעבר הנאשם כפי שעולה מתסקירי שירות המבחן בעניינו. בהתחשב בכך, עתר הסנגור לחרוג לקולא ממתחם הענישה ההולמת, ולהסתפק בצו של"צ ובצו מבחן כפי שהמליץ שירות המבחן. עוד עתר הסנגור לבטל את הרשעת מרשו בדין, בהתחשב בנסיבותיו האישיות של הנאשם ובשיקולי השיקום בעניינו. </w:t>
      </w:r>
    </w:p>
    <w:p w14:paraId="2712B8CE"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ab/>
      </w:r>
    </w:p>
    <w:p w14:paraId="14487CE6" w14:textId="77777777" w:rsidR="00891E10" w:rsidRPr="00B1531E" w:rsidRDefault="00B1531E">
      <w:pPr>
        <w:spacing w:after="120" w:line="360" w:lineRule="auto"/>
        <w:ind w:firstLine="720"/>
        <w:jc w:val="both"/>
        <w:rPr>
          <w:rFonts w:cs="FrankRuehl"/>
          <w:sz w:val="28"/>
          <w:szCs w:val="28"/>
          <w:rtl/>
        </w:rPr>
      </w:pPr>
      <w:r w:rsidRPr="00B1531E">
        <w:rPr>
          <w:rFonts w:cs="FrankRuehl" w:hint="cs"/>
          <w:sz w:val="28"/>
          <w:szCs w:val="28"/>
          <w:rtl/>
        </w:rPr>
        <w:t xml:space="preserve">הנאשם בדבריו לפניי עמד על נסיבות חייו המורכבות, על השינוי המהותי שערך בחייו, על רצונו להצליח לקיים אורח חיים נורמטיבי, ועל שאיפתו לעבוד בהמשך הדרך בקהילת "רטורנו" ולסייע למכורים אחרים (הנאשם הסביר כי לצורך כך, עליו להיות "נקי" מסמים במשך שנתיים לפחות). </w:t>
      </w:r>
    </w:p>
    <w:p w14:paraId="3BEC30A9" w14:textId="77777777" w:rsidR="00891E10" w:rsidRPr="00B1531E" w:rsidRDefault="00891E10">
      <w:pPr>
        <w:spacing w:after="120" w:line="360" w:lineRule="auto"/>
        <w:jc w:val="both"/>
        <w:rPr>
          <w:rFonts w:cs="FrankRuehl"/>
          <w:sz w:val="28"/>
          <w:szCs w:val="28"/>
          <w:rtl/>
        </w:rPr>
      </w:pPr>
    </w:p>
    <w:p w14:paraId="6F13AA91"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סוגית ההרשעה</w:t>
      </w:r>
    </w:p>
    <w:p w14:paraId="60838172" w14:textId="77777777" w:rsidR="00891E10" w:rsidRPr="00B1531E" w:rsidRDefault="00B1531E">
      <w:pPr>
        <w:spacing w:after="120" w:line="360" w:lineRule="auto"/>
        <w:jc w:val="both"/>
        <w:rPr>
          <w:rFonts w:ascii="Calibri" w:hAnsi="Calibri" w:cs="Arial"/>
          <w:sz w:val="22"/>
          <w:szCs w:val="22"/>
          <w:rtl/>
        </w:rPr>
      </w:pPr>
      <w:r w:rsidRPr="00B1531E">
        <w:rPr>
          <w:rFonts w:ascii="Calibri" w:hAnsi="Calibri" w:cs="FrankRuehl" w:hint="cs"/>
          <w:sz w:val="28"/>
          <w:szCs w:val="28"/>
          <w:rtl/>
        </w:rPr>
        <w:t>6.</w:t>
      </w:r>
      <w:r w:rsidRPr="00B1531E">
        <w:rPr>
          <w:rFonts w:ascii="Calibri" w:hAnsi="Calibri" w:cs="FrankRuehl" w:hint="cs"/>
          <w:sz w:val="28"/>
          <w:szCs w:val="28"/>
          <w:rtl/>
        </w:rPr>
        <w:tab/>
        <w:t>כידוע, הכלל לגבי נאשמים בגירים הוא כי משהוכח ביצועהּ של עבירה, יש להרשיע את הנאשם בדין. הימנעות מהרשעה או ביטולה מהווים אמצעי חריג שבית-המשפט יעשה בו שימוש רק בנסיבות מיוחדות ויוצאות דופן, בהן בית-המשפט שוכנע כי אין יחס סביר בין הנזק הצפוי לנאשם מן ההרשעה, לבין חומרתה של העבירה ונסיבות ביצועה. הנטל על ההגנה לשכנע כי בנסיבות המקרה יש לחרוג מן הכלל ולהעדיף את השיקולים האישיים התומכים בביטול ההרשעה, על-פני שיקולים נוגדים אחרים המצדדים בהותרת ההרשעה על כנה ובהם: עקרון ההלימה והוקעת מעשי העבירה, הצורך בהרתעת הרבים, וכן מדיניות אכיפה אחידה ושוויונית כלפי כלל העומדים לדין.</w:t>
      </w:r>
    </w:p>
    <w:p w14:paraId="3009ED86" w14:textId="77777777" w:rsidR="00891E10" w:rsidRPr="00B1531E" w:rsidRDefault="00891E10">
      <w:pPr>
        <w:spacing w:after="120" w:line="360" w:lineRule="auto"/>
        <w:jc w:val="both"/>
        <w:rPr>
          <w:rFonts w:ascii="Calibri" w:hAnsi="Calibri" w:cs="Arial"/>
          <w:sz w:val="22"/>
          <w:szCs w:val="22"/>
          <w:rtl/>
        </w:rPr>
      </w:pPr>
    </w:p>
    <w:p w14:paraId="07E9F1DE" w14:textId="77777777" w:rsidR="00891E10" w:rsidRPr="00B1531E" w:rsidRDefault="00B1531E">
      <w:pPr>
        <w:spacing w:after="120" w:line="360" w:lineRule="auto"/>
        <w:ind w:firstLine="720"/>
        <w:jc w:val="both"/>
        <w:rPr>
          <w:rFonts w:ascii="Calibri" w:hAnsi="Calibri" w:cs="Arial"/>
          <w:sz w:val="22"/>
          <w:szCs w:val="22"/>
          <w:rtl/>
        </w:rPr>
      </w:pPr>
      <w:r w:rsidRPr="00B1531E">
        <w:rPr>
          <w:rFonts w:ascii="Calibri" w:hAnsi="Calibri" w:cs="FrankRuehl" w:hint="cs"/>
          <w:sz w:val="28"/>
          <w:szCs w:val="28"/>
          <w:rtl/>
        </w:rPr>
        <w:t xml:space="preserve">בהתאם להלכה הפסוקה, על-מנת לבטל הרשעה בעניינו של נאשם בגיר, על בית-המשפט לבחון </w:t>
      </w:r>
      <w:r w:rsidRPr="00B1531E">
        <w:rPr>
          <w:rFonts w:ascii="Calibri" w:hAnsi="Calibri" w:cs="FrankRuehl" w:hint="cs"/>
          <w:b/>
          <w:bCs/>
          <w:sz w:val="28"/>
          <w:szCs w:val="28"/>
          <w:rtl/>
        </w:rPr>
        <w:t>הצטברותם</w:t>
      </w:r>
      <w:r w:rsidRPr="00B1531E">
        <w:rPr>
          <w:rFonts w:ascii="Calibri" w:hAnsi="Calibri" w:cs="FrankRuehl" w:hint="cs"/>
          <w:sz w:val="28"/>
          <w:szCs w:val="28"/>
          <w:rtl/>
        </w:rPr>
        <w:t xml:space="preserve"> של שני תנאים מרכזיים: </w:t>
      </w:r>
      <w:r w:rsidRPr="00B1531E">
        <w:rPr>
          <w:rFonts w:ascii="Calibri" w:hAnsi="Calibri" w:cs="Miriam" w:hint="cs"/>
          <w:rtl/>
        </w:rPr>
        <w:t>ראשית</w:t>
      </w:r>
      <w:r w:rsidRPr="00B1531E">
        <w:rPr>
          <w:rFonts w:ascii="Calibri" w:hAnsi="Calibri" w:cs="FrankRuehl" w:hint="cs"/>
          <w:sz w:val="28"/>
          <w:szCs w:val="28"/>
          <w:rtl/>
        </w:rPr>
        <w:t xml:space="preserve">, האם סוג העבירה ונסיבות ביצועה מאפשרים לוותר בנסיבות המקרה על ההרשעה מבלי לפגוע באופן מהותי בשיקולי הענישה האחרים. </w:t>
      </w:r>
      <w:r w:rsidRPr="00B1531E">
        <w:rPr>
          <w:rFonts w:ascii="Calibri" w:hAnsi="Calibri" w:cs="Miriam" w:hint="cs"/>
          <w:rtl/>
        </w:rPr>
        <w:t>ושנית</w:t>
      </w:r>
      <w:r w:rsidRPr="00B1531E">
        <w:rPr>
          <w:rFonts w:ascii="Calibri" w:hAnsi="Calibri" w:cs="FrankRuehl" w:hint="cs"/>
          <w:sz w:val="28"/>
          <w:szCs w:val="28"/>
          <w:rtl/>
        </w:rPr>
        <w:t xml:space="preserve">, האם הרשעה תפגע פגיעה חמורה בשיקום הנאשם (ראו: </w:t>
      </w:r>
      <w:hyperlink r:id="rId18" w:history="1">
        <w:r w:rsidRPr="00B1531E">
          <w:rPr>
            <w:rFonts w:cs="FrankRuehl"/>
            <w:color w:val="0000FF"/>
            <w:sz w:val="28"/>
            <w:szCs w:val="28"/>
            <w:u w:val="single"/>
            <w:rtl/>
          </w:rPr>
          <w:t>ע"פ 2083/96 כתב נ' מדינת ישראל, פ"ד נב</w:t>
        </w:r>
      </w:hyperlink>
      <w:r w:rsidRPr="00B1531E">
        <w:rPr>
          <w:rFonts w:ascii="Calibri" w:hAnsi="Calibri" w:cs="FrankRuehl" w:hint="cs"/>
          <w:sz w:val="28"/>
          <w:szCs w:val="28"/>
          <w:rtl/>
        </w:rPr>
        <w:t xml:space="preserve">(3) 337 (1997). להלן: הלכת </w:t>
      </w:r>
      <w:r w:rsidRPr="00B1531E">
        <w:rPr>
          <w:rFonts w:ascii="Calibri" w:hAnsi="Calibri" w:cs="Miriam" w:hint="cs"/>
          <w:rtl/>
        </w:rPr>
        <w:t>כתב</w:t>
      </w:r>
      <w:r w:rsidRPr="00B1531E">
        <w:rPr>
          <w:rFonts w:ascii="Calibri" w:hAnsi="Calibri" w:cs="FrankRuehl" w:hint="cs"/>
          <w:sz w:val="28"/>
          <w:szCs w:val="28"/>
          <w:rtl/>
        </w:rPr>
        <w:t xml:space="preserve">). </w:t>
      </w:r>
    </w:p>
    <w:p w14:paraId="34F0905D" w14:textId="77777777" w:rsidR="00891E10" w:rsidRPr="00B1531E" w:rsidRDefault="00891E10">
      <w:pPr>
        <w:spacing w:after="120" w:line="360" w:lineRule="auto"/>
        <w:ind w:firstLine="720"/>
        <w:jc w:val="both"/>
        <w:rPr>
          <w:rFonts w:ascii="Calibri" w:hAnsi="Calibri" w:cs="Arial"/>
          <w:sz w:val="22"/>
          <w:szCs w:val="22"/>
        </w:rPr>
      </w:pPr>
    </w:p>
    <w:p w14:paraId="0BDF1AE7" w14:textId="77777777" w:rsidR="00891E10" w:rsidRPr="00B1531E" w:rsidRDefault="00B1531E">
      <w:pPr>
        <w:spacing w:after="120" w:line="360" w:lineRule="auto"/>
        <w:ind w:firstLine="720"/>
        <w:jc w:val="both"/>
        <w:rPr>
          <w:rFonts w:ascii="Calibri" w:hAnsi="Calibri" w:cs="Arial"/>
          <w:sz w:val="22"/>
          <w:szCs w:val="22"/>
          <w:rtl/>
        </w:rPr>
      </w:pPr>
      <w:r w:rsidRPr="00B1531E">
        <w:rPr>
          <w:rFonts w:ascii="Calibri" w:hAnsi="Calibri" w:cs="FrankRuehl" w:hint="cs"/>
          <w:sz w:val="28"/>
          <w:szCs w:val="28"/>
          <w:rtl/>
        </w:rPr>
        <w:t xml:space="preserve">לאחר שבחנתי את עניינו של הנאשם שלפניי, אני סבורה כי התנאים הנדרשים לצורך חריגה מן הכלל וביטול ההרשעה לא הוּכחוּ. אבהיר את דבריי. </w:t>
      </w:r>
    </w:p>
    <w:p w14:paraId="0917BE9A" w14:textId="77777777" w:rsidR="00891E10" w:rsidRPr="00B1531E" w:rsidRDefault="00B1531E">
      <w:pPr>
        <w:spacing w:after="120" w:line="360" w:lineRule="auto"/>
        <w:jc w:val="both"/>
        <w:rPr>
          <w:rFonts w:ascii="Calibri" w:hAnsi="Calibri" w:cs="Arial"/>
          <w:sz w:val="22"/>
          <w:szCs w:val="22"/>
          <w:rtl/>
        </w:rPr>
      </w:pPr>
      <w:r w:rsidRPr="00B1531E">
        <w:rPr>
          <w:rFonts w:ascii="Calibri" w:hAnsi="Calibri" w:cs="FrankRuehl" w:hint="cs"/>
          <w:sz w:val="28"/>
          <w:szCs w:val="28"/>
          <w:rtl/>
        </w:rPr>
        <w:tab/>
      </w:r>
    </w:p>
    <w:p w14:paraId="6EF7D3A3" w14:textId="77777777" w:rsidR="00891E10" w:rsidRPr="00B1531E" w:rsidRDefault="00B1531E">
      <w:pPr>
        <w:spacing w:after="120" w:line="360" w:lineRule="auto"/>
        <w:jc w:val="both"/>
        <w:rPr>
          <w:rFonts w:ascii="Calibri" w:hAnsi="Calibri" w:cs="FrankRuehl"/>
          <w:sz w:val="28"/>
          <w:szCs w:val="28"/>
          <w:rtl/>
        </w:rPr>
      </w:pPr>
      <w:r w:rsidRPr="00B1531E">
        <w:rPr>
          <w:rFonts w:ascii="Calibri" w:hAnsi="Calibri" w:cs="FrankRuehl" w:hint="cs"/>
          <w:sz w:val="28"/>
          <w:szCs w:val="28"/>
          <w:rtl/>
        </w:rPr>
        <w:t>7.</w:t>
      </w:r>
      <w:r w:rsidRPr="00B1531E">
        <w:rPr>
          <w:rFonts w:ascii="Calibri" w:hAnsi="Calibri" w:cs="FrankRuehl" w:hint="cs"/>
          <w:sz w:val="28"/>
          <w:szCs w:val="28"/>
          <w:rtl/>
        </w:rPr>
        <w:tab/>
        <w:t xml:space="preserve">בכל הנוגע לסוג העבירות ונסיבות ביצוען - </w:t>
      </w:r>
      <w:r w:rsidRPr="00B1531E">
        <w:rPr>
          <w:rFonts w:cs="FrankRuehl" w:hint="cs"/>
          <w:sz w:val="28"/>
          <w:szCs w:val="28"/>
          <w:rtl/>
        </w:rPr>
        <w:t xml:space="preserve">הנאשם החזיק סם מסוג חשיש לצריכתו העצמית. בנוסף, הנאשם גידל בביתו 18 שתילים של סם מסוג קנביס במשקל של כ- </w:t>
      </w:r>
      <w:smartTag w:uri="urn:schemas-microsoft-com:office:smarttags" w:element="metricconverter">
        <w:smartTagPr>
          <w:attr w:name="ProductID" w:val="245 גרם"/>
        </w:smartTagPr>
        <w:r w:rsidRPr="00B1531E">
          <w:rPr>
            <w:rFonts w:cs="FrankRuehl" w:hint="cs"/>
            <w:sz w:val="28"/>
            <w:szCs w:val="28"/>
            <w:rtl/>
          </w:rPr>
          <w:t>245 גרם</w:t>
        </w:r>
      </w:smartTag>
      <w:r w:rsidRPr="00B1531E">
        <w:rPr>
          <w:rFonts w:cs="FrankRuehl" w:hint="cs"/>
          <w:sz w:val="28"/>
          <w:szCs w:val="28"/>
          <w:rtl/>
        </w:rPr>
        <w:t xml:space="preserve"> נטו</w:t>
      </w:r>
      <w:r w:rsidRPr="00B1531E">
        <w:rPr>
          <w:rFonts w:ascii="Calibri" w:hAnsi="Calibri" w:cs="FrankRuehl" w:hint="cs"/>
          <w:sz w:val="28"/>
          <w:szCs w:val="28"/>
          <w:rtl/>
        </w:rPr>
        <w:t xml:space="preserve">, </w:t>
      </w:r>
      <w:r w:rsidRPr="00B1531E">
        <w:rPr>
          <w:rFonts w:cs="FrankRuehl" w:hint="cs"/>
          <w:sz w:val="28"/>
          <w:szCs w:val="28"/>
          <w:rtl/>
        </w:rPr>
        <w:t xml:space="preserve">לאחר שאדם אחר נתן בידיו זרעי קנביס אשר הובאו ארצה מאמסטרדם. </w:t>
      </w:r>
      <w:r w:rsidRPr="00B1531E">
        <w:rPr>
          <w:rFonts w:ascii="Calibri" w:hAnsi="Calibri" w:cs="FrankRuehl" w:hint="cs"/>
          <w:sz w:val="28"/>
          <w:szCs w:val="28"/>
          <w:rtl/>
        </w:rPr>
        <w:t xml:space="preserve">מדובר בסמים המוגדרים כ"קלים" וכמותם לא הייתה גדולה במיוחד (כך למשל, לא מדובר בגידול מספר קילוגרמים של קנביס כפי שארע בפרשות אחרות שנדונו בפסיקה). זאת ועוד; לא מדובר במעבדה גדולה או במעבדה שהוסתרה על-ידי קירות גבס או אמצעים אחרים, אלא עסקינן במעבדה ביתית שהתנהלה בתוך אוהל בדירתו של הנאשם. אוסיף כי </w:t>
      </w:r>
      <w:r w:rsidRPr="00B1531E">
        <w:rPr>
          <w:rFonts w:cs="FrankRuehl" w:hint="cs"/>
          <w:sz w:val="28"/>
          <w:szCs w:val="28"/>
          <w:rtl/>
        </w:rPr>
        <w:t xml:space="preserve">לא נטען בכתב-האישום המתוקן כי הנאשם התכוון או ניסה להעביר את הסם שגידל לידי אחרים, ואף לא נתפס בחזקתו של הנאשם סם המחולק ל"מנות" לצורך מכירה, או סכומי כסף היכולים ללמד על סחר בסם. מכאן שהנזק הקונקרטי לא היה רב. </w:t>
      </w:r>
      <w:r w:rsidRPr="00B1531E">
        <w:rPr>
          <w:rFonts w:ascii="Calibri" w:hAnsi="Calibri" w:cs="FrankRuehl" w:hint="cs"/>
          <w:sz w:val="28"/>
          <w:szCs w:val="28"/>
          <w:rtl/>
        </w:rPr>
        <w:t>כפי שעולה מתסקירי שירות המבחן, הסיבה שהובילה את הנאשם לביצוע העבירות הייתה התמכרותו לסמים על רקע מצוקה אישית שחווה הנאשם לאורך השנים.</w:t>
      </w:r>
    </w:p>
    <w:p w14:paraId="347F0F2C" w14:textId="77777777" w:rsidR="00891E10" w:rsidRPr="00B1531E" w:rsidRDefault="00891E10">
      <w:pPr>
        <w:spacing w:after="120" w:line="360" w:lineRule="auto"/>
        <w:jc w:val="both"/>
        <w:rPr>
          <w:rFonts w:ascii="Calibri" w:hAnsi="Calibri" w:cs="FrankRuehl"/>
          <w:sz w:val="28"/>
          <w:szCs w:val="28"/>
          <w:rtl/>
        </w:rPr>
      </w:pPr>
    </w:p>
    <w:p w14:paraId="0975E7AD" w14:textId="77777777" w:rsidR="00891E10" w:rsidRPr="00B1531E" w:rsidRDefault="00B1531E">
      <w:pPr>
        <w:spacing w:after="120" w:line="360" w:lineRule="auto"/>
        <w:ind w:firstLine="720"/>
        <w:jc w:val="both"/>
        <w:rPr>
          <w:rFonts w:ascii="Calibri" w:hAnsi="Calibri" w:cs="FrankRuehl"/>
          <w:sz w:val="28"/>
          <w:szCs w:val="28"/>
          <w:rtl/>
        </w:rPr>
      </w:pPr>
      <w:r w:rsidRPr="00B1531E">
        <w:rPr>
          <w:rFonts w:ascii="Calibri" w:hAnsi="Calibri" w:cs="FrankRuehl" w:hint="cs"/>
          <w:sz w:val="28"/>
          <w:szCs w:val="28"/>
          <w:rtl/>
        </w:rPr>
        <w:t xml:space="preserve">לצד כל אלה, </w:t>
      </w:r>
      <w:r w:rsidRPr="00B1531E">
        <w:rPr>
          <w:rFonts w:cs="FrankRuehl" w:hint="cs"/>
          <w:sz w:val="28"/>
          <w:szCs w:val="28"/>
          <w:rtl/>
        </w:rPr>
        <w:t>חשוב לציין כי מעשיו של הנאשם לוו בתכנון ובתחכום, שכן הנאשם הצטייד מראש בזרעי קנבוס שהובאו מחו"ל, בידע מתאים, וכן בכלים כדוגמת אמצעי תאורה, מד חום, תעלת אוורור וחוטי חשמל. כל זאת, לצורך גידול הקנביס בביתו.</w:t>
      </w:r>
      <w:r w:rsidRPr="00B1531E">
        <w:rPr>
          <w:rFonts w:ascii="Calibri" w:hAnsi="Calibri" w:cs="FrankRuehl" w:hint="cs"/>
          <w:sz w:val="28"/>
          <w:szCs w:val="28"/>
          <w:rtl/>
        </w:rPr>
        <w:t xml:space="preserve"> במעשיו האמורים של הנאשם טמונה חומרה ברורה, עקב הנזק הפוטנציאלי הכרוך בהם. תכליתה של העבירה האוסרת על גידול סמים היא למנוע הכנסת סם חדש למערכת הפצת הסם הכוללת, שכן לעולם אין לדעת לאילו ידיים יתגלגל הסם שיופק מהצמחים ומה יהיה ייעודו. </w:t>
      </w:r>
      <w:r w:rsidRPr="00B1531E">
        <w:rPr>
          <w:rFonts w:cs="FrankRuehl" w:hint="cs"/>
          <w:sz w:val="28"/>
          <w:szCs w:val="28"/>
          <w:rtl/>
        </w:rPr>
        <w:t>על חומרתה של העבירה הנדונה ניתן ללמוד מהעונש המרבי שהמחוקק ראה לקבוע בצִדה - 20 שנות מאסר. בתי-המשפט עמדו על הצורך לבלום את התפשטות נגע הסמים בחברה, בין היתר על-ידי אכיפת הדין כנגד העוסקים בגידול סמים ובהפקתם.</w:t>
      </w:r>
      <w:r w:rsidRPr="00B1531E">
        <w:rPr>
          <w:rFonts w:ascii="Calibri" w:hAnsi="Calibri" w:cs="FrankRuehl" w:hint="cs"/>
          <w:sz w:val="28"/>
          <w:szCs w:val="28"/>
          <w:rtl/>
        </w:rPr>
        <w:t xml:space="preserve"> בהתחשב בכל אלה, אני סבורה כי שיקולי ענישה של הלימה, גמול והרתעה של היחיד ושל הרבים מפני העבירה של גידול סמים, מקשים על האפשרות לבטל את הרשעת הנאשם </w:t>
      </w:r>
      <w:r w:rsidRPr="00B1531E">
        <w:rPr>
          <w:rFonts w:cs="FrankRuehl" w:hint="cs"/>
          <w:sz w:val="28"/>
          <w:szCs w:val="28"/>
          <w:rtl/>
        </w:rPr>
        <w:t xml:space="preserve">(ראו והשוו: </w:t>
      </w:r>
      <w:hyperlink r:id="rId19" w:history="1">
        <w:r w:rsidRPr="00B1531E">
          <w:rPr>
            <w:rFonts w:cs="FrankRuehl"/>
            <w:color w:val="0000FF"/>
            <w:sz w:val="28"/>
            <w:szCs w:val="28"/>
            <w:u w:val="single"/>
            <w:rtl/>
          </w:rPr>
          <w:t>ע"פ (מחוזי חיפה) 41827-08-10</w:t>
        </w:r>
      </w:hyperlink>
      <w:r w:rsidRPr="00B1531E">
        <w:rPr>
          <w:rFonts w:cs="FrankRuehl" w:hint="cs"/>
          <w:sz w:val="28"/>
          <w:szCs w:val="28"/>
          <w:rtl/>
        </w:rPr>
        <w:t xml:space="preserve"> </w:t>
      </w:r>
      <w:r w:rsidRPr="00B1531E">
        <w:rPr>
          <w:rFonts w:cs="Miriam" w:hint="cs"/>
          <w:rtl/>
        </w:rPr>
        <w:t>פרידמן נ' מדינת ישראל</w:t>
      </w:r>
      <w:r w:rsidRPr="00B1531E">
        <w:rPr>
          <w:rFonts w:cs="FrankRuehl" w:hint="cs"/>
          <w:sz w:val="28"/>
          <w:szCs w:val="28"/>
          <w:rtl/>
        </w:rPr>
        <w:t xml:space="preserve"> (30.12.2010); </w:t>
      </w:r>
      <w:hyperlink r:id="rId20" w:history="1">
        <w:r w:rsidRPr="00B1531E">
          <w:rPr>
            <w:rFonts w:cs="FrankRuehl"/>
            <w:color w:val="0000FF"/>
            <w:sz w:val="28"/>
            <w:szCs w:val="28"/>
            <w:u w:val="single"/>
            <w:rtl/>
          </w:rPr>
          <w:t>ת"פ (שלום תל-אביב-יפו) 24322-05-12</w:t>
        </w:r>
      </w:hyperlink>
      <w:r w:rsidRPr="00B1531E">
        <w:rPr>
          <w:rFonts w:cs="FrankRuehl" w:hint="cs"/>
          <w:sz w:val="28"/>
          <w:szCs w:val="28"/>
          <w:rtl/>
        </w:rPr>
        <w:t xml:space="preserve"> </w:t>
      </w:r>
      <w:r w:rsidRPr="00B1531E">
        <w:rPr>
          <w:rFonts w:cs="Miriam" w:hint="cs"/>
          <w:rtl/>
        </w:rPr>
        <w:t>מדינת ישראל נ' נובק</w:t>
      </w:r>
      <w:r w:rsidRPr="00B1531E">
        <w:rPr>
          <w:rFonts w:cs="FrankRuehl" w:hint="cs"/>
          <w:sz w:val="28"/>
          <w:szCs w:val="28"/>
          <w:rtl/>
        </w:rPr>
        <w:t xml:space="preserve"> (18.3.2013))</w:t>
      </w:r>
      <w:r w:rsidRPr="00B1531E">
        <w:rPr>
          <w:rFonts w:ascii="Calibri" w:hAnsi="Calibri" w:cs="FrankRuehl" w:hint="cs"/>
          <w:sz w:val="28"/>
          <w:szCs w:val="28"/>
          <w:rtl/>
        </w:rPr>
        <w:t xml:space="preserve">. </w:t>
      </w:r>
    </w:p>
    <w:p w14:paraId="0B457F6A" w14:textId="77777777" w:rsidR="00891E10" w:rsidRPr="00B1531E" w:rsidRDefault="00891E10">
      <w:pPr>
        <w:spacing w:after="120" w:line="360" w:lineRule="auto"/>
        <w:ind w:firstLine="720"/>
        <w:jc w:val="both"/>
        <w:rPr>
          <w:rFonts w:cs="FrankRuehl"/>
          <w:sz w:val="28"/>
          <w:szCs w:val="28"/>
          <w:rtl/>
        </w:rPr>
      </w:pPr>
    </w:p>
    <w:p w14:paraId="0435B564" w14:textId="77777777" w:rsidR="00891E10" w:rsidRPr="00B1531E" w:rsidRDefault="00B1531E">
      <w:pPr>
        <w:spacing w:after="120" w:line="360" w:lineRule="auto"/>
        <w:jc w:val="both"/>
        <w:rPr>
          <w:rFonts w:ascii="Calibri" w:hAnsi="Calibri" w:cs="FrankRuehl"/>
          <w:sz w:val="28"/>
          <w:szCs w:val="28"/>
          <w:rtl/>
        </w:rPr>
      </w:pPr>
      <w:r w:rsidRPr="00B1531E">
        <w:rPr>
          <w:rFonts w:ascii="Calibri" w:hAnsi="Calibri" w:cs="FrankRuehl" w:hint="cs"/>
          <w:sz w:val="28"/>
          <w:szCs w:val="28"/>
          <w:rtl/>
        </w:rPr>
        <w:t>8.</w:t>
      </w:r>
      <w:r w:rsidRPr="00B1531E">
        <w:rPr>
          <w:rFonts w:ascii="Calibri" w:hAnsi="Calibri" w:cs="FrankRuehl" w:hint="cs"/>
          <w:sz w:val="28"/>
          <w:szCs w:val="28"/>
          <w:rtl/>
        </w:rPr>
        <w:tab/>
        <w:t>המסקנה אליה באתי מתחזקת בנסיבות המקרה דנן, נוכח העדר הוכחתו של התנאי המצטבר הנוסף שעניינו פגיעה חמורה בשיקום הנאשם עקב הרשעתו בדין. נקודת המוצא בהקשר זה היא כי על ההגנה לשכנע שהרשעה בדין תוביל ליצירת נזק קונקרטי ממשי עבוּר הנאשם. ובלשונו של כב' השופט שהם:</w:t>
      </w:r>
    </w:p>
    <w:p w14:paraId="1B7C736E" w14:textId="77777777" w:rsidR="00891E10" w:rsidRPr="00B1531E" w:rsidRDefault="00891E10">
      <w:pPr>
        <w:spacing w:after="120" w:line="360" w:lineRule="auto"/>
        <w:jc w:val="both"/>
        <w:rPr>
          <w:rFonts w:ascii="Calibri" w:hAnsi="Calibri" w:cs="FrankRuehl"/>
          <w:sz w:val="28"/>
          <w:szCs w:val="28"/>
          <w:rtl/>
        </w:rPr>
      </w:pPr>
    </w:p>
    <w:p w14:paraId="1064FBFC" w14:textId="77777777" w:rsidR="00891E10" w:rsidRPr="00B1531E" w:rsidRDefault="00B1531E">
      <w:pPr>
        <w:spacing w:after="120" w:line="276" w:lineRule="auto"/>
        <w:ind w:left="1260" w:right="1440"/>
        <w:jc w:val="both"/>
        <w:rPr>
          <w:rFonts w:ascii="Calibri" w:hAnsi="Calibri" w:cs="Arial"/>
          <w:sz w:val="22"/>
          <w:szCs w:val="22"/>
          <w:rtl/>
        </w:rPr>
      </w:pPr>
      <w:r w:rsidRPr="00B1531E">
        <w:rPr>
          <w:rFonts w:ascii="Garamond" w:hAnsi="Garamond" w:cs="FrankRuehl" w:hint="cs"/>
          <w:spacing w:val="10"/>
          <w:sz w:val="28"/>
          <w:szCs w:val="28"/>
          <w:rtl/>
        </w:rPr>
        <w:t xml:space="preserve">"...יש להתייחס לנזק המוחשי-קונקרטי העלול להיגרם למבקש, </w:t>
      </w:r>
      <w:r w:rsidRPr="00B1531E">
        <w:rPr>
          <w:rFonts w:ascii="Garamond" w:hAnsi="Garamond" w:cs="Miriam" w:hint="cs"/>
          <w:spacing w:val="10"/>
          <w:rtl/>
        </w:rPr>
        <w:t>ואין להידרש לאפשרויות תיאורטיות, לפיהן עלול להיגרם לו נזק כלשהו בעתיד</w:t>
      </w:r>
      <w:r w:rsidRPr="00B1531E">
        <w:rPr>
          <w:rFonts w:ascii="Garamond" w:hAnsi="Garamond" w:cs="FrankRuehl" w:hint="cs"/>
          <w:spacing w:val="10"/>
          <w:sz w:val="28"/>
          <w:szCs w:val="28"/>
          <w:rtl/>
        </w:rPr>
        <w:t>. קבלת גישתו זו של המבקש, תחייב את בית המשפט להידרש לתרחישים תיאורטיים, שאין לדעת אם יתממשו בעתיד, ולא ברור כלל עד כמה תהיה להרשעה בדין השפעה על היתכנותם של אותם תרחישים".</w:t>
      </w:r>
    </w:p>
    <w:p w14:paraId="0D23AECB" w14:textId="77777777" w:rsidR="00891E10" w:rsidRPr="00B1531E" w:rsidRDefault="00B1531E">
      <w:pPr>
        <w:spacing w:after="120" w:line="276" w:lineRule="auto"/>
        <w:ind w:left="1260" w:right="1440"/>
        <w:jc w:val="both"/>
        <w:rPr>
          <w:rFonts w:ascii="Calibri" w:hAnsi="Calibri" w:cs="Arial"/>
          <w:sz w:val="22"/>
          <w:szCs w:val="22"/>
          <w:rtl/>
        </w:rPr>
      </w:pPr>
      <w:r w:rsidRPr="00B1531E">
        <w:rPr>
          <w:rFonts w:ascii="Calibri" w:hAnsi="Calibri" w:cs="FrankRuehl" w:hint="cs"/>
          <w:sz w:val="28"/>
          <w:szCs w:val="28"/>
          <w:rtl/>
        </w:rPr>
        <w:t>(</w:t>
      </w:r>
      <w:hyperlink r:id="rId21" w:history="1">
        <w:r w:rsidRPr="00B1531E">
          <w:rPr>
            <w:rFonts w:cs="FrankRuehl"/>
            <w:color w:val="0000FF"/>
            <w:sz w:val="28"/>
            <w:szCs w:val="28"/>
            <w:u w:val="single"/>
            <w:rtl/>
          </w:rPr>
          <w:t>רע"פ 9118/12</w:t>
        </w:r>
      </w:hyperlink>
      <w:r w:rsidRPr="00B1531E">
        <w:rPr>
          <w:rFonts w:ascii="Calibri" w:hAnsi="Calibri" w:cs="FrankRuehl" w:hint="cs"/>
          <w:sz w:val="28"/>
          <w:szCs w:val="28"/>
          <w:rtl/>
        </w:rPr>
        <w:t xml:space="preserve"> </w:t>
      </w:r>
      <w:r w:rsidRPr="00B1531E">
        <w:rPr>
          <w:rFonts w:ascii="Garamond" w:hAnsi="Garamond" w:cs="Miriam" w:hint="cs"/>
          <w:spacing w:val="10"/>
          <w:rtl/>
        </w:rPr>
        <w:t>פריגין נ' מדינת ישראל</w:t>
      </w:r>
      <w:r w:rsidRPr="00B1531E">
        <w:rPr>
          <w:rFonts w:ascii="Calibri" w:hAnsi="Calibri" w:cs="FrankRuehl" w:hint="cs"/>
          <w:sz w:val="28"/>
          <w:szCs w:val="28"/>
          <w:rtl/>
        </w:rPr>
        <w:t xml:space="preserve">, פיסקה 10 (1.1.2013); ההדגשה אינה במקור - ד.כ.ל). </w:t>
      </w:r>
    </w:p>
    <w:p w14:paraId="2CF556B9" w14:textId="77777777" w:rsidR="00891E10" w:rsidRPr="00B1531E" w:rsidRDefault="00891E10">
      <w:pPr>
        <w:spacing w:after="120" w:line="360" w:lineRule="auto"/>
        <w:ind w:firstLine="720"/>
        <w:jc w:val="both"/>
        <w:rPr>
          <w:rFonts w:ascii="Calibri" w:hAnsi="Calibri" w:cs="FrankRuehl"/>
          <w:sz w:val="28"/>
          <w:szCs w:val="28"/>
          <w:rtl/>
        </w:rPr>
      </w:pPr>
    </w:p>
    <w:p w14:paraId="5B0CBACB" w14:textId="77777777" w:rsidR="00891E10" w:rsidRPr="00B1531E" w:rsidRDefault="00B1531E">
      <w:pPr>
        <w:spacing w:after="120" w:line="360" w:lineRule="auto"/>
        <w:ind w:firstLine="720"/>
        <w:jc w:val="both"/>
        <w:rPr>
          <w:rFonts w:ascii="Calibri" w:hAnsi="Calibri" w:cs="FrankRuehl"/>
          <w:sz w:val="28"/>
          <w:szCs w:val="28"/>
          <w:rtl/>
        </w:rPr>
      </w:pPr>
      <w:r w:rsidRPr="00B1531E">
        <w:rPr>
          <w:rFonts w:ascii="Calibri" w:hAnsi="Calibri" w:cs="FrankRuehl" w:hint="cs"/>
          <w:sz w:val="28"/>
          <w:szCs w:val="28"/>
          <w:rtl/>
        </w:rPr>
        <w:t>במקרה דנן, לא הוּכחה פגיעה חמורה בשיקומו או בעתידו של הנאשם בגין הרשעתו. הסנגור לא טען לקיומו של נזק קונקרטי אשר ייגרם לנאשם עקב הרשעתו בדין. יתרה מזאת; שירות המבחן ציין כי הרשעה בדין לא תוביל לפגיעה במסגרת התעסוקתית של הנאשם בטווח הקרוב. כל שנאמר בתסקירים הוא כי הרשעה עלולה להוביל לפגיעה בדימויו העצמי של הנאשם, וכי הנאשם חושש שהותרת הרשעתו על כנה תוביל לפגיעה באפשרויות תעסוקה ולימודים בעתיד. דא עקא, מדובר באפשרויות תיאורטיות שאין די בהן לצורך ביטול הרשעה. זאת ועוד; הרשעה מעצם טיבה וטבעה היא בעלת השפעה על דימויו העצמי ועל עתידו של כל מורשע. היא בוודאי לא תיטיב עם הנאשם. עם זאת, כאשר מדובר בנאשם בגיר, אף אם הוא חסר עבר פלילי, הכלל נותר הרשעה. מכלול הנסיבות לקולא ובהן: הודאת הנאשם והחרטה שהביע; העדר הרשעות קודמות; ההרתעה האישית שבעצם ניהול ההליך הפלילי; תהליך השיקום המשמעותי והממושך בו משולב הנאשם; ומכלול הנסיבות האישיות כמפורט בתסקירים ובטיעוניהם של הסנגור והנאשם לפניי - כל אלה יקבלו משקל משמעותי במלאכת גזירת הדין, אולם לא שוכנעתי כי יש בהם כדי להצדיק חריגה מכלל ההרשעה.</w:t>
      </w:r>
    </w:p>
    <w:p w14:paraId="1266D172" w14:textId="77777777" w:rsidR="00891E10" w:rsidRPr="00B1531E" w:rsidRDefault="00891E10">
      <w:pPr>
        <w:spacing w:after="120" w:line="360" w:lineRule="auto"/>
        <w:jc w:val="both"/>
        <w:rPr>
          <w:rFonts w:ascii="Calibri" w:hAnsi="Calibri" w:cs="Arial"/>
          <w:sz w:val="22"/>
          <w:szCs w:val="22"/>
          <w:rtl/>
        </w:rPr>
      </w:pPr>
    </w:p>
    <w:p w14:paraId="0D7DB1C6" w14:textId="77777777" w:rsidR="00891E10" w:rsidRPr="00B1531E" w:rsidRDefault="00B1531E">
      <w:pPr>
        <w:spacing w:after="120" w:line="360" w:lineRule="auto"/>
        <w:jc w:val="both"/>
        <w:rPr>
          <w:rFonts w:ascii="Calibri" w:hAnsi="Calibri" w:cs="Arial"/>
          <w:sz w:val="22"/>
          <w:szCs w:val="22"/>
          <w:rtl/>
        </w:rPr>
      </w:pPr>
      <w:r w:rsidRPr="00B1531E">
        <w:rPr>
          <w:rFonts w:ascii="Calibri" w:hAnsi="Calibri" w:cs="FrankRuehl" w:hint="cs"/>
          <w:sz w:val="28"/>
          <w:szCs w:val="28"/>
          <w:rtl/>
        </w:rPr>
        <w:t>9.</w:t>
      </w:r>
      <w:r w:rsidRPr="00B1531E">
        <w:rPr>
          <w:rFonts w:ascii="Calibri" w:hAnsi="Calibri" w:cs="FrankRuehl" w:hint="cs"/>
          <w:sz w:val="28"/>
          <w:szCs w:val="28"/>
          <w:rtl/>
        </w:rPr>
        <w:tab/>
        <w:t xml:space="preserve">אשר על כן, ונוכח מכלול הטעמים האמורים, אני קובעת כי הרשעת הנאשם </w:t>
      </w:r>
      <w:r w:rsidRPr="00B1531E">
        <w:rPr>
          <w:rFonts w:cs="FrankRuehl" w:hint="cs"/>
          <w:sz w:val="28"/>
          <w:szCs w:val="28"/>
          <w:rtl/>
        </w:rPr>
        <w:t xml:space="preserve">תיוותר על כנה. </w:t>
      </w:r>
    </w:p>
    <w:p w14:paraId="2A19A49D" w14:textId="77777777" w:rsidR="00891E10" w:rsidRPr="00B1531E" w:rsidRDefault="00891E10">
      <w:pPr>
        <w:spacing w:after="120" w:line="360" w:lineRule="auto"/>
        <w:jc w:val="both"/>
        <w:rPr>
          <w:rFonts w:cs="FrankRuehl"/>
          <w:sz w:val="28"/>
          <w:szCs w:val="28"/>
          <w:rtl/>
        </w:rPr>
      </w:pPr>
    </w:p>
    <w:p w14:paraId="34CCF0E7"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ריבוי עבירות</w:t>
      </w:r>
    </w:p>
    <w:p w14:paraId="3542ADE7"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10.</w:t>
      </w:r>
      <w:r w:rsidRPr="00B1531E">
        <w:rPr>
          <w:rFonts w:cs="FrankRuehl" w:hint="cs"/>
          <w:sz w:val="28"/>
          <w:szCs w:val="28"/>
          <w:rtl/>
        </w:rPr>
        <w:tab/>
        <w:t xml:space="preserve">כאמור, הנאשם הורשע בביצוען של שתי עבירות - עבירה של גידול סמים וכן עבירה של החזקת סם לשימוש עצמי. נוכח אופיין ומהותן של העבירות האמורות, נוכח הזיקה ביניהן ונוכח העובדה כי הן בוצעו באותה מסגרת זמנים, אני סבורה כי שתי העבירות מהוות אירוע אחד לצורך קביעתו של מתחם ענישה הולמת. </w:t>
      </w:r>
      <w:r w:rsidRPr="00B1531E">
        <w:rPr>
          <w:rFonts w:ascii="Calibri" w:hAnsi="Calibri" w:cs="FrankRuehl" w:hint="cs"/>
          <w:sz w:val="28"/>
          <w:szCs w:val="28"/>
          <w:rtl/>
        </w:rPr>
        <w:t xml:space="preserve">מסקנה זו מתבקשת הן לפי "מבחן הקשר ההדוק" והן לפי "המבחן הצורני-עובדתי" (ראו: </w:t>
      </w:r>
      <w:hyperlink r:id="rId22" w:history="1">
        <w:r w:rsidR="00233884" w:rsidRPr="00233884">
          <w:rPr>
            <w:rFonts w:ascii="Calibri" w:hAnsi="Calibri" w:cs="FrankRuehl" w:hint="eastAsia"/>
            <w:color w:val="0000FF"/>
            <w:sz w:val="28"/>
            <w:szCs w:val="28"/>
            <w:u w:val="single"/>
            <w:rtl/>
          </w:rPr>
          <w:t>סעיף</w:t>
        </w:r>
        <w:r w:rsidR="00233884" w:rsidRPr="00233884">
          <w:rPr>
            <w:rFonts w:ascii="Calibri" w:hAnsi="Calibri" w:cs="FrankRuehl"/>
            <w:color w:val="0000FF"/>
            <w:sz w:val="28"/>
            <w:szCs w:val="28"/>
            <w:u w:val="single"/>
            <w:rtl/>
          </w:rPr>
          <w:t xml:space="preserve"> 40</w:t>
        </w:r>
        <w:r w:rsidR="00233884" w:rsidRPr="00233884">
          <w:rPr>
            <w:rFonts w:ascii="Calibri" w:hAnsi="Calibri" w:cs="FrankRuehl" w:hint="eastAsia"/>
            <w:color w:val="0000FF"/>
            <w:sz w:val="28"/>
            <w:szCs w:val="28"/>
            <w:u w:val="single"/>
            <w:rtl/>
          </w:rPr>
          <w:t>יג</w:t>
        </w:r>
        <w:r w:rsidR="00233884" w:rsidRPr="00233884">
          <w:rPr>
            <w:rFonts w:ascii="Calibri" w:hAnsi="Calibri" w:cs="FrankRuehl"/>
            <w:color w:val="0000FF"/>
            <w:sz w:val="28"/>
            <w:szCs w:val="28"/>
            <w:u w:val="single"/>
            <w:rtl/>
          </w:rPr>
          <w:t>(</w:t>
        </w:r>
        <w:r w:rsidR="00233884" w:rsidRPr="00233884">
          <w:rPr>
            <w:rFonts w:ascii="Calibri" w:hAnsi="Calibri" w:cs="FrankRuehl" w:hint="eastAsia"/>
            <w:color w:val="0000FF"/>
            <w:sz w:val="28"/>
            <w:szCs w:val="28"/>
            <w:u w:val="single"/>
            <w:rtl/>
          </w:rPr>
          <w:t>א</w:t>
        </w:r>
        <w:r w:rsidR="00233884" w:rsidRPr="00233884">
          <w:rPr>
            <w:rFonts w:ascii="Calibri" w:hAnsi="Calibri" w:cs="FrankRuehl"/>
            <w:color w:val="0000FF"/>
            <w:sz w:val="28"/>
            <w:szCs w:val="28"/>
            <w:u w:val="single"/>
            <w:rtl/>
          </w:rPr>
          <w:t>)</w:t>
        </w:r>
      </w:hyperlink>
      <w:r w:rsidRPr="00B1531E">
        <w:rPr>
          <w:rFonts w:ascii="Calibri" w:hAnsi="Calibri" w:cs="FrankRuehl" w:hint="cs"/>
          <w:sz w:val="28"/>
          <w:szCs w:val="28"/>
          <w:rtl/>
        </w:rPr>
        <w:t xml:space="preserve"> ל</w:t>
      </w:r>
      <w:hyperlink r:id="rId23" w:history="1">
        <w:r w:rsidRPr="00B1531E">
          <w:rPr>
            <w:rFonts w:ascii="Calibri" w:hAnsi="Calibri" w:cs="FrankRuehl" w:hint="eastAsia"/>
            <w:color w:val="0000FF"/>
            <w:sz w:val="28"/>
            <w:szCs w:val="28"/>
            <w:u w:val="single"/>
            <w:rtl/>
          </w:rPr>
          <w:t>חוק</w:t>
        </w:r>
        <w:r w:rsidRPr="00B1531E">
          <w:rPr>
            <w:rFonts w:ascii="Calibri" w:hAnsi="Calibri" w:cs="FrankRuehl"/>
            <w:color w:val="0000FF"/>
            <w:sz w:val="28"/>
            <w:szCs w:val="28"/>
            <w:u w:val="single"/>
            <w:rtl/>
          </w:rPr>
          <w:t xml:space="preserve"> </w:t>
        </w:r>
        <w:r w:rsidRPr="00B1531E">
          <w:rPr>
            <w:rFonts w:ascii="Calibri" w:hAnsi="Calibri" w:cs="FrankRuehl" w:hint="eastAsia"/>
            <w:color w:val="0000FF"/>
            <w:sz w:val="28"/>
            <w:szCs w:val="28"/>
            <w:u w:val="single"/>
            <w:rtl/>
          </w:rPr>
          <w:t>העונשין</w:t>
        </w:r>
      </w:hyperlink>
      <w:r w:rsidRPr="00B1531E">
        <w:rPr>
          <w:rFonts w:ascii="Calibri" w:hAnsi="Calibri" w:cs="FrankRuehl" w:hint="cs"/>
          <w:sz w:val="28"/>
          <w:szCs w:val="28"/>
          <w:rtl/>
        </w:rPr>
        <w:t xml:space="preserve">, וכן: ע"פ </w:t>
      </w:r>
      <w:hyperlink r:id="rId24" w:history="1">
        <w:r w:rsidR="00C257C5" w:rsidRPr="00C257C5">
          <w:rPr>
            <w:rFonts w:ascii="Calibri" w:hAnsi="Calibri" w:cs="FrankRuehl"/>
            <w:color w:val="0000FF"/>
            <w:sz w:val="28"/>
            <w:szCs w:val="28"/>
            <w:u w:val="single"/>
            <w:rtl/>
          </w:rPr>
          <w:t xml:space="preserve">4913/10 </w:t>
        </w:r>
      </w:hyperlink>
      <w:r w:rsidRPr="00B1531E">
        <w:rPr>
          <w:rFonts w:ascii="Calibri" w:hAnsi="Calibri" w:cs="FrankRuehl" w:hint="cs"/>
          <w:sz w:val="28"/>
          <w:szCs w:val="28"/>
          <w:rtl/>
        </w:rPr>
        <w:t xml:space="preserve"> </w:t>
      </w:r>
      <w:r w:rsidRPr="00B1531E">
        <w:rPr>
          <w:rFonts w:ascii="Calibri" w:hAnsi="Calibri" w:cs="Miriam" w:hint="cs"/>
          <w:rtl/>
        </w:rPr>
        <w:t>ג'אבר נ' מדינת ישראל</w:t>
      </w:r>
      <w:r w:rsidRPr="00B1531E">
        <w:rPr>
          <w:rFonts w:ascii="Calibri" w:hAnsi="Calibri" w:cs="Arial"/>
          <w:sz w:val="22"/>
          <w:szCs w:val="22"/>
          <w:rtl/>
        </w:rPr>
        <w:t xml:space="preserve"> </w:t>
      </w:r>
      <w:r w:rsidRPr="00B1531E">
        <w:rPr>
          <w:rFonts w:ascii="Calibri" w:hAnsi="Calibri" w:cs="FrankRuehl" w:hint="cs"/>
          <w:sz w:val="28"/>
          <w:szCs w:val="28"/>
          <w:rtl/>
        </w:rPr>
        <w:t>(29.10.2014)).</w:t>
      </w:r>
      <w:r w:rsidRPr="00B1531E">
        <w:rPr>
          <w:rFonts w:cs="FrankRuehl" w:hint="cs"/>
          <w:sz w:val="28"/>
          <w:szCs w:val="28"/>
          <w:rtl/>
        </w:rPr>
        <w:t xml:space="preserve"> נראה כי באי-כוח הצדדים החזיקו באותה עמדה בטיעוניהם לפניי. </w:t>
      </w:r>
    </w:p>
    <w:p w14:paraId="5A16448B" w14:textId="77777777" w:rsidR="00891E10" w:rsidRPr="00B1531E" w:rsidRDefault="00891E10">
      <w:pPr>
        <w:spacing w:after="120" w:line="360" w:lineRule="auto"/>
        <w:jc w:val="both"/>
        <w:rPr>
          <w:rFonts w:cs="FrankRuehl"/>
          <w:sz w:val="28"/>
          <w:szCs w:val="28"/>
          <w:rtl/>
        </w:rPr>
      </w:pPr>
    </w:p>
    <w:p w14:paraId="2350693B"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מתחם הענישה ההולמת</w:t>
      </w:r>
    </w:p>
    <w:p w14:paraId="5EE1C304" w14:textId="77777777" w:rsidR="00891E10" w:rsidRPr="00B1531E" w:rsidRDefault="00B1531E">
      <w:pPr>
        <w:spacing w:after="120" w:line="360" w:lineRule="auto"/>
        <w:jc w:val="both"/>
        <w:rPr>
          <w:rFonts w:ascii="Calibri" w:hAnsi="Calibri" w:cs="FrankRuehl"/>
          <w:sz w:val="28"/>
          <w:szCs w:val="28"/>
          <w:rtl/>
        </w:rPr>
      </w:pPr>
      <w:r w:rsidRPr="00B1531E">
        <w:rPr>
          <w:rFonts w:cs="FrankRuehl" w:hint="cs"/>
          <w:sz w:val="28"/>
          <w:szCs w:val="28"/>
          <w:rtl/>
        </w:rPr>
        <w:t>11.</w:t>
      </w:r>
      <w:r w:rsidRPr="00B1531E">
        <w:rPr>
          <w:rFonts w:cs="FrankRuehl" w:hint="cs"/>
          <w:sz w:val="28"/>
          <w:szCs w:val="28"/>
          <w:rtl/>
        </w:rPr>
        <w:tab/>
        <w:t xml:space="preserve">בהתאם </w:t>
      </w:r>
      <w:hyperlink r:id="rId25" w:history="1">
        <w:r w:rsidR="00233884" w:rsidRPr="00233884">
          <w:rPr>
            <w:rFonts w:cs="FrankRuehl"/>
            <w:color w:val="0000FF"/>
            <w:sz w:val="28"/>
            <w:szCs w:val="28"/>
            <w:u w:val="single"/>
            <w:rtl/>
          </w:rPr>
          <w:t>לסעיף 40ג(א)</w:t>
        </w:r>
      </w:hyperlink>
      <w:r w:rsidRPr="00B1531E">
        <w:rPr>
          <w:rFonts w:cs="FrankRuehl" w:hint="cs"/>
          <w:sz w:val="28"/>
          <w:szCs w:val="28"/>
          <w:rtl/>
        </w:rPr>
        <w:t xml:space="preserve"> ל</w:t>
      </w:r>
      <w:hyperlink r:id="rId26" w:history="1">
        <w:r w:rsidRPr="00B1531E">
          <w:rPr>
            <w:rFonts w:cs="FrankRuehl"/>
            <w:color w:val="0000FF"/>
            <w:sz w:val="28"/>
            <w:szCs w:val="28"/>
            <w:u w:val="single"/>
            <w:rtl/>
          </w:rPr>
          <w:t>חוק העונשין</w:t>
        </w:r>
      </w:hyperlink>
      <w:r w:rsidRPr="00B1531E">
        <w:rPr>
          <w:rFonts w:cs="FrankRuehl" w:hint="cs"/>
          <w:sz w:val="28"/>
          <w:szCs w:val="28"/>
          <w:rtl/>
        </w:rPr>
        <w:t>, יש לקבוע את מתחם הענישה ההולמת בהתאם לעקרון ההלימה, תוך התחשבות בערך החברתי שנפגע, במידת הפגיעה בו, בנסיבות הקשורות בביצוע העבירה ובמדיניות הענישה הנהוגה.</w:t>
      </w:r>
    </w:p>
    <w:p w14:paraId="16034E57" w14:textId="77777777" w:rsidR="00891E10" w:rsidRPr="00B1531E" w:rsidRDefault="00891E10">
      <w:pPr>
        <w:spacing w:after="120" w:line="360" w:lineRule="auto"/>
        <w:jc w:val="both"/>
        <w:rPr>
          <w:rFonts w:ascii="David" w:hAnsi="David" w:cs="FrankRuehl"/>
          <w:sz w:val="28"/>
          <w:szCs w:val="28"/>
          <w:rtl/>
        </w:rPr>
      </w:pPr>
    </w:p>
    <w:p w14:paraId="17E129F0" w14:textId="77777777" w:rsidR="00891E10" w:rsidRPr="00B1531E" w:rsidRDefault="00B1531E">
      <w:pPr>
        <w:spacing w:after="120" w:line="360" w:lineRule="auto"/>
        <w:ind w:firstLine="720"/>
        <w:jc w:val="both"/>
        <w:rPr>
          <w:rFonts w:cs="FrankRuehl"/>
          <w:sz w:val="28"/>
          <w:szCs w:val="28"/>
          <w:rtl/>
        </w:rPr>
      </w:pPr>
      <w:r w:rsidRPr="00B1531E">
        <w:rPr>
          <w:rFonts w:cs="FrankRuehl" w:hint="cs"/>
          <w:b/>
          <w:bCs/>
          <w:sz w:val="28"/>
          <w:szCs w:val="28"/>
          <w:rtl/>
        </w:rPr>
        <w:t>על הערכים המוגנים</w:t>
      </w:r>
      <w:r w:rsidRPr="00B1531E">
        <w:rPr>
          <w:rFonts w:cs="FrankRuehl" w:hint="cs"/>
          <w:sz w:val="28"/>
          <w:szCs w:val="28"/>
          <w:rtl/>
        </w:rPr>
        <w:t xml:space="preserve"> </w:t>
      </w:r>
      <w:r w:rsidRPr="00B1531E">
        <w:rPr>
          <w:rFonts w:cs="FrankRuehl" w:hint="cs"/>
          <w:b/>
          <w:bCs/>
          <w:sz w:val="28"/>
          <w:szCs w:val="28"/>
          <w:rtl/>
        </w:rPr>
        <w:t>שנפגעו ועל נסיבות ביצוע העבירות</w:t>
      </w:r>
      <w:r w:rsidRPr="00B1531E">
        <w:rPr>
          <w:rFonts w:cs="FrankRuehl" w:hint="cs"/>
          <w:sz w:val="28"/>
          <w:szCs w:val="28"/>
          <w:rtl/>
        </w:rPr>
        <w:t xml:space="preserve"> במקרה הנדון עמדתי בהרחבה בפסקה 7 לעיל, ואיני רואה לחזור על הדברים. </w:t>
      </w:r>
      <w:r w:rsidRPr="00B1531E">
        <w:rPr>
          <w:rFonts w:cs="FrankRuehl" w:hint="cs"/>
          <w:b/>
          <w:bCs/>
          <w:sz w:val="28"/>
          <w:szCs w:val="28"/>
          <w:rtl/>
        </w:rPr>
        <w:t>אשר לענישה הנוהגת</w:t>
      </w:r>
      <w:r w:rsidRPr="00B1531E">
        <w:rPr>
          <w:rFonts w:cs="FrankRuehl" w:hint="cs"/>
          <w:sz w:val="28"/>
          <w:szCs w:val="28"/>
          <w:rtl/>
        </w:rPr>
        <w:t xml:space="preserve"> - בדיקת הפסיקה בנוגע לעבירה של גידול סם מסוכן מסוג קנביס מעלה כי על דרך הכלל, בתי-המשפט נוטים להטיל בגין עבירה זו עונשי מאסר בפועל. במקרים הקלים יותר, יכול המאסר בפועל להיות מרוצה בדרך של עבודות שירות. מנגד, במקרים שנסיבותיהם חמורות, נגזרו עונשי מאסר בפועל לתקופה ממשית מאחורי סורג ובריח. חומרת הענישה משתנה ממקרה למקרה בהתאם לכמות הסם שהנאשם הורשע בגידולו, מידת התחכום שנדרשה לשם גידוּל הסם, מטרת הגידוּל ועוד (ראו והשוו: רע"פ </w:t>
      </w:r>
      <w:hyperlink r:id="rId27" w:history="1">
        <w:r w:rsidR="00C257C5" w:rsidRPr="00C257C5">
          <w:rPr>
            <w:rFonts w:cs="FrankRuehl"/>
            <w:color w:val="0000FF"/>
            <w:sz w:val="28"/>
            <w:szCs w:val="28"/>
            <w:u w:val="single"/>
            <w:rtl/>
          </w:rPr>
          <w:t>7657/13</w:t>
        </w:r>
      </w:hyperlink>
      <w:r w:rsidRPr="00B1531E">
        <w:rPr>
          <w:rFonts w:cs="FrankRuehl" w:hint="cs"/>
          <w:sz w:val="28"/>
          <w:szCs w:val="28"/>
          <w:rtl/>
        </w:rPr>
        <w:t xml:space="preserve"> </w:t>
      </w:r>
      <w:r w:rsidRPr="00B1531E">
        <w:rPr>
          <w:rFonts w:cs="Miriam" w:hint="cs"/>
          <w:rtl/>
        </w:rPr>
        <w:t>סעפין נ' מדינת ישראל</w:t>
      </w:r>
      <w:r w:rsidRPr="00B1531E">
        <w:rPr>
          <w:rFonts w:cs="FrankRuehl" w:hint="cs"/>
          <w:sz w:val="28"/>
          <w:szCs w:val="28"/>
          <w:rtl/>
        </w:rPr>
        <w:t xml:space="preserve"> (26.1.2014); </w:t>
      </w:r>
      <w:hyperlink r:id="rId28" w:history="1">
        <w:r w:rsidRPr="00B1531E">
          <w:rPr>
            <w:rFonts w:cs="FrankRuehl"/>
            <w:color w:val="0000FF"/>
            <w:sz w:val="28"/>
            <w:szCs w:val="28"/>
            <w:u w:val="single"/>
            <w:rtl/>
          </w:rPr>
          <w:t>רע"פ 6987/13</w:t>
        </w:r>
      </w:hyperlink>
      <w:r w:rsidRPr="00B1531E">
        <w:rPr>
          <w:rFonts w:cs="FrankRuehl" w:hint="cs"/>
          <w:sz w:val="28"/>
          <w:szCs w:val="28"/>
          <w:rtl/>
        </w:rPr>
        <w:t xml:space="preserve"> </w:t>
      </w:r>
      <w:r w:rsidRPr="00B1531E">
        <w:rPr>
          <w:rFonts w:cs="Miriam" w:hint="cs"/>
          <w:rtl/>
        </w:rPr>
        <w:t>אברמוב נ' מדינת ישראל</w:t>
      </w:r>
      <w:r w:rsidRPr="00B1531E">
        <w:rPr>
          <w:rFonts w:cs="FrankRuehl" w:hint="cs"/>
          <w:sz w:val="28"/>
          <w:szCs w:val="28"/>
          <w:rtl/>
        </w:rPr>
        <w:t xml:space="preserve"> (21.10.2013); עוד ראו והשוו: </w:t>
      </w:r>
      <w:hyperlink r:id="rId29" w:history="1">
        <w:r w:rsidRPr="00B1531E">
          <w:rPr>
            <w:rFonts w:cs="FrankRuehl"/>
            <w:color w:val="0000FF"/>
            <w:sz w:val="28"/>
            <w:szCs w:val="28"/>
            <w:u w:val="single"/>
            <w:rtl/>
          </w:rPr>
          <w:t>עפ"ג (מחוזי מרכז) 55950-07-14</w:t>
        </w:r>
      </w:hyperlink>
      <w:r w:rsidRPr="00B1531E">
        <w:rPr>
          <w:rFonts w:cs="FrankRuehl" w:hint="cs"/>
          <w:sz w:val="28"/>
          <w:szCs w:val="28"/>
          <w:rtl/>
        </w:rPr>
        <w:t xml:space="preserve"> </w:t>
      </w:r>
      <w:r w:rsidRPr="00B1531E">
        <w:rPr>
          <w:rFonts w:cs="Miriam" w:hint="cs"/>
          <w:rtl/>
        </w:rPr>
        <w:t>קרן נ' מדינת ישראל</w:t>
      </w:r>
      <w:r w:rsidRPr="00B1531E">
        <w:rPr>
          <w:rFonts w:cs="FrankRuehl" w:hint="cs"/>
          <w:sz w:val="28"/>
          <w:szCs w:val="28"/>
          <w:rtl/>
        </w:rPr>
        <w:t xml:space="preserve"> (2.11.2014); </w:t>
      </w:r>
      <w:hyperlink r:id="rId30" w:history="1">
        <w:r w:rsidRPr="00B1531E">
          <w:rPr>
            <w:rFonts w:cs="FrankRuehl"/>
            <w:color w:val="0000FF"/>
            <w:sz w:val="28"/>
            <w:szCs w:val="28"/>
            <w:u w:val="single"/>
            <w:rtl/>
          </w:rPr>
          <w:t>ע"פ (מחוזי חיפה) 41827-08-10</w:t>
        </w:r>
      </w:hyperlink>
      <w:r w:rsidRPr="00B1531E">
        <w:rPr>
          <w:rFonts w:cs="FrankRuehl" w:hint="cs"/>
          <w:sz w:val="28"/>
          <w:szCs w:val="28"/>
          <w:rtl/>
        </w:rPr>
        <w:t xml:space="preserve"> </w:t>
      </w:r>
      <w:r w:rsidRPr="00B1531E">
        <w:rPr>
          <w:rFonts w:cs="Miriam" w:hint="cs"/>
          <w:rtl/>
        </w:rPr>
        <w:t xml:space="preserve">פרידמן </w:t>
      </w:r>
      <w:r w:rsidRPr="00B1531E">
        <w:rPr>
          <w:rFonts w:cs="FrankRuehl" w:hint="cs"/>
          <w:sz w:val="28"/>
          <w:szCs w:val="28"/>
          <w:rtl/>
        </w:rPr>
        <w:t xml:space="preserve">הנ"ל; </w:t>
      </w:r>
      <w:hyperlink r:id="rId31" w:history="1">
        <w:r w:rsidRPr="00B1531E">
          <w:rPr>
            <w:rFonts w:cs="FrankRuehl"/>
            <w:color w:val="0000FF"/>
            <w:sz w:val="28"/>
            <w:szCs w:val="28"/>
            <w:u w:val="single"/>
            <w:rtl/>
          </w:rPr>
          <w:t>עפ"ג (מחוזי מרכז) 52810-07-10</w:t>
        </w:r>
      </w:hyperlink>
      <w:r w:rsidRPr="00B1531E">
        <w:rPr>
          <w:rFonts w:cs="FrankRuehl" w:hint="cs"/>
          <w:sz w:val="28"/>
          <w:szCs w:val="28"/>
          <w:rtl/>
        </w:rPr>
        <w:t xml:space="preserve"> </w:t>
      </w:r>
      <w:r w:rsidRPr="00B1531E">
        <w:rPr>
          <w:rFonts w:cs="Miriam" w:hint="cs"/>
          <w:rtl/>
        </w:rPr>
        <w:t>עזריה נ' מדינת ישראל</w:t>
      </w:r>
      <w:r w:rsidRPr="00B1531E">
        <w:rPr>
          <w:rFonts w:cs="FrankRuehl" w:hint="cs"/>
          <w:sz w:val="28"/>
          <w:szCs w:val="28"/>
          <w:rtl/>
        </w:rPr>
        <w:t xml:space="preserve"> (21.12.2010); בנוסף ראו והשוו: </w:t>
      </w:r>
      <w:hyperlink r:id="rId32" w:history="1">
        <w:r w:rsidRPr="00B1531E">
          <w:rPr>
            <w:rFonts w:cs="FrankRuehl"/>
            <w:color w:val="0000FF"/>
            <w:sz w:val="28"/>
            <w:szCs w:val="28"/>
            <w:u w:val="single"/>
            <w:rtl/>
          </w:rPr>
          <w:t>ת"פ (שלום פתח תקווה) 3001-08-12</w:t>
        </w:r>
      </w:hyperlink>
      <w:r w:rsidRPr="00B1531E">
        <w:rPr>
          <w:rFonts w:cs="FrankRuehl" w:hint="cs"/>
          <w:sz w:val="28"/>
          <w:szCs w:val="28"/>
          <w:rtl/>
        </w:rPr>
        <w:t xml:space="preserve"> </w:t>
      </w:r>
      <w:r w:rsidRPr="00B1531E">
        <w:rPr>
          <w:rFonts w:cs="Miriam" w:hint="cs"/>
          <w:rtl/>
        </w:rPr>
        <w:t>מדינת ישראל נ' עמר</w:t>
      </w:r>
      <w:r w:rsidRPr="00B1531E">
        <w:rPr>
          <w:rFonts w:cs="FrankRuehl" w:hint="cs"/>
          <w:sz w:val="28"/>
          <w:szCs w:val="28"/>
          <w:rtl/>
        </w:rPr>
        <w:t xml:space="preserve"> (24.3.2014); </w:t>
      </w:r>
      <w:hyperlink r:id="rId33" w:history="1">
        <w:r w:rsidRPr="00B1531E">
          <w:rPr>
            <w:rFonts w:cs="FrankRuehl"/>
            <w:color w:val="0000FF"/>
            <w:sz w:val="28"/>
            <w:szCs w:val="28"/>
            <w:u w:val="single"/>
            <w:rtl/>
          </w:rPr>
          <w:t>ת"פ (שלום באר-שבע) 11284-07-12</w:t>
        </w:r>
      </w:hyperlink>
      <w:r w:rsidRPr="00B1531E">
        <w:rPr>
          <w:rFonts w:cs="FrankRuehl" w:hint="cs"/>
          <w:sz w:val="28"/>
          <w:szCs w:val="28"/>
          <w:rtl/>
        </w:rPr>
        <w:t xml:space="preserve"> </w:t>
      </w:r>
      <w:r w:rsidRPr="00B1531E">
        <w:rPr>
          <w:rFonts w:cs="Miriam" w:hint="cs"/>
          <w:rtl/>
        </w:rPr>
        <w:t>מדינת ישראל נ' לוי</w:t>
      </w:r>
      <w:r w:rsidRPr="00B1531E">
        <w:rPr>
          <w:rFonts w:cs="FrankRuehl" w:hint="cs"/>
          <w:sz w:val="28"/>
          <w:szCs w:val="28"/>
          <w:rtl/>
        </w:rPr>
        <w:t xml:space="preserve"> (16.9.2013)). </w:t>
      </w:r>
    </w:p>
    <w:p w14:paraId="341296DB" w14:textId="77777777" w:rsidR="00891E10" w:rsidRPr="00B1531E" w:rsidRDefault="00891E10">
      <w:pPr>
        <w:spacing w:after="120" w:line="360" w:lineRule="auto"/>
        <w:ind w:firstLine="720"/>
        <w:jc w:val="both"/>
        <w:rPr>
          <w:rFonts w:cs="FrankRuehl"/>
          <w:sz w:val="28"/>
          <w:szCs w:val="28"/>
          <w:rtl/>
        </w:rPr>
      </w:pPr>
    </w:p>
    <w:p w14:paraId="48323204" w14:textId="77777777" w:rsidR="00891E10" w:rsidRPr="00B1531E" w:rsidRDefault="00B1531E">
      <w:pPr>
        <w:spacing w:after="120" w:line="360" w:lineRule="auto"/>
        <w:ind w:firstLine="720"/>
        <w:jc w:val="both"/>
        <w:rPr>
          <w:rFonts w:cs="FrankRuehl"/>
          <w:sz w:val="28"/>
          <w:szCs w:val="28"/>
          <w:rtl/>
        </w:rPr>
      </w:pPr>
      <w:r w:rsidRPr="00B1531E">
        <w:rPr>
          <w:rFonts w:cs="FrankRuehl" w:hint="cs"/>
          <w:sz w:val="28"/>
          <w:szCs w:val="28"/>
          <w:rtl/>
        </w:rPr>
        <w:t xml:space="preserve">למען שלמות התמונה, יצוין כי בפסיקתם של בתי-המשפט ניתן לאתר גם מקרים בהם הוטלה ענישה מוחשית אשר אינה כוללת רכיב של מאסר בפועל, וזאת מטעמי שיקום (ראו והשוו: </w:t>
      </w:r>
      <w:hyperlink r:id="rId34" w:history="1">
        <w:r w:rsidRPr="00B1531E">
          <w:rPr>
            <w:rFonts w:cs="FrankRuehl"/>
            <w:color w:val="0000FF"/>
            <w:sz w:val="28"/>
            <w:szCs w:val="28"/>
            <w:u w:val="single"/>
            <w:rtl/>
          </w:rPr>
          <w:t>ת"פ (שלום טבריה) 13365-08-13</w:t>
        </w:r>
      </w:hyperlink>
      <w:r w:rsidRPr="00B1531E">
        <w:rPr>
          <w:rFonts w:cs="FrankRuehl" w:hint="cs"/>
          <w:sz w:val="28"/>
          <w:szCs w:val="28"/>
          <w:rtl/>
        </w:rPr>
        <w:t xml:space="preserve"> </w:t>
      </w:r>
      <w:r w:rsidRPr="00B1531E">
        <w:rPr>
          <w:rFonts w:cs="Miriam" w:hint="cs"/>
          <w:rtl/>
        </w:rPr>
        <w:t>מדינת ישראל נ' טל</w:t>
      </w:r>
      <w:r w:rsidRPr="00B1531E">
        <w:rPr>
          <w:rFonts w:cs="FrankRuehl" w:hint="cs"/>
          <w:sz w:val="28"/>
          <w:szCs w:val="28"/>
          <w:rtl/>
        </w:rPr>
        <w:t xml:space="preserve"> (8.7.2014); </w:t>
      </w:r>
      <w:hyperlink r:id="rId35" w:history="1">
        <w:r w:rsidR="00C257C5" w:rsidRPr="00C257C5">
          <w:rPr>
            <w:rFonts w:cs="FrankRuehl"/>
            <w:color w:val="0000FF"/>
            <w:sz w:val="28"/>
            <w:szCs w:val="28"/>
            <w:u w:val="single"/>
            <w:rtl/>
          </w:rPr>
          <w:t xml:space="preserve">ת"פ (תל-אביב-יפו) </w:t>
        </w:r>
      </w:hyperlink>
      <w:r w:rsidRPr="00B1531E">
        <w:rPr>
          <w:rFonts w:cs="FrankRuehl" w:hint="cs"/>
          <w:sz w:val="28"/>
          <w:szCs w:val="28"/>
          <w:rtl/>
        </w:rPr>
        <w:t xml:space="preserve"> 4563-08 </w:t>
      </w:r>
      <w:r w:rsidRPr="00B1531E">
        <w:rPr>
          <w:rFonts w:cs="Miriam" w:hint="cs"/>
          <w:rtl/>
        </w:rPr>
        <w:t>מדינת ישראל נ' עוקבי</w:t>
      </w:r>
      <w:r w:rsidRPr="00B1531E">
        <w:rPr>
          <w:rFonts w:cs="FrankRuehl" w:hint="cs"/>
          <w:sz w:val="28"/>
          <w:szCs w:val="28"/>
          <w:rtl/>
        </w:rPr>
        <w:t xml:space="preserve"> (18.4.2010)).</w:t>
      </w:r>
    </w:p>
    <w:p w14:paraId="48B590DB" w14:textId="77777777" w:rsidR="00891E10" w:rsidRPr="00B1531E" w:rsidRDefault="00891E10">
      <w:pPr>
        <w:spacing w:after="120" w:line="360" w:lineRule="auto"/>
        <w:ind w:firstLine="720"/>
        <w:jc w:val="both"/>
        <w:rPr>
          <w:rFonts w:cs="FrankRuehl"/>
          <w:sz w:val="28"/>
          <w:szCs w:val="28"/>
          <w:rtl/>
        </w:rPr>
      </w:pPr>
    </w:p>
    <w:p w14:paraId="7882ED62" w14:textId="77777777" w:rsidR="00891E10" w:rsidRPr="00B1531E" w:rsidRDefault="00B1531E">
      <w:pPr>
        <w:spacing w:after="120" w:line="360" w:lineRule="auto"/>
        <w:ind w:firstLine="720"/>
        <w:jc w:val="both"/>
        <w:rPr>
          <w:rFonts w:cs="FrankRuehl"/>
          <w:sz w:val="28"/>
          <w:szCs w:val="28"/>
          <w:rtl/>
        </w:rPr>
      </w:pPr>
      <w:r w:rsidRPr="00B1531E">
        <w:rPr>
          <w:rFonts w:cs="FrankRuehl" w:hint="cs"/>
          <w:sz w:val="28"/>
          <w:szCs w:val="28"/>
          <w:rtl/>
        </w:rPr>
        <w:t>בכל הנוגע לעבירה של החזקת סם מסוג חשיש לשימוש עצמי</w:t>
      </w:r>
      <w:r w:rsidRPr="00B1531E">
        <w:rPr>
          <w:rFonts w:ascii="Calibri" w:hAnsi="Calibri" w:cs="FrankRuehl" w:hint="cs"/>
          <w:sz w:val="28"/>
          <w:szCs w:val="28"/>
          <w:rtl/>
        </w:rPr>
        <w:t xml:space="preserve">, נוהגים בתי-המשפט להטיל עונשים הנעים ממאסר מותנה ועד מספר בודד של חודשי מאסר בפועל (ראו והשוו: </w:t>
      </w:r>
      <w:hyperlink r:id="rId36" w:history="1">
        <w:r w:rsidRPr="00B1531E">
          <w:rPr>
            <w:rFonts w:cs="FrankRuehl"/>
            <w:color w:val="0000FF"/>
            <w:sz w:val="28"/>
            <w:szCs w:val="28"/>
            <w:u w:val="single"/>
            <w:rtl/>
          </w:rPr>
          <w:t>רע"פ 6138/09</w:t>
        </w:r>
      </w:hyperlink>
      <w:r w:rsidRPr="00B1531E">
        <w:rPr>
          <w:rFonts w:ascii="Calibri" w:hAnsi="Calibri" w:cs="FrankRuehl" w:hint="cs"/>
          <w:sz w:val="28"/>
          <w:szCs w:val="28"/>
          <w:rtl/>
        </w:rPr>
        <w:t xml:space="preserve"> </w:t>
      </w:r>
      <w:r w:rsidRPr="00B1531E">
        <w:rPr>
          <w:rFonts w:ascii="Calibri" w:hAnsi="Calibri" w:cs="Miriam" w:hint="cs"/>
          <w:rtl/>
        </w:rPr>
        <w:t>פרדזב נ' מדינת ישראל</w:t>
      </w:r>
      <w:r w:rsidRPr="00B1531E">
        <w:rPr>
          <w:rFonts w:ascii="Calibri" w:hAnsi="Calibri" w:cs="FrankRuehl" w:hint="cs"/>
          <w:sz w:val="28"/>
          <w:szCs w:val="28"/>
          <w:rtl/>
        </w:rPr>
        <w:t xml:space="preserve"> (2.8.2009); </w:t>
      </w:r>
      <w:hyperlink r:id="rId37" w:history="1">
        <w:r w:rsidRPr="00B1531E">
          <w:rPr>
            <w:rFonts w:cs="FrankRuehl"/>
            <w:color w:val="0000FF"/>
            <w:sz w:val="28"/>
            <w:szCs w:val="28"/>
            <w:u w:val="single"/>
            <w:rtl/>
          </w:rPr>
          <w:t>ת"פ (שלום בית-שמש) 50810-12-10</w:t>
        </w:r>
      </w:hyperlink>
      <w:r w:rsidRPr="00B1531E">
        <w:rPr>
          <w:rFonts w:ascii="Calibri" w:hAnsi="Calibri" w:cs="FrankRuehl" w:hint="cs"/>
          <w:sz w:val="28"/>
          <w:szCs w:val="28"/>
          <w:rtl/>
        </w:rPr>
        <w:t xml:space="preserve"> </w:t>
      </w:r>
      <w:r w:rsidRPr="00B1531E">
        <w:rPr>
          <w:rFonts w:ascii="Calibri" w:hAnsi="Calibri" w:cs="Miriam" w:hint="cs"/>
          <w:rtl/>
        </w:rPr>
        <w:t>מדינת ישראל נ' בראונשטיין</w:t>
      </w:r>
      <w:r w:rsidRPr="00B1531E">
        <w:rPr>
          <w:rFonts w:ascii="Calibri" w:hAnsi="Calibri" w:cs="FrankRuehl" w:hint="cs"/>
          <w:sz w:val="28"/>
          <w:szCs w:val="28"/>
          <w:rtl/>
        </w:rPr>
        <w:t xml:space="preserve"> (5.3.2012); </w:t>
      </w:r>
      <w:hyperlink r:id="rId38" w:history="1">
        <w:r w:rsidRPr="00B1531E">
          <w:rPr>
            <w:rFonts w:cs="FrankRuehl"/>
            <w:color w:val="0000FF"/>
            <w:sz w:val="28"/>
            <w:szCs w:val="28"/>
            <w:u w:val="single"/>
            <w:rtl/>
          </w:rPr>
          <w:t>ת"פ (שלום עכו) 4864-05-11</w:t>
        </w:r>
      </w:hyperlink>
      <w:r w:rsidRPr="00B1531E">
        <w:rPr>
          <w:rFonts w:ascii="Calibri" w:hAnsi="Calibri" w:cs="FrankRuehl" w:hint="cs"/>
          <w:sz w:val="28"/>
          <w:szCs w:val="28"/>
          <w:rtl/>
        </w:rPr>
        <w:t xml:space="preserve"> </w:t>
      </w:r>
      <w:r w:rsidRPr="00B1531E">
        <w:rPr>
          <w:rFonts w:ascii="Calibri" w:hAnsi="Calibri" w:cs="Miriam" w:hint="cs"/>
          <w:rtl/>
        </w:rPr>
        <w:t>מדינת ישראל נ' גבריס</w:t>
      </w:r>
      <w:r w:rsidRPr="00B1531E">
        <w:rPr>
          <w:rFonts w:ascii="Calibri" w:hAnsi="Calibri" w:cs="FrankRuehl" w:hint="cs"/>
          <w:sz w:val="28"/>
          <w:szCs w:val="28"/>
          <w:rtl/>
        </w:rPr>
        <w:t xml:space="preserve"> (18.1.2012); </w:t>
      </w:r>
      <w:hyperlink r:id="rId39" w:history="1">
        <w:r w:rsidRPr="00B1531E">
          <w:rPr>
            <w:rFonts w:cs="FrankRuehl"/>
            <w:color w:val="0000FF"/>
            <w:sz w:val="28"/>
            <w:szCs w:val="28"/>
            <w:u w:val="single"/>
            <w:rtl/>
          </w:rPr>
          <w:t>ת"פ (שלום עכו) 53325-11-10</w:t>
        </w:r>
      </w:hyperlink>
      <w:r w:rsidRPr="00B1531E">
        <w:rPr>
          <w:rFonts w:ascii="Calibri" w:hAnsi="Calibri" w:cs="FrankRuehl" w:hint="cs"/>
          <w:sz w:val="28"/>
          <w:szCs w:val="28"/>
          <w:rtl/>
        </w:rPr>
        <w:t xml:space="preserve"> </w:t>
      </w:r>
      <w:r w:rsidRPr="00B1531E">
        <w:rPr>
          <w:rFonts w:ascii="Calibri" w:hAnsi="Calibri" w:cs="Miriam" w:hint="cs"/>
          <w:rtl/>
        </w:rPr>
        <w:t>מדינת ישראל נ' יאסין</w:t>
      </w:r>
      <w:r w:rsidRPr="00B1531E">
        <w:rPr>
          <w:rFonts w:ascii="Calibri" w:hAnsi="Calibri" w:cs="FrankRuehl" w:hint="cs"/>
          <w:sz w:val="28"/>
          <w:szCs w:val="28"/>
          <w:rtl/>
        </w:rPr>
        <w:t xml:space="preserve"> (6.12.2011)).</w:t>
      </w:r>
    </w:p>
    <w:p w14:paraId="51D9C1E9" w14:textId="77777777" w:rsidR="00891E10" w:rsidRPr="00B1531E" w:rsidRDefault="00891E10">
      <w:pPr>
        <w:spacing w:after="120" w:line="360" w:lineRule="auto"/>
        <w:jc w:val="both"/>
        <w:rPr>
          <w:rFonts w:cs="FrankRuehl"/>
          <w:sz w:val="28"/>
          <w:szCs w:val="28"/>
          <w:rtl/>
        </w:rPr>
      </w:pPr>
    </w:p>
    <w:p w14:paraId="29F0E47B" w14:textId="77777777" w:rsidR="00891E10" w:rsidRPr="00B1531E" w:rsidRDefault="00B1531E">
      <w:pPr>
        <w:spacing w:after="120" w:line="360" w:lineRule="auto"/>
        <w:jc w:val="both"/>
        <w:rPr>
          <w:rFonts w:cs="FrankRuehl"/>
          <w:b/>
          <w:bCs/>
          <w:sz w:val="28"/>
          <w:szCs w:val="28"/>
          <w:rtl/>
        </w:rPr>
      </w:pPr>
      <w:r w:rsidRPr="00B1531E">
        <w:rPr>
          <w:rFonts w:cs="FrankRuehl" w:hint="cs"/>
          <w:sz w:val="28"/>
          <w:szCs w:val="28"/>
          <w:rtl/>
        </w:rPr>
        <w:t>12.</w:t>
      </w:r>
      <w:r w:rsidRPr="00B1531E">
        <w:rPr>
          <w:rFonts w:cs="FrankRuehl" w:hint="cs"/>
          <w:sz w:val="28"/>
          <w:szCs w:val="28"/>
          <w:rtl/>
        </w:rPr>
        <w:tab/>
        <w:t xml:space="preserve">בהתחשב בעקרון המנחה של ההלימה; בשים לב לפגיעה בערכים המוגנים; בהתחשב בנסיבות ביצוע העבירות; ובהתחשב במדיניות הענישה הנוהגת; </w:t>
      </w:r>
      <w:r w:rsidRPr="00B1531E">
        <w:rPr>
          <w:rFonts w:cs="FrankRuehl" w:hint="cs"/>
          <w:b/>
          <w:bCs/>
          <w:sz w:val="28"/>
          <w:szCs w:val="28"/>
          <w:rtl/>
        </w:rPr>
        <w:t xml:space="preserve">אני סבורה כי מתחם הענישה ההולמת במקרה שלפניי (גידול 18 שתילי קנביס במשקל של כ- </w:t>
      </w:r>
      <w:smartTag w:uri="urn:schemas-microsoft-com:office:smarttags" w:element="metricconverter">
        <w:smartTagPr>
          <w:attr w:name="ProductID" w:val="245 גרם"/>
        </w:smartTagPr>
        <w:r w:rsidRPr="00B1531E">
          <w:rPr>
            <w:rFonts w:cs="FrankRuehl" w:hint="cs"/>
            <w:b/>
            <w:bCs/>
            <w:sz w:val="28"/>
            <w:szCs w:val="28"/>
            <w:rtl/>
          </w:rPr>
          <w:t>245 גרם</w:t>
        </w:r>
      </w:smartTag>
      <w:r w:rsidRPr="00B1531E">
        <w:rPr>
          <w:rFonts w:cs="FrankRuehl" w:hint="cs"/>
          <w:b/>
          <w:bCs/>
          <w:sz w:val="28"/>
          <w:szCs w:val="28"/>
          <w:rtl/>
        </w:rPr>
        <w:t xml:space="preserve"> נטו באוהל מאובזר בתוך דירת מגורים, וכן החזקת חשיש לשימוש עצמי במשקל </w:t>
      </w:r>
      <w:smartTag w:uri="urn:schemas-microsoft-com:office:smarttags" w:element="metricconverter">
        <w:smartTagPr>
          <w:attr w:name="ProductID" w:val="2.5 גרם"/>
        </w:smartTagPr>
        <w:r w:rsidRPr="00B1531E">
          <w:rPr>
            <w:rFonts w:cs="FrankRuehl" w:hint="cs"/>
            <w:b/>
            <w:bCs/>
            <w:sz w:val="28"/>
            <w:szCs w:val="28"/>
            <w:rtl/>
          </w:rPr>
          <w:t>2.5 גרם</w:t>
        </w:r>
      </w:smartTag>
      <w:r w:rsidRPr="00B1531E">
        <w:rPr>
          <w:rFonts w:cs="FrankRuehl" w:hint="cs"/>
          <w:b/>
          <w:bCs/>
          <w:sz w:val="28"/>
          <w:szCs w:val="28"/>
          <w:rtl/>
        </w:rPr>
        <w:t xml:space="preserve"> נטו) נע ממאסר קצר בפועל (אשר במקרים מתאימים יכול וירוצה בעבודות שירות) ועד 18 חודשי מאסר בפועל. </w:t>
      </w:r>
    </w:p>
    <w:p w14:paraId="197A1E8C" w14:textId="77777777" w:rsidR="00891E10" w:rsidRPr="00B1531E" w:rsidRDefault="00891E10">
      <w:pPr>
        <w:spacing w:after="120" w:line="360" w:lineRule="auto"/>
        <w:jc w:val="both"/>
        <w:rPr>
          <w:rFonts w:cs="FrankRuehl"/>
          <w:b/>
          <w:bCs/>
          <w:sz w:val="28"/>
          <w:szCs w:val="28"/>
          <w:rtl/>
        </w:rPr>
      </w:pPr>
    </w:p>
    <w:p w14:paraId="7CF2AEDB" w14:textId="77777777" w:rsidR="00891E10" w:rsidRPr="00B1531E" w:rsidRDefault="00B1531E">
      <w:pPr>
        <w:spacing w:after="120" w:line="360" w:lineRule="auto"/>
        <w:jc w:val="both"/>
        <w:rPr>
          <w:rFonts w:cs="FrankRuehl"/>
          <w:b/>
          <w:bCs/>
          <w:sz w:val="28"/>
          <w:szCs w:val="28"/>
          <w:rtl/>
        </w:rPr>
      </w:pPr>
      <w:r w:rsidRPr="00B1531E">
        <w:rPr>
          <w:rFonts w:ascii="Calibri" w:hAnsi="Calibri" w:cs="FrankRuehl" w:hint="cs"/>
          <w:sz w:val="28"/>
          <w:szCs w:val="28"/>
          <w:rtl/>
        </w:rPr>
        <w:t>חריגה לקולא ממתחם הענישה ההולמת וגזירת העונש המתאים</w:t>
      </w:r>
    </w:p>
    <w:p w14:paraId="052B0B23" w14:textId="77777777" w:rsidR="00891E10" w:rsidRPr="00B1531E" w:rsidRDefault="00B1531E">
      <w:pPr>
        <w:spacing w:after="120" w:line="360" w:lineRule="auto"/>
        <w:jc w:val="both"/>
        <w:rPr>
          <w:rFonts w:ascii="Calibri" w:hAnsi="Calibri" w:cs="FrankRuehl"/>
          <w:sz w:val="28"/>
          <w:szCs w:val="28"/>
          <w:rtl/>
        </w:rPr>
      </w:pPr>
      <w:r w:rsidRPr="00B1531E">
        <w:rPr>
          <w:rFonts w:ascii="Calibri" w:hAnsi="Calibri" w:cs="FrankRuehl" w:hint="cs"/>
          <w:sz w:val="28"/>
          <w:szCs w:val="28"/>
          <w:rtl/>
        </w:rPr>
        <w:t>13.</w:t>
      </w:r>
      <w:r w:rsidRPr="00B1531E">
        <w:rPr>
          <w:rFonts w:ascii="Calibri" w:hAnsi="Calibri" w:cs="FrankRuehl" w:hint="cs"/>
          <w:sz w:val="28"/>
          <w:szCs w:val="28"/>
          <w:rtl/>
        </w:rPr>
        <w:tab/>
        <w:t xml:space="preserve">הסנגור עתר להסתפק בהטלת צו של"צ וצו מבחן כפי שהמליץ שירות המבחן. בשים לב למתחם הענישה ההולמת כפי שנקבע בפסקה 12 לעיל, משמעות עתירתו של הסנגור היא חריגה לקולא ממתחם העונש ההולם. להלן אבחן את הנסיבות שאינן קשורות בביצוע העבירות כמפורט </w:t>
      </w:r>
      <w:hyperlink r:id="rId40" w:history="1">
        <w:r w:rsidR="00233884" w:rsidRPr="00233884">
          <w:rPr>
            <w:rFonts w:cs="FrankRuehl"/>
            <w:color w:val="0000FF"/>
            <w:sz w:val="28"/>
            <w:szCs w:val="28"/>
            <w:u w:val="single"/>
            <w:rtl/>
          </w:rPr>
          <w:t>בסעיף 40יא</w:t>
        </w:r>
      </w:hyperlink>
      <w:r w:rsidRPr="00B1531E">
        <w:rPr>
          <w:rFonts w:ascii="Calibri" w:hAnsi="Calibri" w:cs="FrankRuehl" w:hint="cs"/>
          <w:sz w:val="28"/>
          <w:szCs w:val="28"/>
          <w:rtl/>
        </w:rPr>
        <w:t xml:space="preserve"> ל</w:t>
      </w:r>
      <w:hyperlink r:id="rId41" w:history="1">
        <w:r w:rsidRPr="00B1531E">
          <w:rPr>
            <w:rFonts w:cs="FrankRuehl"/>
            <w:color w:val="0000FF"/>
            <w:sz w:val="28"/>
            <w:szCs w:val="28"/>
            <w:u w:val="single"/>
            <w:rtl/>
          </w:rPr>
          <w:t>חוק העונשין</w:t>
        </w:r>
      </w:hyperlink>
      <w:r w:rsidRPr="00B1531E">
        <w:rPr>
          <w:rFonts w:ascii="Calibri" w:hAnsi="Calibri" w:cs="FrankRuehl" w:hint="cs"/>
          <w:sz w:val="28"/>
          <w:szCs w:val="28"/>
          <w:rtl/>
        </w:rPr>
        <w:t>, ואנמק מדוע לפי תפיסתי ראוי לחרוג לקוּלא ממתחם הענישה ההולמת בעניינו של הנאשם, כמבוקש על-ידי ההגנה.</w:t>
      </w:r>
    </w:p>
    <w:p w14:paraId="5F56EFB1" w14:textId="77777777" w:rsidR="00891E10" w:rsidRPr="00B1531E" w:rsidRDefault="00891E10">
      <w:pPr>
        <w:spacing w:after="120" w:line="360" w:lineRule="auto"/>
        <w:jc w:val="both"/>
        <w:rPr>
          <w:rFonts w:ascii="Calibri" w:hAnsi="Calibri" w:cs="FrankRuehl"/>
          <w:sz w:val="28"/>
          <w:szCs w:val="28"/>
          <w:rtl/>
        </w:rPr>
      </w:pPr>
    </w:p>
    <w:p w14:paraId="25363910" w14:textId="77777777" w:rsidR="00891E10" w:rsidRPr="00B1531E" w:rsidRDefault="00B1531E">
      <w:pPr>
        <w:spacing w:after="120" w:line="360" w:lineRule="auto"/>
        <w:jc w:val="both"/>
        <w:rPr>
          <w:rFonts w:ascii="Calibri" w:hAnsi="Calibri" w:cs="FrankRuehl"/>
          <w:sz w:val="28"/>
          <w:szCs w:val="28"/>
          <w:rtl/>
        </w:rPr>
      </w:pPr>
      <w:r w:rsidRPr="00B1531E">
        <w:rPr>
          <w:rFonts w:ascii="Calibri" w:hAnsi="Calibri" w:cs="FrankRuehl" w:hint="cs"/>
          <w:sz w:val="28"/>
          <w:szCs w:val="28"/>
          <w:rtl/>
        </w:rPr>
        <w:t>14.</w:t>
      </w:r>
      <w:r w:rsidRPr="00B1531E">
        <w:rPr>
          <w:rFonts w:ascii="Calibri" w:hAnsi="Calibri" w:cs="FrankRuehl" w:hint="cs"/>
          <w:sz w:val="28"/>
          <w:szCs w:val="28"/>
          <w:rtl/>
        </w:rPr>
        <w:tab/>
        <w:t xml:space="preserve">כפי שעולה מתסקירי שירות המבחן (ראו: פסקה 3 לעיל), נסיבות חייו של הנאשם שלפניי אינן פשוטות. לאורך מרבית שנותיו, הנאשם היה חסר גורמי תמיכה משפחתיים וסביבתיים. הוא חווה טראומות שונות, מצא עצמו ללא מקום מגורים קבוע ולפרקים אף נאלץ לשהות ברחוב. כתוצאה מכל אלה התקשה הנאשם לשמור על יציבות תעסוקתית, התחבר לחברה שולית, החל לצרוך סמים אליהם התמכר באופן קבוע, ועל רקע זה ביצע את העבירות נשוא ההליך שבכותרת. רק היום, לאחר למעלה משנה וחצי של טיפול אינטנסיבי אליו התגייס הנאשם בכל מאודו במסגרת ההליך הפלילי, עומד הנאשם ברשות עצמו: הוא נקי מסמים, שוכר דירה, עובד לפרנסתו ובעל שאיפות לעתיד. שירות המבחן ציין כי הנאשם עבר תהליך חיובי וממושך, אשר כלל שינוי בדפוסי חשיבה והתנהלות, וכי הוא בעל מוטיבציה לניהול אורח חיים תקין. לכך יש להוסיף את יתר הנסיבות לקולא, ובהן: </w:t>
      </w:r>
      <w:r w:rsidRPr="00B1531E">
        <w:rPr>
          <w:rFonts w:cs="FrankRuehl" w:hint="cs"/>
          <w:sz w:val="28"/>
          <w:szCs w:val="28"/>
          <w:rtl/>
        </w:rPr>
        <w:t xml:space="preserve">הודאת הנאשם בכתב-האישום המתוקן, נטילת האחריות על-ידו, והעדר עבר פלילי. כל אלה במשקלם המצטבר מובילים למסקנה כי </w:t>
      </w:r>
      <w:r w:rsidRPr="00B1531E">
        <w:rPr>
          <w:rFonts w:ascii="Calibri" w:hAnsi="Calibri" w:cs="FrankRuehl" w:hint="cs"/>
          <w:sz w:val="28"/>
          <w:szCs w:val="28"/>
          <w:rtl/>
        </w:rPr>
        <w:t xml:space="preserve">קיים סיכוי ממשי לשיקום הנאשם כאמור </w:t>
      </w:r>
      <w:hyperlink r:id="rId42" w:history="1">
        <w:r w:rsidR="00233884" w:rsidRPr="00233884">
          <w:rPr>
            <w:rFonts w:ascii="Calibri" w:hAnsi="Calibri" w:cs="FrankRuehl" w:hint="eastAsia"/>
            <w:color w:val="0000FF"/>
            <w:sz w:val="28"/>
            <w:szCs w:val="28"/>
            <w:u w:val="single"/>
            <w:rtl/>
          </w:rPr>
          <w:t>בסעיף</w:t>
        </w:r>
        <w:r w:rsidR="00233884" w:rsidRPr="00233884">
          <w:rPr>
            <w:rFonts w:ascii="Calibri" w:hAnsi="Calibri" w:cs="FrankRuehl"/>
            <w:color w:val="0000FF"/>
            <w:sz w:val="28"/>
            <w:szCs w:val="28"/>
            <w:u w:val="single"/>
            <w:rtl/>
          </w:rPr>
          <w:t xml:space="preserve"> 40</w:t>
        </w:r>
        <w:r w:rsidR="00233884" w:rsidRPr="00233884">
          <w:rPr>
            <w:rFonts w:ascii="Calibri" w:hAnsi="Calibri" w:cs="FrankRuehl" w:hint="eastAsia"/>
            <w:color w:val="0000FF"/>
            <w:sz w:val="28"/>
            <w:szCs w:val="28"/>
            <w:u w:val="single"/>
            <w:rtl/>
          </w:rPr>
          <w:t>ד</w:t>
        </w:r>
        <w:r w:rsidR="00233884" w:rsidRPr="00233884">
          <w:rPr>
            <w:rFonts w:ascii="Calibri" w:hAnsi="Calibri" w:cs="FrankRuehl"/>
            <w:color w:val="0000FF"/>
            <w:sz w:val="28"/>
            <w:szCs w:val="28"/>
            <w:u w:val="single"/>
            <w:rtl/>
          </w:rPr>
          <w:t>(</w:t>
        </w:r>
        <w:r w:rsidR="00233884" w:rsidRPr="00233884">
          <w:rPr>
            <w:rFonts w:ascii="Calibri" w:hAnsi="Calibri" w:cs="FrankRuehl" w:hint="eastAsia"/>
            <w:color w:val="0000FF"/>
            <w:sz w:val="28"/>
            <w:szCs w:val="28"/>
            <w:u w:val="single"/>
            <w:rtl/>
          </w:rPr>
          <w:t>א</w:t>
        </w:r>
        <w:r w:rsidR="00233884" w:rsidRPr="00233884">
          <w:rPr>
            <w:rFonts w:ascii="Calibri" w:hAnsi="Calibri" w:cs="FrankRuehl"/>
            <w:color w:val="0000FF"/>
            <w:sz w:val="28"/>
            <w:szCs w:val="28"/>
            <w:u w:val="single"/>
            <w:rtl/>
          </w:rPr>
          <w:t>)</w:t>
        </w:r>
      </w:hyperlink>
      <w:r w:rsidRPr="00B1531E">
        <w:rPr>
          <w:rFonts w:ascii="Calibri" w:hAnsi="Calibri" w:cs="FrankRuehl" w:hint="cs"/>
          <w:sz w:val="28"/>
          <w:szCs w:val="28"/>
          <w:rtl/>
        </w:rPr>
        <w:t xml:space="preserve"> ל</w:t>
      </w:r>
      <w:hyperlink r:id="rId43" w:history="1">
        <w:r w:rsidRPr="00B1531E">
          <w:rPr>
            <w:rFonts w:ascii="Calibri" w:hAnsi="Calibri" w:cs="FrankRuehl" w:hint="eastAsia"/>
            <w:color w:val="0000FF"/>
            <w:sz w:val="28"/>
            <w:szCs w:val="28"/>
            <w:u w:val="single"/>
            <w:rtl/>
          </w:rPr>
          <w:t>חוק</w:t>
        </w:r>
        <w:r w:rsidRPr="00B1531E">
          <w:rPr>
            <w:rFonts w:ascii="Calibri" w:hAnsi="Calibri" w:cs="FrankRuehl"/>
            <w:color w:val="0000FF"/>
            <w:sz w:val="28"/>
            <w:szCs w:val="28"/>
            <w:u w:val="single"/>
            <w:rtl/>
          </w:rPr>
          <w:t xml:space="preserve"> </w:t>
        </w:r>
        <w:r w:rsidRPr="00B1531E">
          <w:rPr>
            <w:rFonts w:ascii="Calibri" w:hAnsi="Calibri" w:cs="FrankRuehl" w:hint="eastAsia"/>
            <w:color w:val="0000FF"/>
            <w:sz w:val="28"/>
            <w:szCs w:val="28"/>
            <w:u w:val="single"/>
            <w:rtl/>
          </w:rPr>
          <w:t>העונשין</w:t>
        </w:r>
      </w:hyperlink>
      <w:r w:rsidRPr="00B1531E">
        <w:rPr>
          <w:rFonts w:ascii="Calibri" w:hAnsi="Calibri" w:cs="FrankRuehl" w:hint="cs"/>
          <w:sz w:val="28"/>
          <w:szCs w:val="28"/>
          <w:rtl/>
        </w:rPr>
        <w:t xml:space="preserve">. </w:t>
      </w:r>
    </w:p>
    <w:p w14:paraId="2C37D389" w14:textId="77777777" w:rsidR="00891E10" w:rsidRPr="00B1531E" w:rsidRDefault="00891E10">
      <w:pPr>
        <w:spacing w:after="120" w:line="360" w:lineRule="auto"/>
        <w:jc w:val="both"/>
        <w:rPr>
          <w:rFonts w:cs="FrankRuehl"/>
          <w:sz w:val="28"/>
          <w:szCs w:val="28"/>
          <w:rtl/>
        </w:rPr>
      </w:pPr>
    </w:p>
    <w:p w14:paraId="74BAF580"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ab/>
        <w:t xml:space="preserve">שירות המבחן עמד בתסקיריו על החשש כי הטלת עונש מאסר בפועל, ולו לריצוי בדרך של עבודות שירות, עלולה לגדוע את המשך עבודתו של הנאשם, לאחר שלראשונה בחייו הוא הצליח לבנות לעצמו מסגרת תעסוקתית יציבה המהווה תנאי חשוב להמשך שיקומו. נראה, אפוא, כי הטלת עונש בתוך גדריו של מתחם העונש ההולם, ולוּ ברף התחתון שלו, עלולה להשיג לאחור את הצלחתו של הנאשם, ולסכן את הדרך השיקומית החיובית בה הוא מתמיד במשך למעלה משנה וחצי. ההפסד בתרחיש כזה יהיה בראש ובראשונה של הנאשם, אך גם של החברה בכללותה, שכן הנאשם הצליח באמצעות הגורמים הטיפוליים לפלס דרך לתרום ולהיתרם. </w:t>
      </w:r>
    </w:p>
    <w:p w14:paraId="43691B52" w14:textId="77777777" w:rsidR="00891E10" w:rsidRPr="00B1531E" w:rsidRDefault="00891E10">
      <w:pPr>
        <w:spacing w:after="120" w:line="360" w:lineRule="auto"/>
        <w:jc w:val="both"/>
        <w:rPr>
          <w:rFonts w:cs="FrankRuehl"/>
          <w:sz w:val="28"/>
          <w:szCs w:val="28"/>
          <w:rtl/>
        </w:rPr>
      </w:pPr>
    </w:p>
    <w:p w14:paraId="324A0151" w14:textId="77777777" w:rsidR="00891E10" w:rsidRPr="00B1531E" w:rsidRDefault="00B1531E">
      <w:pPr>
        <w:spacing w:after="120" w:line="360" w:lineRule="auto"/>
        <w:ind w:firstLine="720"/>
        <w:jc w:val="both"/>
        <w:rPr>
          <w:rFonts w:ascii="Calibri" w:hAnsi="Calibri" w:cs="FrankRuehl"/>
          <w:sz w:val="28"/>
          <w:szCs w:val="28"/>
          <w:rtl/>
        </w:rPr>
      </w:pPr>
      <w:r w:rsidRPr="00B1531E">
        <w:rPr>
          <w:rFonts w:cs="FrankRuehl" w:hint="cs"/>
          <w:sz w:val="28"/>
          <w:szCs w:val="28"/>
          <w:rtl/>
        </w:rPr>
        <w:t xml:space="preserve">בהתחשב בכל אלה, אני בדעה כי נסיבותיו האישיות של הנאשם וסיכויי שיקומו מצדיקים במקרה חריג זה לסטות ממתחם העונש ההולם לקולא, ולהסתפק בענישה מוחשית שתאפשר לנאשם להתמיד במסלול השיקומי בו הוא צועד. אני רואה, אפוא, </w:t>
      </w:r>
      <w:r w:rsidRPr="00B1531E">
        <w:rPr>
          <w:rFonts w:ascii="Calibri" w:hAnsi="Calibri" w:cs="FrankRuehl" w:hint="cs"/>
          <w:sz w:val="28"/>
          <w:szCs w:val="28"/>
          <w:rtl/>
        </w:rPr>
        <w:t xml:space="preserve">לאמץ את המלצת שירות המבחן לעניין עונשו של הנאשם, ולהטיל עליו צו מבחן וצו של"צ. בקביעת היקף השל"צ, ראיתי להגדיל את מספר השעות עליו המליץ שירות המבחן, בהתחשב בחומרתן של עבירות הסמים, ובכלל זה עבירת גידול הסם בה הורשע הנאשם. יחד עם זאת, נמנעתי מלהטיל של"צ בהיקף מקסימאלי, בשים לב לקשיים האישיים והכלכליים עִמם מתמודד הנאשם כמפורט בתסקירים. </w:t>
      </w:r>
    </w:p>
    <w:p w14:paraId="5C2142D0" w14:textId="77777777" w:rsidR="00891E10" w:rsidRPr="00B1531E" w:rsidRDefault="00891E10">
      <w:pPr>
        <w:spacing w:after="120" w:line="360" w:lineRule="auto"/>
        <w:ind w:firstLine="720"/>
        <w:jc w:val="both"/>
        <w:rPr>
          <w:rFonts w:ascii="Calibri" w:hAnsi="Calibri" w:cs="FrankRuehl"/>
          <w:sz w:val="28"/>
          <w:szCs w:val="28"/>
          <w:rtl/>
        </w:rPr>
      </w:pPr>
    </w:p>
    <w:p w14:paraId="030CFCDC" w14:textId="77777777" w:rsidR="00891E10" w:rsidRPr="00B1531E" w:rsidRDefault="00B1531E">
      <w:pPr>
        <w:spacing w:after="120" w:line="360" w:lineRule="auto"/>
        <w:ind w:firstLine="720"/>
        <w:jc w:val="both"/>
        <w:rPr>
          <w:rFonts w:ascii="Calibri" w:hAnsi="Calibri" w:cs="FrankRuehl"/>
          <w:sz w:val="28"/>
          <w:szCs w:val="28"/>
          <w:rtl/>
        </w:rPr>
      </w:pPr>
      <w:r w:rsidRPr="00B1531E">
        <w:rPr>
          <w:rFonts w:ascii="Calibri" w:hAnsi="Calibri" w:cs="FrankRuehl" w:hint="cs"/>
          <w:sz w:val="28"/>
          <w:szCs w:val="28"/>
          <w:rtl/>
        </w:rPr>
        <w:t xml:space="preserve">כולי תקווה כי הנאשם יפיק את המיטב מהיד המושטת לו, ויתמיד בדרך השיקומית. </w:t>
      </w:r>
    </w:p>
    <w:p w14:paraId="244D287D" w14:textId="77777777" w:rsidR="00891E10" w:rsidRPr="00B1531E" w:rsidRDefault="00891E10">
      <w:pPr>
        <w:spacing w:after="120" w:line="360" w:lineRule="auto"/>
        <w:jc w:val="both"/>
        <w:rPr>
          <w:rFonts w:cs="FrankRuehl"/>
          <w:b/>
          <w:bCs/>
          <w:sz w:val="28"/>
          <w:szCs w:val="28"/>
          <w:rtl/>
        </w:rPr>
      </w:pPr>
    </w:p>
    <w:p w14:paraId="3F170F77"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סוף דבר</w:t>
      </w:r>
    </w:p>
    <w:p w14:paraId="72B920B8" w14:textId="77777777" w:rsidR="00891E10" w:rsidRPr="00B1531E" w:rsidRDefault="00B1531E">
      <w:pPr>
        <w:spacing w:after="120" w:line="360" w:lineRule="auto"/>
        <w:jc w:val="both"/>
        <w:rPr>
          <w:rFonts w:cs="FrankRuehl"/>
          <w:sz w:val="28"/>
          <w:szCs w:val="28"/>
          <w:rtl/>
        </w:rPr>
      </w:pPr>
      <w:r w:rsidRPr="00B1531E">
        <w:rPr>
          <w:rFonts w:cs="FrankRuehl" w:hint="cs"/>
          <w:sz w:val="28"/>
          <w:szCs w:val="28"/>
          <w:rtl/>
        </w:rPr>
        <w:t>15.</w:t>
      </w:r>
      <w:r w:rsidRPr="00B1531E">
        <w:rPr>
          <w:rFonts w:cs="FrankRuehl" w:hint="cs"/>
          <w:sz w:val="28"/>
          <w:szCs w:val="28"/>
          <w:rtl/>
        </w:rPr>
        <w:tab/>
        <w:t>נוכח מכלול הטעמים האמורים, אני גוזרת על הנאשם כדלקמן:</w:t>
      </w:r>
    </w:p>
    <w:p w14:paraId="4329208A" w14:textId="77777777" w:rsidR="00891E10" w:rsidRPr="00B1531E" w:rsidRDefault="00B1531E">
      <w:pPr>
        <w:spacing w:after="120" w:line="360" w:lineRule="auto"/>
        <w:jc w:val="both"/>
        <w:rPr>
          <w:rtl/>
        </w:rPr>
      </w:pPr>
      <w:r w:rsidRPr="00B1531E">
        <w:rPr>
          <w:rFonts w:cs="FrankRuehl" w:hint="cs"/>
          <w:sz w:val="28"/>
          <w:szCs w:val="28"/>
          <w:rtl/>
        </w:rPr>
        <w:t>א.</w:t>
      </w:r>
      <w:r w:rsidRPr="00B1531E">
        <w:rPr>
          <w:rFonts w:cs="FrankRuehl" w:hint="cs"/>
          <w:sz w:val="28"/>
          <w:szCs w:val="28"/>
          <w:rtl/>
        </w:rPr>
        <w:tab/>
        <w:t>הנאשם יבצע שירות לתועלת הציבור בהיקף של 210 שעות על-פי התוכנית המוצעת בתסקיר שירות המבחן.</w:t>
      </w:r>
    </w:p>
    <w:p w14:paraId="1BD224FA" w14:textId="77777777" w:rsidR="0023395C" w:rsidRDefault="00B1531E" w:rsidP="0023395C">
      <w:pPr>
        <w:spacing w:after="120" w:line="360" w:lineRule="auto"/>
        <w:ind w:firstLine="720"/>
        <w:jc w:val="both"/>
        <w:rPr>
          <w:rFonts w:cs="FrankRuehl"/>
          <w:sz w:val="28"/>
          <w:szCs w:val="28"/>
          <w:rtl/>
        </w:rPr>
      </w:pPr>
      <w:r w:rsidRPr="00B1531E">
        <w:rPr>
          <w:rFonts w:cs="FrankRuehl" w:hint="cs"/>
          <w:sz w:val="28"/>
          <w:szCs w:val="28"/>
          <w:rtl/>
        </w:rPr>
        <w:t>שירות המבחן יפקח על עבודת הנאשם ויהיה רשאי לשנות את מקום ההשמה במיד</w:t>
      </w:r>
      <w:bookmarkStart w:id="6" w:name="LawTable"/>
      <w:bookmarkEnd w:id="6"/>
    </w:p>
    <w:p w14:paraId="67E1524D" w14:textId="77777777" w:rsidR="0023395C" w:rsidRPr="0023395C" w:rsidRDefault="0023395C" w:rsidP="0023395C">
      <w:pPr>
        <w:spacing w:after="120" w:line="240" w:lineRule="exact"/>
        <w:ind w:left="283" w:hanging="283"/>
        <w:jc w:val="both"/>
        <w:rPr>
          <w:rFonts w:ascii="FrankRuehl" w:hAnsi="FrankRuehl" w:cs="FrankRuehl"/>
          <w:rtl/>
        </w:rPr>
      </w:pPr>
    </w:p>
    <w:p w14:paraId="4A1F38C0" w14:textId="77777777" w:rsidR="0023395C" w:rsidRPr="0023395C" w:rsidRDefault="0023395C" w:rsidP="0023395C">
      <w:pPr>
        <w:spacing w:after="120" w:line="240" w:lineRule="exact"/>
        <w:ind w:left="283" w:hanging="283"/>
        <w:jc w:val="both"/>
        <w:rPr>
          <w:rFonts w:ascii="FrankRuehl" w:hAnsi="FrankRuehl" w:cs="FrankRuehl"/>
          <w:rtl/>
        </w:rPr>
      </w:pPr>
      <w:r w:rsidRPr="0023395C">
        <w:rPr>
          <w:rFonts w:ascii="FrankRuehl" w:hAnsi="FrankRuehl" w:cs="FrankRuehl"/>
          <w:rtl/>
        </w:rPr>
        <w:t xml:space="preserve">חקיקה שאוזכרה: </w:t>
      </w:r>
    </w:p>
    <w:p w14:paraId="2AD1035B" w14:textId="77777777" w:rsidR="0023395C" w:rsidRPr="0023395C" w:rsidRDefault="0023395C" w:rsidP="0023395C">
      <w:pPr>
        <w:spacing w:after="120" w:line="240" w:lineRule="exact"/>
        <w:ind w:left="283" w:hanging="283"/>
        <w:jc w:val="both"/>
        <w:rPr>
          <w:rFonts w:ascii="FrankRuehl" w:hAnsi="FrankRuehl" w:cs="FrankRuehl"/>
          <w:color w:val="0000FF"/>
          <w:u w:val="single"/>
          <w:rtl/>
        </w:rPr>
      </w:pPr>
      <w:hyperlink r:id="rId44" w:history="1">
        <w:r w:rsidRPr="0023395C">
          <w:rPr>
            <w:rStyle w:val="Hyperlink"/>
            <w:rFonts w:ascii="FrankRuehl" w:hAnsi="FrankRuehl" w:cs="FrankRuehl"/>
            <w:rtl/>
          </w:rPr>
          <w:t>פקודת הסמים המסוכנים [נוסח חדש], תשל"ג-1973</w:t>
        </w:r>
      </w:hyperlink>
      <w:r w:rsidRPr="0023395C">
        <w:rPr>
          <w:rFonts w:ascii="FrankRuehl" w:hAnsi="FrankRuehl" w:cs="FrankRuehl"/>
          <w:color w:val="0000FF"/>
          <w:u w:val="single"/>
          <w:rtl/>
        </w:rPr>
        <w:t xml:space="preserve">: סע'  </w:t>
      </w:r>
      <w:hyperlink r:id="rId45" w:history="1">
        <w:r w:rsidRPr="0023395C">
          <w:rPr>
            <w:rStyle w:val="Hyperlink"/>
            <w:rFonts w:ascii="FrankRuehl" w:hAnsi="FrankRuehl" w:cs="FrankRuehl"/>
          </w:rPr>
          <w:t>6</w:t>
        </w:r>
      </w:hyperlink>
      <w:r w:rsidRPr="0023395C">
        <w:rPr>
          <w:rFonts w:ascii="FrankRuehl" w:hAnsi="FrankRuehl" w:cs="FrankRuehl"/>
          <w:color w:val="0000FF"/>
          <w:u w:val="single"/>
          <w:rtl/>
        </w:rPr>
        <w:t xml:space="preserve">, </w:t>
      </w:r>
      <w:hyperlink r:id="rId46" w:history="1">
        <w:r w:rsidRPr="0023395C">
          <w:rPr>
            <w:rStyle w:val="Hyperlink"/>
            <w:rFonts w:ascii="FrankRuehl" w:hAnsi="FrankRuehl" w:cs="FrankRuehl"/>
          </w:rPr>
          <w:t>7.</w:t>
        </w:r>
        <w:r w:rsidRPr="0023395C">
          <w:rPr>
            <w:rStyle w:val="Hyperlink"/>
            <w:rFonts w:ascii="FrankRuehl" w:hAnsi="FrankRuehl" w:cs="FrankRuehl"/>
            <w:rtl/>
          </w:rPr>
          <w:t>א</w:t>
        </w:r>
        <w:r w:rsidRPr="0023395C">
          <w:rPr>
            <w:rStyle w:val="Hyperlink"/>
            <w:rFonts w:ascii="FrankRuehl" w:hAnsi="FrankRuehl" w:cs="FrankRuehl"/>
          </w:rPr>
          <w:t>.</w:t>
        </w:r>
      </w:hyperlink>
      <w:r w:rsidRPr="0023395C">
        <w:rPr>
          <w:rFonts w:ascii="FrankRuehl" w:hAnsi="FrankRuehl" w:cs="FrankRuehl"/>
          <w:color w:val="0000FF"/>
          <w:u w:val="single"/>
          <w:rtl/>
        </w:rPr>
        <w:t xml:space="preserve">, </w:t>
      </w:r>
      <w:hyperlink r:id="rId47" w:history="1">
        <w:r w:rsidRPr="0023395C">
          <w:rPr>
            <w:rStyle w:val="Hyperlink"/>
            <w:rFonts w:ascii="FrankRuehl" w:hAnsi="FrankRuehl" w:cs="FrankRuehl"/>
          </w:rPr>
          <w:t>7.</w:t>
        </w:r>
        <w:r w:rsidRPr="0023395C">
          <w:rPr>
            <w:rStyle w:val="Hyperlink"/>
            <w:rFonts w:ascii="FrankRuehl" w:hAnsi="FrankRuehl" w:cs="FrankRuehl"/>
            <w:rtl/>
          </w:rPr>
          <w:t>ג</w:t>
        </w:r>
      </w:hyperlink>
    </w:p>
    <w:p w14:paraId="2F7A7939" w14:textId="77777777" w:rsidR="0023395C" w:rsidRPr="0023395C" w:rsidRDefault="0023395C" w:rsidP="0023395C">
      <w:pPr>
        <w:spacing w:after="120" w:line="240" w:lineRule="exact"/>
        <w:ind w:left="283" w:hanging="283"/>
        <w:jc w:val="both"/>
        <w:rPr>
          <w:rFonts w:ascii="FrankRuehl" w:hAnsi="FrankRuehl" w:cs="FrankRuehl"/>
          <w:color w:val="0000FF"/>
          <w:u w:val="single"/>
          <w:rtl/>
        </w:rPr>
      </w:pPr>
      <w:hyperlink r:id="rId48" w:history="1">
        <w:r w:rsidRPr="0023395C">
          <w:rPr>
            <w:rStyle w:val="Hyperlink"/>
            <w:rFonts w:ascii="FrankRuehl" w:hAnsi="FrankRuehl" w:cs="FrankRuehl"/>
            <w:rtl/>
          </w:rPr>
          <w:t>חוק העונשין, תשל"ז-1977</w:t>
        </w:r>
      </w:hyperlink>
      <w:r w:rsidRPr="0023395C">
        <w:rPr>
          <w:rFonts w:ascii="FrankRuehl" w:hAnsi="FrankRuehl" w:cs="FrankRuehl"/>
          <w:color w:val="0000FF"/>
          <w:u w:val="single"/>
          <w:rtl/>
        </w:rPr>
        <w:t xml:space="preserve">: סע'  </w:t>
      </w:r>
      <w:hyperlink r:id="rId49" w:history="1">
        <w:r w:rsidRPr="0023395C">
          <w:rPr>
            <w:rStyle w:val="Hyperlink"/>
            <w:rFonts w:ascii="FrankRuehl" w:hAnsi="FrankRuehl" w:cs="FrankRuehl"/>
          </w:rPr>
          <w:t>40</w:t>
        </w:r>
        <w:r w:rsidRPr="0023395C">
          <w:rPr>
            <w:rStyle w:val="Hyperlink"/>
            <w:rFonts w:ascii="FrankRuehl" w:hAnsi="FrankRuehl" w:cs="FrankRuehl"/>
            <w:rtl/>
          </w:rPr>
          <w:t>ג(א</w:t>
        </w:r>
        <w:r w:rsidRPr="0023395C">
          <w:rPr>
            <w:rStyle w:val="Hyperlink"/>
            <w:rFonts w:ascii="FrankRuehl" w:hAnsi="FrankRuehl" w:cs="FrankRuehl"/>
          </w:rPr>
          <w:t>)</w:t>
        </w:r>
      </w:hyperlink>
      <w:r w:rsidRPr="0023395C">
        <w:rPr>
          <w:rFonts w:ascii="FrankRuehl" w:hAnsi="FrankRuehl" w:cs="FrankRuehl"/>
          <w:color w:val="0000FF"/>
          <w:u w:val="single"/>
          <w:rtl/>
        </w:rPr>
        <w:t xml:space="preserve">, </w:t>
      </w:r>
      <w:hyperlink r:id="rId50" w:history="1">
        <w:r w:rsidRPr="0023395C">
          <w:rPr>
            <w:rStyle w:val="Hyperlink"/>
            <w:rFonts w:ascii="FrankRuehl" w:hAnsi="FrankRuehl" w:cs="FrankRuehl"/>
          </w:rPr>
          <w:t>40</w:t>
        </w:r>
        <w:r w:rsidRPr="0023395C">
          <w:rPr>
            <w:rStyle w:val="Hyperlink"/>
            <w:rFonts w:ascii="FrankRuehl" w:hAnsi="FrankRuehl" w:cs="FrankRuehl"/>
            <w:rtl/>
          </w:rPr>
          <w:t>ד(א</w:t>
        </w:r>
        <w:r w:rsidRPr="0023395C">
          <w:rPr>
            <w:rStyle w:val="Hyperlink"/>
            <w:rFonts w:ascii="FrankRuehl" w:hAnsi="FrankRuehl" w:cs="FrankRuehl"/>
          </w:rPr>
          <w:t>)</w:t>
        </w:r>
      </w:hyperlink>
      <w:r w:rsidRPr="0023395C">
        <w:rPr>
          <w:rFonts w:ascii="FrankRuehl" w:hAnsi="FrankRuehl" w:cs="FrankRuehl"/>
          <w:color w:val="0000FF"/>
          <w:u w:val="single"/>
          <w:rtl/>
        </w:rPr>
        <w:t xml:space="preserve">, </w:t>
      </w:r>
      <w:hyperlink r:id="rId51" w:history="1">
        <w:r w:rsidRPr="0023395C">
          <w:rPr>
            <w:rStyle w:val="Hyperlink"/>
            <w:rFonts w:ascii="FrankRuehl" w:hAnsi="FrankRuehl" w:cs="FrankRuehl"/>
          </w:rPr>
          <w:t>40</w:t>
        </w:r>
        <w:r w:rsidRPr="0023395C">
          <w:rPr>
            <w:rStyle w:val="Hyperlink"/>
            <w:rFonts w:ascii="FrankRuehl" w:hAnsi="FrankRuehl" w:cs="FrankRuehl"/>
            <w:rtl/>
          </w:rPr>
          <w:t>יא</w:t>
        </w:r>
      </w:hyperlink>
      <w:r w:rsidRPr="0023395C">
        <w:rPr>
          <w:rFonts w:ascii="FrankRuehl" w:hAnsi="FrankRuehl" w:cs="FrankRuehl"/>
          <w:color w:val="0000FF"/>
          <w:u w:val="single"/>
          <w:rtl/>
        </w:rPr>
        <w:t xml:space="preserve">, </w:t>
      </w:r>
      <w:hyperlink r:id="rId52" w:history="1">
        <w:r w:rsidRPr="0023395C">
          <w:rPr>
            <w:rStyle w:val="Hyperlink"/>
            <w:rFonts w:ascii="FrankRuehl" w:hAnsi="FrankRuehl" w:cs="FrankRuehl"/>
          </w:rPr>
          <w:t>40</w:t>
        </w:r>
        <w:r w:rsidRPr="0023395C">
          <w:rPr>
            <w:rStyle w:val="Hyperlink"/>
            <w:rFonts w:ascii="FrankRuehl" w:hAnsi="FrankRuehl" w:cs="FrankRuehl"/>
            <w:rtl/>
          </w:rPr>
          <w:t>יג(א</w:t>
        </w:r>
        <w:r w:rsidRPr="0023395C">
          <w:rPr>
            <w:rStyle w:val="Hyperlink"/>
            <w:rFonts w:ascii="FrankRuehl" w:hAnsi="FrankRuehl" w:cs="FrankRuehl"/>
          </w:rPr>
          <w:t>)</w:t>
        </w:r>
      </w:hyperlink>
    </w:p>
    <w:p w14:paraId="08895E45" w14:textId="77777777" w:rsidR="0023395C" w:rsidRPr="0023395C" w:rsidRDefault="0023395C" w:rsidP="0023395C">
      <w:pPr>
        <w:spacing w:after="120" w:line="240" w:lineRule="exact"/>
        <w:ind w:left="283" w:hanging="283"/>
        <w:jc w:val="both"/>
        <w:rPr>
          <w:rFonts w:ascii="FrankRuehl" w:hAnsi="FrankRuehl" w:cs="FrankRuehl"/>
          <w:rtl/>
        </w:rPr>
      </w:pPr>
    </w:p>
    <w:p w14:paraId="18F23963" w14:textId="77777777" w:rsidR="0023395C" w:rsidRPr="0023395C" w:rsidRDefault="0023395C" w:rsidP="0023395C">
      <w:pPr>
        <w:spacing w:after="120" w:line="360" w:lineRule="auto"/>
        <w:ind w:firstLine="720"/>
        <w:jc w:val="both"/>
        <w:rPr>
          <w:rFonts w:cs="FrankRuehl"/>
          <w:sz w:val="28"/>
          <w:szCs w:val="28"/>
          <w:rtl/>
        </w:rPr>
      </w:pPr>
      <w:bookmarkStart w:id="7" w:name="LawTable_End"/>
      <w:bookmarkEnd w:id="7"/>
    </w:p>
    <w:p w14:paraId="1F9046E9" w14:textId="77777777" w:rsidR="0023395C" w:rsidRPr="0023395C" w:rsidRDefault="0023395C" w:rsidP="0023395C">
      <w:pPr>
        <w:spacing w:after="120" w:line="360" w:lineRule="auto"/>
        <w:ind w:firstLine="720"/>
        <w:jc w:val="both"/>
        <w:rPr>
          <w:rFonts w:cs="FrankRuehl"/>
          <w:sz w:val="28"/>
          <w:szCs w:val="28"/>
          <w:rtl/>
        </w:rPr>
      </w:pPr>
    </w:p>
    <w:p w14:paraId="7CFD181B" w14:textId="77777777" w:rsidR="00B1531E" w:rsidRPr="00B1531E" w:rsidRDefault="00B1531E" w:rsidP="0023395C">
      <w:pPr>
        <w:spacing w:after="120" w:line="360" w:lineRule="auto"/>
        <w:ind w:firstLine="720"/>
        <w:jc w:val="both"/>
        <w:rPr>
          <w:rFonts w:cs="FrankRuehl"/>
          <w:bCs/>
          <w:sz w:val="28"/>
          <w:szCs w:val="28"/>
          <w:rtl/>
        </w:rPr>
      </w:pPr>
      <w:r w:rsidRPr="0023395C">
        <w:rPr>
          <w:rFonts w:cs="FrankRuehl" w:hint="cs"/>
          <w:sz w:val="28"/>
          <w:szCs w:val="28"/>
          <w:rtl/>
        </w:rPr>
        <w:t>ת</w:t>
      </w:r>
      <w:bookmarkEnd w:id="0"/>
      <w:bookmarkEnd w:id="1"/>
      <w:r w:rsidRPr="00B1531E">
        <w:rPr>
          <w:rFonts w:cs="FrankRuehl"/>
          <w:bCs/>
          <w:sz w:val="28"/>
          <w:szCs w:val="28"/>
          <w:rtl/>
        </w:rPr>
        <w:t>צורך, ללא צו שיפוטי נוסף.</w:t>
      </w:r>
    </w:p>
    <w:p w14:paraId="1492BE3F" w14:textId="77777777" w:rsidR="00891E10" w:rsidRDefault="00891E10">
      <w:pPr>
        <w:spacing w:after="120" w:line="360" w:lineRule="auto"/>
        <w:jc w:val="both"/>
      </w:pPr>
    </w:p>
    <w:p w14:paraId="5C9922DE" w14:textId="77777777" w:rsidR="00891E10" w:rsidRDefault="00B1531E">
      <w:pPr>
        <w:spacing w:after="120" w:line="360" w:lineRule="auto"/>
        <w:jc w:val="both"/>
        <w:rPr>
          <w:rtl/>
        </w:rPr>
      </w:pPr>
      <w:r>
        <w:rPr>
          <w:rFonts w:cs="FrankRuehl" w:hint="cs"/>
          <w:sz w:val="28"/>
          <w:szCs w:val="28"/>
          <w:rtl/>
        </w:rPr>
        <w:t>ב.</w:t>
      </w:r>
      <w:r>
        <w:rPr>
          <w:rFonts w:cs="FrankRuehl" w:hint="cs"/>
          <w:sz w:val="28"/>
          <w:szCs w:val="28"/>
          <w:rtl/>
        </w:rPr>
        <w:tab/>
        <w:t>הנאשם יהיה נתון לפיקוח קצין מבחן למשך שנה מהיום, וישתתף בכל תכנית טיפולית שיציע שירות המבחן וזאת כחלק מתנאי המבחן.</w:t>
      </w:r>
    </w:p>
    <w:p w14:paraId="79DB9063" w14:textId="77777777" w:rsidR="00891E10" w:rsidRDefault="00891E10">
      <w:pPr>
        <w:spacing w:after="120" w:line="360" w:lineRule="auto"/>
        <w:jc w:val="both"/>
        <w:rPr>
          <w:rFonts w:cs="FrankRuehl"/>
          <w:b/>
          <w:bCs/>
          <w:sz w:val="28"/>
          <w:szCs w:val="28"/>
          <w:rtl/>
        </w:rPr>
      </w:pPr>
    </w:p>
    <w:p w14:paraId="773F1BD3" w14:textId="77777777" w:rsidR="00891E10" w:rsidRDefault="00B1531E">
      <w:pPr>
        <w:spacing w:after="120" w:line="360" w:lineRule="auto"/>
        <w:ind w:firstLine="720"/>
        <w:jc w:val="both"/>
        <w:rPr>
          <w:rFonts w:cs="FrankRuehl"/>
          <w:b/>
          <w:bCs/>
          <w:sz w:val="28"/>
          <w:szCs w:val="28"/>
          <w:rtl/>
        </w:rPr>
      </w:pPr>
      <w:r>
        <w:rPr>
          <w:rFonts w:cs="FrankRuehl" w:hint="cs"/>
          <w:b/>
          <w:bCs/>
          <w:sz w:val="28"/>
          <w:szCs w:val="28"/>
          <w:rtl/>
        </w:rPr>
        <w:t>הנאשם מוזהר כי אם יפר את תנאי המבחן או את צו השל"צ תימסר הודעה על כך לבית-המשפט, אשר יהיה מוסמך לקיים דיון מחודש בגזר-הדין.</w:t>
      </w:r>
    </w:p>
    <w:p w14:paraId="4B1B6337" w14:textId="77777777" w:rsidR="00891E10" w:rsidRDefault="00891E10">
      <w:pPr>
        <w:spacing w:after="120" w:line="360" w:lineRule="auto"/>
        <w:jc w:val="both"/>
        <w:rPr>
          <w:rtl/>
        </w:rPr>
      </w:pPr>
    </w:p>
    <w:p w14:paraId="74BA0EAB" w14:textId="77777777" w:rsidR="00891E10" w:rsidRDefault="00B1531E">
      <w:pPr>
        <w:spacing w:line="360" w:lineRule="auto"/>
        <w:jc w:val="both"/>
        <w:rPr>
          <w:rFonts w:cs="FrankRuehl"/>
          <w:sz w:val="28"/>
          <w:szCs w:val="28"/>
          <w:rtl/>
        </w:rPr>
      </w:pPr>
      <w:r>
        <w:rPr>
          <w:rFonts w:cs="FrankRuehl" w:hint="cs"/>
          <w:sz w:val="28"/>
          <w:szCs w:val="28"/>
          <w:rtl/>
        </w:rPr>
        <w:t>ג.</w:t>
      </w:r>
      <w:r>
        <w:rPr>
          <w:rFonts w:cs="FrankRuehl" w:hint="cs"/>
          <w:sz w:val="28"/>
          <w:szCs w:val="28"/>
          <w:rtl/>
        </w:rPr>
        <w:tab/>
        <w:t>מאסר על-תנאי לתקופה של 6 חודשים למשך שלוש שנים מהיום. התנאי הוא שהנאשם לא יעבור כל עבירת סמים מסוג פשע.</w:t>
      </w:r>
    </w:p>
    <w:p w14:paraId="20D1A039" w14:textId="77777777" w:rsidR="00891E10" w:rsidRDefault="00891E10">
      <w:pPr>
        <w:spacing w:after="120" w:line="360" w:lineRule="auto"/>
        <w:jc w:val="both"/>
        <w:rPr>
          <w:rFonts w:cs="FrankRuehl"/>
          <w:b/>
          <w:bCs/>
          <w:sz w:val="28"/>
          <w:szCs w:val="28"/>
          <w:rtl/>
        </w:rPr>
      </w:pPr>
    </w:p>
    <w:p w14:paraId="24FC65FA" w14:textId="77777777" w:rsidR="00891E10" w:rsidRDefault="00B1531E">
      <w:pPr>
        <w:spacing w:after="120" w:line="360" w:lineRule="auto"/>
        <w:jc w:val="both"/>
        <w:rPr>
          <w:rtl/>
        </w:rPr>
      </w:pPr>
      <w:r>
        <w:rPr>
          <w:rFonts w:cs="FrankRuehl" w:hint="cs"/>
          <w:sz w:val="28"/>
          <w:szCs w:val="28"/>
          <w:rtl/>
        </w:rPr>
        <w:t>ד.</w:t>
      </w:r>
      <w:r>
        <w:rPr>
          <w:rFonts w:cs="FrankRuehl" w:hint="cs"/>
          <w:sz w:val="28"/>
          <w:szCs w:val="28"/>
          <w:rtl/>
        </w:rPr>
        <w:tab/>
        <w:t xml:space="preserve">מאסר על תנאי לתקופה של 3 חודשים למשך שנתיים מהיום. התנאי הוא שהנאשם לא יעבור כל עבירת סמים מסוג עוון (לרבות החזקה לצריכה עצמית). </w:t>
      </w:r>
    </w:p>
    <w:p w14:paraId="01E0F54D" w14:textId="77777777" w:rsidR="00891E10" w:rsidRDefault="00891E10">
      <w:pPr>
        <w:spacing w:after="120" w:line="360" w:lineRule="auto"/>
        <w:jc w:val="both"/>
        <w:rPr>
          <w:rtl/>
        </w:rPr>
      </w:pPr>
    </w:p>
    <w:p w14:paraId="2E2F3768" w14:textId="77777777" w:rsidR="00891E10" w:rsidRDefault="00B1531E">
      <w:pPr>
        <w:spacing w:after="120" w:line="360" w:lineRule="auto"/>
        <w:jc w:val="both"/>
        <w:rPr>
          <w:rtl/>
        </w:rPr>
      </w:pPr>
      <w:r>
        <w:rPr>
          <w:rFonts w:cs="FrankRuehl" w:hint="cs"/>
          <w:sz w:val="28"/>
          <w:szCs w:val="28"/>
          <w:rtl/>
        </w:rPr>
        <w:t>ה.</w:t>
      </w:r>
      <w:r>
        <w:rPr>
          <w:rFonts w:cs="FrankRuehl" w:hint="cs"/>
          <w:sz w:val="28"/>
          <w:szCs w:val="28"/>
          <w:rtl/>
        </w:rPr>
        <w:tab/>
        <w:t>ככל שנתפסו סמים, יש להשמידם.</w:t>
      </w:r>
    </w:p>
    <w:p w14:paraId="646D5F9B" w14:textId="77777777" w:rsidR="00891E10" w:rsidRDefault="00891E10">
      <w:pPr>
        <w:spacing w:after="120" w:line="360" w:lineRule="auto"/>
        <w:jc w:val="both"/>
        <w:rPr>
          <w:rtl/>
        </w:rPr>
      </w:pPr>
    </w:p>
    <w:p w14:paraId="52F9B172" w14:textId="77777777" w:rsidR="00891E10" w:rsidRDefault="00B1531E">
      <w:pPr>
        <w:spacing w:after="120" w:line="360" w:lineRule="auto"/>
        <w:jc w:val="both"/>
        <w:rPr>
          <w:rFonts w:cs="FrankRuehl"/>
          <w:sz w:val="28"/>
          <w:szCs w:val="28"/>
          <w:rtl/>
        </w:rPr>
      </w:pPr>
      <w:r>
        <w:rPr>
          <w:rFonts w:cs="FrankRuehl" w:hint="cs"/>
          <w:sz w:val="28"/>
          <w:szCs w:val="28"/>
          <w:rtl/>
        </w:rPr>
        <w:t xml:space="preserve">ו. </w:t>
      </w:r>
      <w:r>
        <w:rPr>
          <w:rFonts w:cs="FrankRuehl" w:hint="cs"/>
          <w:sz w:val="28"/>
          <w:szCs w:val="28"/>
          <w:rtl/>
        </w:rPr>
        <w:tab/>
        <w:t>ככל שנתפסו כסף, מחשב נייד ומסמכים – יוחזרו לנאשם.</w:t>
      </w:r>
    </w:p>
    <w:p w14:paraId="50195115" w14:textId="77777777" w:rsidR="00891E10" w:rsidRDefault="00891E10">
      <w:pPr>
        <w:spacing w:after="120" w:line="360" w:lineRule="auto"/>
        <w:jc w:val="both"/>
        <w:rPr>
          <w:rFonts w:cs="FrankRuehl"/>
          <w:b/>
          <w:bCs/>
          <w:sz w:val="28"/>
          <w:szCs w:val="28"/>
          <w:rtl/>
        </w:rPr>
      </w:pPr>
    </w:p>
    <w:p w14:paraId="76487754" w14:textId="77777777" w:rsidR="00891E10" w:rsidRDefault="00B1531E">
      <w:pPr>
        <w:spacing w:after="200" w:line="360" w:lineRule="auto"/>
        <w:jc w:val="both"/>
        <w:rPr>
          <w:rFonts w:ascii="Calibri" w:hAnsi="Calibri" w:cs="FrankRuehl"/>
          <w:b/>
          <w:bCs/>
          <w:sz w:val="28"/>
          <w:szCs w:val="28"/>
          <w:rtl/>
        </w:rPr>
      </w:pPr>
      <w:r>
        <w:rPr>
          <w:rFonts w:hint="cs"/>
          <w:rtl/>
        </w:rPr>
        <w:tab/>
      </w:r>
      <w:r>
        <w:rPr>
          <w:rFonts w:ascii="Calibri" w:hAnsi="Calibri" w:cs="FrankRuehl" w:hint="cs"/>
          <w:b/>
          <w:bCs/>
          <w:sz w:val="28"/>
          <w:szCs w:val="28"/>
          <w:rtl/>
        </w:rPr>
        <w:t>המזכירות תמציא העתק גזר הדין לשירות המבחן למבוגרים.</w:t>
      </w:r>
    </w:p>
    <w:p w14:paraId="5516D683" w14:textId="77777777" w:rsidR="00891E10" w:rsidRDefault="00891E10">
      <w:pPr>
        <w:spacing w:after="200" w:line="360" w:lineRule="auto"/>
        <w:ind w:firstLine="720"/>
        <w:jc w:val="both"/>
        <w:rPr>
          <w:rFonts w:cs="FrankRuehl"/>
          <w:b/>
          <w:bCs/>
          <w:sz w:val="28"/>
          <w:szCs w:val="28"/>
          <w:rtl/>
        </w:rPr>
      </w:pPr>
    </w:p>
    <w:p w14:paraId="68304950" w14:textId="77777777" w:rsidR="00891E10" w:rsidRDefault="00B1531E">
      <w:pPr>
        <w:spacing w:after="200" w:line="360" w:lineRule="auto"/>
        <w:ind w:firstLine="720"/>
        <w:jc w:val="both"/>
        <w:rPr>
          <w:rFonts w:ascii="Calibri" w:hAnsi="Calibri" w:cs="FrankRuehl"/>
          <w:b/>
          <w:bCs/>
          <w:sz w:val="28"/>
          <w:szCs w:val="28"/>
          <w:rtl/>
        </w:rPr>
      </w:pPr>
      <w:r>
        <w:rPr>
          <w:rFonts w:cs="FrankRuehl" w:hint="cs"/>
          <w:b/>
          <w:bCs/>
          <w:sz w:val="28"/>
          <w:szCs w:val="28"/>
          <w:rtl/>
        </w:rPr>
        <w:t>זכות ערעור לבית המשפט המחוזי תוך 45 ימים מהיום.</w:t>
      </w:r>
    </w:p>
    <w:p w14:paraId="1F796738" w14:textId="77777777" w:rsidR="00891E10" w:rsidRPr="00B1531E" w:rsidRDefault="00B1531E">
      <w:pPr>
        <w:spacing w:line="360" w:lineRule="auto"/>
        <w:rPr>
          <w:rFonts w:cs="FrankRuehl"/>
          <w:color w:val="FFFFFF"/>
          <w:sz w:val="2"/>
          <w:szCs w:val="2"/>
          <w:rtl/>
        </w:rPr>
      </w:pPr>
      <w:r w:rsidRPr="00B1531E">
        <w:rPr>
          <w:rFonts w:cs="FrankRuehl"/>
          <w:color w:val="FFFFFF"/>
          <w:sz w:val="2"/>
          <w:szCs w:val="2"/>
          <w:rtl/>
        </w:rPr>
        <w:t>5129371</w:t>
      </w:r>
    </w:p>
    <w:p w14:paraId="0F798B11" w14:textId="77777777" w:rsidR="00891E10" w:rsidRDefault="00B1531E">
      <w:pPr>
        <w:rPr>
          <w:rFonts w:cs="FrankRuehl"/>
          <w:sz w:val="28"/>
          <w:szCs w:val="28"/>
          <w:rtl/>
        </w:rPr>
      </w:pPr>
      <w:r w:rsidRPr="00B1531E">
        <w:rPr>
          <w:rFonts w:ascii="Arial" w:hAnsi="Arial" w:cs="FrankRuehl"/>
          <w:color w:val="FFFFFF"/>
          <w:sz w:val="2"/>
          <w:szCs w:val="2"/>
          <w:rtl/>
        </w:rPr>
        <w:t>54678313</w:t>
      </w:r>
      <w:r>
        <w:rPr>
          <w:rFonts w:ascii="Arial" w:hAnsi="Arial" w:cs="FrankRuehl"/>
          <w:sz w:val="28"/>
          <w:szCs w:val="28"/>
          <w:rtl/>
        </w:rPr>
        <w:t xml:space="preserve">ניתן היום, י"ז אייר תשע"ה, 06 מאי 2015, במעמד הצדדים. </w:t>
      </w:r>
    </w:p>
    <w:p w14:paraId="44D8B5BC" w14:textId="77777777" w:rsidR="00891E10" w:rsidRDefault="00891E10">
      <w:pPr>
        <w:jc w:val="right"/>
      </w:pPr>
    </w:p>
    <w:p w14:paraId="48C0CDBB" w14:textId="77777777" w:rsidR="00891E10" w:rsidRDefault="00891E10">
      <w:pPr>
        <w:jc w:val="right"/>
        <w:rPr>
          <w:rFonts w:ascii="Arial" w:hAnsi="Arial" w:cs="FrankRuehl"/>
          <w:sz w:val="28"/>
          <w:szCs w:val="28"/>
          <w:rtl/>
        </w:rPr>
      </w:pPr>
    </w:p>
    <w:p w14:paraId="27A15002" w14:textId="77777777" w:rsidR="00891E10" w:rsidRDefault="00891E10">
      <w:pPr>
        <w:rPr>
          <w:rFonts w:cs="FrankRuehl"/>
          <w:sz w:val="28"/>
          <w:szCs w:val="28"/>
          <w:rtl/>
        </w:rPr>
      </w:pPr>
    </w:p>
    <w:p w14:paraId="728724BB" w14:textId="77777777" w:rsidR="00891E10" w:rsidRPr="00233884" w:rsidRDefault="00233884">
      <w:pPr>
        <w:pStyle w:val="a3"/>
        <w:jc w:val="center"/>
        <w:rPr>
          <w:color w:val="FFFFFF"/>
          <w:sz w:val="2"/>
          <w:szCs w:val="2"/>
          <w:rtl/>
        </w:rPr>
      </w:pPr>
      <w:r w:rsidRPr="00233884">
        <w:rPr>
          <w:color w:val="FFFFFF"/>
          <w:sz w:val="2"/>
          <w:szCs w:val="2"/>
          <w:rtl/>
        </w:rPr>
        <w:t>5129371</w:t>
      </w:r>
    </w:p>
    <w:p w14:paraId="45990921" w14:textId="77777777" w:rsidR="00B1531E" w:rsidRPr="00233884" w:rsidRDefault="00233884" w:rsidP="00B1531E">
      <w:pPr>
        <w:keepNext/>
        <w:rPr>
          <w:rFonts w:ascii="David" w:hAnsi="David"/>
          <w:color w:val="FFFFFF"/>
          <w:sz w:val="2"/>
          <w:szCs w:val="2"/>
          <w:rtl/>
        </w:rPr>
      </w:pPr>
      <w:r w:rsidRPr="00233884">
        <w:rPr>
          <w:rFonts w:ascii="David" w:hAnsi="David"/>
          <w:color w:val="FFFFFF"/>
          <w:sz w:val="2"/>
          <w:szCs w:val="2"/>
          <w:rtl/>
        </w:rPr>
        <w:t>54678313</w:t>
      </w:r>
    </w:p>
    <w:p w14:paraId="1AFFFFBF" w14:textId="77777777" w:rsidR="00B1531E" w:rsidRPr="00B1531E" w:rsidRDefault="00B1531E" w:rsidP="00B1531E">
      <w:pPr>
        <w:keepNext/>
        <w:rPr>
          <w:rFonts w:ascii="David" w:hAnsi="David"/>
          <w:color w:val="000000"/>
          <w:sz w:val="22"/>
          <w:szCs w:val="22"/>
          <w:rtl/>
        </w:rPr>
      </w:pPr>
      <w:r w:rsidRPr="00B1531E">
        <w:rPr>
          <w:rFonts w:ascii="David" w:hAnsi="David"/>
          <w:color w:val="000000"/>
          <w:sz w:val="22"/>
          <w:szCs w:val="22"/>
          <w:rtl/>
        </w:rPr>
        <w:t>דנה כהן לקח 54678313</w:t>
      </w:r>
    </w:p>
    <w:p w14:paraId="6A03042C" w14:textId="77777777" w:rsidR="00B1531E" w:rsidRDefault="00B1531E" w:rsidP="00B1531E">
      <w:r w:rsidRPr="00B1531E">
        <w:rPr>
          <w:color w:val="000000"/>
          <w:rtl/>
        </w:rPr>
        <w:t>נוסח מסמך זה כפוף לשינויי ניסוח ועריכה</w:t>
      </w:r>
    </w:p>
    <w:p w14:paraId="10C3F842" w14:textId="77777777" w:rsidR="00B1531E" w:rsidRDefault="00B1531E" w:rsidP="00B1531E">
      <w:pPr>
        <w:rPr>
          <w:rtl/>
        </w:rPr>
      </w:pPr>
    </w:p>
    <w:p w14:paraId="4917C183" w14:textId="77777777" w:rsidR="00B1531E" w:rsidRDefault="00B1531E" w:rsidP="00B1531E">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2F6787A5" w14:textId="77777777" w:rsidR="00891E10" w:rsidRDefault="00891E10" w:rsidP="00233884">
      <w:pPr>
        <w:rPr>
          <w:rFonts w:hint="cs"/>
          <w:color w:val="0000FF"/>
          <w:u w:val="single"/>
          <w:rtl/>
        </w:rPr>
      </w:pPr>
    </w:p>
    <w:p w14:paraId="31CBA29A" w14:textId="77777777" w:rsidR="00C257C5" w:rsidRDefault="00C257C5" w:rsidP="00233884">
      <w:pPr>
        <w:rPr>
          <w:rFonts w:hint="cs"/>
          <w:color w:val="0000FF"/>
          <w:u w:val="single"/>
          <w:rtl/>
        </w:rPr>
      </w:pPr>
    </w:p>
    <w:p w14:paraId="6C29C9BB" w14:textId="77777777" w:rsidR="00C257C5" w:rsidRPr="00B1531E" w:rsidRDefault="00C257C5" w:rsidP="00233884">
      <w:pPr>
        <w:rPr>
          <w:color w:val="0000FF"/>
          <w:u w:val="single"/>
        </w:rPr>
      </w:pPr>
    </w:p>
    <w:sectPr w:rsidR="00C257C5" w:rsidRPr="00B1531E" w:rsidSect="00233884">
      <w:headerReference w:type="even" r:id="rId54"/>
      <w:headerReference w:type="default" r:id="rId55"/>
      <w:footerReference w:type="even" r:id="rId56"/>
      <w:footerReference w:type="default" r:id="rId57"/>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35EE4" w14:textId="77777777" w:rsidR="00714AED" w:rsidRDefault="00714AED">
      <w:r>
        <w:separator/>
      </w:r>
    </w:p>
  </w:endnote>
  <w:endnote w:type="continuationSeparator" w:id="0">
    <w:p w14:paraId="7A335893" w14:textId="77777777" w:rsidR="00714AED" w:rsidRDefault="00714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67447" w14:textId="77777777" w:rsidR="00714AED" w:rsidRDefault="00714AED" w:rsidP="0023388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BC7AB72" w14:textId="77777777" w:rsidR="00714AED" w:rsidRPr="00233884" w:rsidRDefault="00714AED" w:rsidP="00233884">
    <w:pPr>
      <w:pStyle w:val="a4"/>
      <w:pBdr>
        <w:top w:val="single" w:sz="4" w:space="1" w:color="auto"/>
        <w:between w:val="single" w:sz="4" w:space="0" w:color="auto"/>
      </w:pBdr>
      <w:spacing w:after="60"/>
      <w:jc w:val="center"/>
      <w:rPr>
        <w:rFonts w:ascii="FrankRuehl" w:hAnsi="FrankRuehl" w:cs="FrankRuehl"/>
        <w:color w:val="000000"/>
      </w:rPr>
    </w:pPr>
    <w:r w:rsidRPr="002338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D3ED3" w14:textId="77777777" w:rsidR="00714AED" w:rsidRDefault="00714AED" w:rsidP="0023388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86152">
      <w:rPr>
        <w:rFonts w:ascii="FrankRuehl" w:hAnsi="FrankRuehl" w:cs="FrankRuehl"/>
        <w:noProof/>
        <w:rtl/>
      </w:rPr>
      <w:t>1</w:t>
    </w:r>
    <w:r>
      <w:rPr>
        <w:rFonts w:ascii="FrankRuehl" w:hAnsi="FrankRuehl" w:cs="FrankRuehl"/>
        <w:rtl/>
      </w:rPr>
      <w:fldChar w:fldCharType="end"/>
    </w:r>
  </w:p>
  <w:p w14:paraId="37EFDE33" w14:textId="77777777" w:rsidR="00714AED" w:rsidRPr="00233884" w:rsidRDefault="00714AED" w:rsidP="00233884">
    <w:pPr>
      <w:pStyle w:val="a4"/>
      <w:pBdr>
        <w:top w:val="single" w:sz="4" w:space="1" w:color="auto"/>
        <w:between w:val="single" w:sz="4" w:space="0" w:color="auto"/>
      </w:pBdr>
      <w:spacing w:after="60"/>
      <w:jc w:val="center"/>
      <w:rPr>
        <w:rFonts w:ascii="FrankRuehl" w:hAnsi="FrankRuehl" w:cs="FrankRuehl"/>
        <w:color w:val="000000"/>
      </w:rPr>
    </w:pPr>
    <w:r w:rsidRPr="00233884">
      <w:rPr>
        <w:rFonts w:ascii="FrankRuehl" w:hAnsi="FrankRuehl" w:cs="FrankRuehl"/>
        <w:color w:val="000000"/>
      </w:rPr>
      <w:pict w14:anchorId="090E9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F8FD9" w14:textId="77777777" w:rsidR="00714AED" w:rsidRDefault="00714AED">
      <w:r>
        <w:separator/>
      </w:r>
    </w:p>
  </w:footnote>
  <w:footnote w:type="continuationSeparator" w:id="0">
    <w:p w14:paraId="1FC82864" w14:textId="77777777" w:rsidR="00714AED" w:rsidRDefault="00714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91170" w14:textId="77777777" w:rsidR="00714AED" w:rsidRPr="00233884" w:rsidRDefault="00714AED" w:rsidP="002338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5119-09-13</w:t>
    </w:r>
    <w:r>
      <w:rPr>
        <w:rFonts w:ascii="David" w:hAnsi="David"/>
        <w:color w:val="000000"/>
        <w:sz w:val="22"/>
        <w:szCs w:val="22"/>
        <w:rtl/>
      </w:rPr>
      <w:tab/>
      <w:t xml:space="preserve"> מדינת ישראל נ' אברהם לישנר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75DC6" w14:textId="77777777" w:rsidR="00714AED" w:rsidRPr="00233884" w:rsidRDefault="00714AED" w:rsidP="002338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5119-09-13</w:t>
    </w:r>
    <w:r>
      <w:rPr>
        <w:rFonts w:ascii="David" w:hAnsi="David"/>
        <w:color w:val="000000"/>
        <w:sz w:val="22"/>
        <w:szCs w:val="22"/>
        <w:rtl/>
      </w:rPr>
      <w:tab/>
      <w:t xml:space="preserve"> מדינת ישראל נ' אברהם לישנר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1E10"/>
    <w:rsid w:val="00164648"/>
    <w:rsid w:val="00233884"/>
    <w:rsid w:val="0023395C"/>
    <w:rsid w:val="00286152"/>
    <w:rsid w:val="004B6AFC"/>
    <w:rsid w:val="00714AED"/>
    <w:rsid w:val="007E39CE"/>
    <w:rsid w:val="00800BFF"/>
    <w:rsid w:val="00891E10"/>
    <w:rsid w:val="0091210B"/>
    <w:rsid w:val="00A249FA"/>
    <w:rsid w:val="00B1531E"/>
    <w:rsid w:val="00C257C5"/>
    <w:rsid w:val="00CD68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8E872F9"/>
  <w15:chartTrackingRefBased/>
  <w15:docId w15:val="{FB54E093-4A9E-4F07-9590-3044F509A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1E1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91E10"/>
    <w:pPr>
      <w:tabs>
        <w:tab w:val="center" w:pos="4153"/>
        <w:tab w:val="right" w:pos="8306"/>
      </w:tabs>
    </w:pPr>
  </w:style>
  <w:style w:type="paragraph" w:styleId="a4">
    <w:name w:val="footer"/>
    <w:basedOn w:val="a"/>
    <w:rsid w:val="00891E10"/>
    <w:pPr>
      <w:tabs>
        <w:tab w:val="center" w:pos="4153"/>
        <w:tab w:val="right" w:pos="8306"/>
      </w:tabs>
    </w:pPr>
  </w:style>
  <w:style w:type="character" w:styleId="a5">
    <w:name w:val="page number"/>
    <w:basedOn w:val="a0"/>
    <w:rsid w:val="00891E10"/>
  </w:style>
  <w:style w:type="character" w:styleId="Hyperlink">
    <w:name w:val="Hyperlink"/>
    <w:rsid w:val="00B15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81078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4602687" TargetMode="External"/><Relationship Id="rId21" Type="http://schemas.openxmlformats.org/officeDocument/2006/relationships/hyperlink" Target="http://www.nevo.co.il/case/5611948" TargetMode="External"/><Relationship Id="rId34" Type="http://schemas.openxmlformats.org/officeDocument/2006/relationships/hyperlink" Target="http://www.nevo.co.il/case/7935026" TargetMode="External"/><Relationship Id="rId42" Type="http://schemas.openxmlformats.org/officeDocument/2006/relationships/hyperlink" Target="http://www.nevo.co.il/law/70301/40d.a" TargetMode="External"/><Relationship Id="rId47" Type="http://schemas.openxmlformats.org/officeDocument/2006/relationships/hyperlink" Target="http://www.nevo.co.il/law/4216/7.c" TargetMode="External"/><Relationship Id="rId50" Type="http://schemas.openxmlformats.org/officeDocument/2006/relationships/hyperlink" Target="http://www.nevo.co.il/law/70301/40d.a" TargetMode="External"/><Relationship Id="rId55" Type="http://schemas.openxmlformats.org/officeDocument/2006/relationships/header" Target="header2.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17096154"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18736271" TargetMode="External"/><Relationship Id="rId32" Type="http://schemas.openxmlformats.org/officeDocument/2006/relationships/hyperlink" Target="http://www.nevo.co.il/case/3888303" TargetMode="External"/><Relationship Id="rId37" Type="http://schemas.openxmlformats.org/officeDocument/2006/relationships/hyperlink" Target="http://www.nevo.co.il/case/5607304"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law/4216/6"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case/4213217"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40jc.a" TargetMode="External"/><Relationship Id="rId27" Type="http://schemas.openxmlformats.org/officeDocument/2006/relationships/hyperlink" Target="http://www.nevo.co.il/case/10459111" TargetMode="External"/><Relationship Id="rId30" Type="http://schemas.openxmlformats.org/officeDocument/2006/relationships/hyperlink" Target="http://www.nevo.co.il/case/4213217" TargetMode="External"/><Relationship Id="rId35" Type="http://schemas.openxmlformats.org/officeDocument/2006/relationships/hyperlink" Target="http://www.nevo.co.il/case/2373884"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footer" Target="footer1.xml"/><Relationship Id="rId8" Type="http://schemas.openxmlformats.org/officeDocument/2006/relationships/hyperlink" Target="http://www.nevo.co.il/law/4216/7.a." TargetMode="External"/><Relationship Id="rId51" Type="http://schemas.openxmlformats.org/officeDocument/2006/relationships/hyperlink" Target="http://www.nevo.co.il/law/70301/40ja" TargetMode="External"/><Relationship Id="rId3" Type="http://schemas.openxmlformats.org/officeDocument/2006/relationships/webSettings" Target="webSettings.xml"/><Relationship Id="rId12" Type="http://schemas.openxmlformats.org/officeDocument/2006/relationships/hyperlink" Target="http://www.nevo.co.il/law/70301/40d.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3834525" TargetMode="External"/><Relationship Id="rId38" Type="http://schemas.openxmlformats.org/officeDocument/2006/relationships/hyperlink" Target="http://www.nevo.co.il/case/2903544" TargetMode="External"/><Relationship Id="rId46" Type="http://schemas.openxmlformats.org/officeDocument/2006/relationships/hyperlink" Target="http://www.nevo.co.il/law/4216/7.a." TargetMode="External"/><Relationship Id="rId59" Type="http://schemas.openxmlformats.org/officeDocument/2006/relationships/theme" Target="theme/theme1.xml"/><Relationship Id="rId20" Type="http://schemas.openxmlformats.org/officeDocument/2006/relationships/hyperlink" Target="http://www.nevo.co.il/case/5314067" TargetMode="External"/><Relationship Id="rId41" Type="http://schemas.openxmlformats.org/officeDocument/2006/relationships/hyperlink" Target="http://www.nevo.co.il/law/70301"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8291661" TargetMode="External"/><Relationship Id="rId36" Type="http://schemas.openxmlformats.org/officeDocument/2006/relationships/hyperlink" Target="http://www.nevo.co.il/case/6051623" TargetMode="External"/><Relationship Id="rId49" Type="http://schemas.openxmlformats.org/officeDocument/2006/relationships/hyperlink" Target="http://www.nevo.co.il/law/70301/40c.a" TargetMode="External"/><Relationship Id="rId57" Type="http://schemas.openxmlformats.org/officeDocument/2006/relationships/footer" Target="footer2.xml"/><Relationship Id="rId10" Type="http://schemas.openxmlformats.org/officeDocument/2006/relationships/hyperlink" Target="http://www.nevo.co.il/law/70301" TargetMode="External"/><Relationship Id="rId31" Type="http://schemas.openxmlformats.org/officeDocument/2006/relationships/hyperlink" Target="http://www.nevo.co.il/case/5079155" TargetMode="External"/><Relationship Id="rId44" Type="http://schemas.openxmlformats.org/officeDocument/2006/relationships/hyperlink" Target="http://www.nevo.co.il/law/4216" TargetMode="External"/><Relationship Id="rId52" Type="http://schemas.openxmlformats.org/officeDocument/2006/relationships/hyperlink" Target="http://www.nevo.co.il/law/70301/40j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3368</Words>
  <Characters>16842</Characters>
  <Application>Microsoft Office Word</Application>
  <DocSecurity>0</DocSecurity>
  <Lines>140</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20170</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6750245</vt:i4>
      </vt:variant>
      <vt:variant>
        <vt:i4>138</vt:i4>
      </vt:variant>
      <vt:variant>
        <vt:i4>0</vt:i4>
      </vt:variant>
      <vt:variant>
        <vt:i4>5</vt:i4>
      </vt:variant>
      <vt:variant>
        <vt:lpwstr>http://www.nevo.co.il/law/70301/40jc.a</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4915205</vt:i4>
      </vt:variant>
      <vt:variant>
        <vt:i4>132</vt:i4>
      </vt:variant>
      <vt:variant>
        <vt:i4>0</vt:i4>
      </vt:variant>
      <vt:variant>
        <vt:i4>5</vt:i4>
      </vt:variant>
      <vt:variant>
        <vt:lpwstr>http://www.nevo.co.il/law/70301/40d.a</vt:lpwstr>
      </vt:variant>
      <vt:variant>
        <vt:lpwstr/>
      </vt:variant>
      <vt:variant>
        <vt:i4>4915202</vt:i4>
      </vt:variant>
      <vt:variant>
        <vt:i4>129</vt:i4>
      </vt:variant>
      <vt:variant>
        <vt:i4>0</vt:i4>
      </vt:variant>
      <vt:variant>
        <vt:i4>5</vt:i4>
      </vt:variant>
      <vt:variant>
        <vt:lpwstr>http://www.nevo.co.il/law/70301/40c.a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2752612</vt:i4>
      </vt:variant>
      <vt:variant>
        <vt:i4>123</vt:i4>
      </vt:variant>
      <vt:variant>
        <vt:i4>0</vt:i4>
      </vt:variant>
      <vt:variant>
        <vt:i4>5</vt:i4>
      </vt:variant>
      <vt:variant>
        <vt:lpwstr>http://www.nevo.co.il/law/4216/7.c</vt:lpwstr>
      </vt:variant>
      <vt:variant>
        <vt:lpwstr/>
      </vt:variant>
      <vt:variant>
        <vt:i4>2621540</vt:i4>
      </vt:variant>
      <vt:variant>
        <vt:i4>120</vt:i4>
      </vt:variant>
      <vt:variant>
        <vt:i4>0</vt:i4>
      </vt:variant>
      <vt:variant>
        <vt:i4>5</vt:i4>
      </vt:variant>
      <vt:variant>
        <vt:lpwstr>http://www.nevo.co.il/law/4216/7.a.</vt:lpwstr>
      </vt:variant>
      <vt:variant>
        <vt:lpwstr/>
      </vt:variant>
      <vt:variant>
        <vt:i4>4718666</vt:i4>
      </vt:variant>
      <vt:variant>
        <vt:i4>117</vt:i4>
      </vt:variant>
      <vt:variant>
        <vt:i4>0</vt:i4>
      </vt:variant>
      <vt:variant>
        <vt:i4>5</vt:i4>
      </vt:variant>
      <vt:variant>
        <vt:lpwstr>http://www.nevo.co.il/law/4216/6</vt:lpwstr>
      </vt:variant>
      <vt:variant>
        <vt:lpwstr/>
      </vt:variant>
      <vt:variant>
        <vt:i4>8257637</vt:i4>
      </vt:variant>
      <vt:variant>
        <vt:i4>114</vt:i4>
      </vt:variant>
      <vt:variant>
        <vt:i4>0</vt:i4>
      </vt:variant>
      <vt:variant>
        <vt:i4>5</vt:i4>
      </vt:variant>
      <vt:variant>
        <vt:lpwstr>http://www.nevo.co.il/law/4216</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4915205</vt:i4>
      </vt:variant>
      <vt:variant>
        <vt:i4>108</vt:i4>
      </vt:variant>
      <vt:variant>
        <vt:i4>0</vt:i4>
      </vt:variant>
      <vt:variant>
        <vt:i4>5</vt:i4>
      </vt:variant>
      <vt:variant>
        <vt:lpwstr>http://www.nevo.co.il/law/70301/40d.a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3473528</vt:i4>
      </vt:variant>
      <vt:variant>
        <vt:i4>99</vt:i4>
      </vt:variant>
      <vt:variant>
        <vt:i4>0</vt:i4>
      </vt:variant>
      <vt:variant>
        <vt:i4>5</vt:i4>
      </vt:variant>
      <vt:variant>
        <vt:lpwstr>http://www.nevo.co.il/case/4602687</vt:lpwstr>
      </vt:variant>
      <vt:variant>
        <vt:lpwstr/>
      </vt:variant>
      <vt:variant>
        <vt:i4>3342458</vt:i4>
      </vt:variant>
      <vt:variant>
        <vt:i4>96</vt:i4>
      </vt:variant>
      <vt:variant>
        <vt:i4>0</vt:i4>
      </vt:variant>
      <vt:variant>
        <vt:i4>5</vt:i4>
      </vt:variant>
      <vt:variant>
        <vt:lpwstr>http://www.nevo.co.il/case/2903544</vt:lpwstr>
      </vt:variant>
      <vt:variant>
        <vt:lpwstr/>
      </vt:variant>
      <vt:variant>
        <vt:i4>3276917</vt:i4>
      </vt:variant>
      <vt:variant>
        <vt:i4>93</vt:i4>
      </vt:variant>
      <vt:variant>
        <vt:i4>0</vt:i4>
      </vt:variant>
      <vt:variant>
        <vt:i4>5</vt:i4>
      </vt:variant>
      <vt:variant>
        <vt:lpwstr>http://www.nevo.co.il/case/5607304</vt:lpwstr>
      </vt:variant>
      <vt:variant>
        <vt:lpwstr/>
      </vt:variant>
      <vt:variant>
        <vt:i4>3539063</vt:i4>
      </vt:variant>
      <vt:variant>
        <vt:i4>90</vt:i4>
      </vt:variant>
      <vt:variant>
        <vt:i4>0</vt:i4>
      </vt:variant>
      <vt:variant>
        <vt:i4>5</vt:i4>
      </vt:variant>
      <vt:variant>
        <vt:lpwstr>http://www.nevo.co.il/case/6051623</vt:lpwstr>
      </vt:variant>
      <vt:variant>
        <vt:lpwstr/>
      </vt:variant>
      <vt:variant>
        <vt:i4>3735676</vt:i4>
      </vt:variant>
      <vt:variant>
        <vt:i4>87</vt:i4>
      </vt:variant>
      <vt:variant>
        <vt:i4>0</vt:i4>
      </vt:variant>
      <vt:variant>
        <vt:i4>5</vt:i4>
      </vt:variant>
      <vt:variant>
        <vt:lpwstr>http://www.nevo.co.il/case/2373884</vt:lpwstr>
      </vt:variant>
      <vt:variant>
        <vt:lpwstr/>
      </vt:variant>
      <vt:variant>
        <vt:i4>3276922</vt:i4>
      </vt:variant>
      <vt:variant>
        <vt:i4>84</vt:i4>
      </vt:variant>
      <vt:variant>
        <vt:i4>0</vt:i4>
      </vt:variant>
      <vt:variant>
        <vt:i4>5</vt:i4>
      </vt:variant>
      <vt:variant>
        <vt:lpwstr>http://www.nevo.co.il/case/7935026</vt:lpwstr>
      </vt:variant>
      <vt:variant>
        <vt:lpwstr/>
      </vt:variant>
      <vt:variant>
        <vt:i4>3145850</vt:i4>
      </vt:variant>
      <vt:variant>
        <vt:i4>81</vt:i4>
      </vt:variant>
      <vt:variant>
        <vt:i4>0</vt:i4>
      </vt:variant>
      <vt:variant>
        <vt:i4>5</vt:i4>
      </vt:variant>
      <vt:variant>
        <vt:lpwstr>http://www.nevo.co.il/case/3834525</vt:lpwstr>
      </vt:variant>
      <vt:variant>
        <vt:lpwstr/>
      </vt:variant>
      <vt:variant>
        <vt:i4>3866740</vt:i4>
      </vt:variant>
      <vt:variant>
        <vt:i4>78</vt:i4>
      </vt:variant>
      <vt:variant>
        <vt:i4>0</vt:i4>
      </vt:variant>
      <vt:variant>
        <vt:i4>5</vt:i4>
      </vt:variant>
      <vt:variant>
        <vt:lpwstr>http://www.nevo.co.il/case/3888303</vt:lpwstr>
      </vt:variant>
      <vt:variant>
        <vt:lpwstr/>
      </vt:variant>
      <vt:variant>
        <vt:i4>3539064</vt:i4>
      </vt:variant>
      <vt:variant>
        <vt:i4>75</vt:i4>
      </vt:variant>
      <vt:variant>
        <vt:i4>0</vt:i4>
      </vt:variant>
      <vt:variant>
        <vt:i4>5</vt:i4>
      </vt:variant>
      <vt:variant>
        <vt:lpwstr>http://www.nevo.co.il/case/5079155</vt:lpwstr>
      </vt:variant>
      <vt:variant>
        <vt:lpwstr/>
      </vt:variant>
      <vt:variant>
        <vt:i4>3145844</vt:i4>
      </vt:variant>
      <vt:variant>
        <vt:i4>72</vt:i4>
      </vt:variant>
      <vt:variant>
        <vt:i4>0</vt:i4>
      </vt:variant>
      <vt:variant>
        <vt:i4>5</vt:i4>
      </vt:variant>
      <vt:variant>
        <vt:lpwstr>http://www.nevo.co.il/case/4213217</vt:lpwstr>
      </vt:variant>
      <vt:variant>
        <vt:lpwstr/>
      </vt:variant>
      <vt:variant>
        <vt:i4>3276923</vt:i4>
      </vt:variant>
      <vt:variant>
        <vt:i4>69</vt:i4>
      </vt:variant>
      <vt:variant>
        <vt:i4>0</vt:i4>
      </vt:variant>
      <vt:variant>
        <vt:i4>5</vt:i4>
      </vt:variant>
      <vt:variant>
        <vt:lpwstr>http://www.nevo.co.il/case/17096154</vt:lpwstr>
      </vt:variant>
      <vt:variant>
        <vt:lpwstr/>
      </vt:variant>
      <vt:variant>
        <vt:i4>3539057</vt:i4>
      </vt:variant>
      <vt:variant>
        <vt:i4>66</vt:i4>
      </vt:variant>
      <vt:variant>
        <vt:i4>0</vt:i4>
      </vt:variant>
      <vt:variant>
        <vt:i4>5</vt:i4>
      </vt:variant>
      <vt:variant>
        <vt:lpwstr>http://www.nevo.co.il/case/8291661</vt:lpwstr>
      </vt:variant>
      <vt:variant>
        <vt:lpwstr/>
      </vt:variant>
      <vt:variant>
        <vt:i4>3997808</vt:i4>
      </vt:variant>
      <vt:variant>
        <vt:i4>63</vt:i4>
      </vt:variant>
      <vt:variant>
        <vt:i4>0</vt:i4>
      </vt:variant>
      <vt:variant>
        <vt:i4>5</vt:i4>
      </vt:variant>
      <vt:variant>
        <vt:lpwstr>http://www.nevo.co.il/case/10459111</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3604605</vt:i4>
      </vt:variant>
      <vt:variant>
        <vt:i4>54</vt:i4>
      </vt:variant>
      <vt:variant>
        <vt:i4>0</vt:i4>
      </vt:variant>
      <vt:variant>
        <vt:i4>5</vt:i4>
      </vt:variant>
      <vt:variant>
        <vt:lpwstr>http://www.nevo.co.il/case/18736271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6750245</vt:i4>
      </vt:variant>
      <vt:variant>
        <vt:i4>48</vt:i4>
      </vt:variant>
      <vt:variant>
        <vt:i4>0</vt:i4>
      </vt:variant>
      <vt:variant>
        <vt:i4>5</vt:i4>
      </vt:variant>
      <vt:variant>
        <vt:lpwstr>http://www.nevo.co.il/law/70301/40jc.a</vt:lpwstr>
      </vt:variant>
      <vt:variant>
        <vt:lpwstr/>
      </vt:variant>
      <vt:variant>
        <vt:i4>3473527</vt:i4>
      </vt:variant>
      <vt:variant>
        <vt:i4>45</vt:i4>
      </vt:variant>
      <vt:variant>
        <vt:i4>0</vt:i4>
      </vt:variant>
      <vt:variant>
        <vt:i4>5</vt:i4>
      </vt:variant>
      <vt:variant>
        <vt:lpwstr>http://www.nevo.co.il/case/5611948</vt:lpwstr>
      </vt:variant>
      <vt:variant>
        <vt:lpwstr/>
      </vt:variant>
      <vt:variant>
        <vt:i4>3342453</vt:i4>
      </vt:variant>
      <vt:variant>
        <vt:i4>42</vt:i4>
      </vt:variant>
      <vt:variant>
        <vt:i4>0</vt:i4>
      </vt:variant>
      <vt:variant>
        <vt:i4>5</vt:i4>
      </vt:variant>
      <vt:variant>
        <vt:lpwstr>http://www.nevo.co.il/case/5314067</vt:lpwstr>
      </vt:variant>
      <vt:variant>
        <vt:lpwstr/>
      </vt:variant>
      <vt:variant>
        <vt:i4>3145844</vt:i4>
      </vt:variant>
      <vt:variant>
        <vt:i4>39</vt:i4>
      </vt:variant>
      <vt:variant>
        <vt:i4>0</vt:i4>
      </vt:variant>
      <vt:variant>
        <vt:i4>5</vt:i4>
      </vt:variant>
      <vt:variant>
        <vt:lpwstr>http://www.nevo.co.il/case/4213217</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2025-04-22T22:08:00Z</dcterms:created>
  <dcterms:modified xsi:type="dcterms:W3CDTF">2025-04-22T22:08:00Z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5119</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אברהם לישנר</vt:lpwstr>
  </property>
  <property fmtid="{D5CDD505-2E9C-101B-9397-08002B2CF9AE}" pid="10" name="LAWYER">
    <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20150506</vt:lpwstr>
  </property>
  <property fmtid="{D5CDD505-2E9C-101B-9397-08002B2CF9AE}" pid="14" name="TYPE_N_DATE">
    <vt:lpwstr>38020150506</vt:lpwstr>
  </property>
  <property fmtid="{D5CDD505-2E9C-101B-9397-08002B2CF9AE}" pid="15" name="WORDNUMPAGES">
    <vt:lpwstr>11</vt:lpwstr>
  </property>
  <property fmtid="{D5CDD505-2E9C-101B-9397-08002B2CF9AE}" pid="16" name="TYPE_ABS_DATE">
    <vt:lpwstr>380020150506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5810781;4213217:2;5314067;5611948;18736271;10459111;8291661;17096154;5079155;3888303;3834525;7935026;2373884;6051623;5607304;2903544;4602687</vt:lpwstr>
  </property>
  <property fmtid="{D5CDD505-2E9C-101B-9397-08002B2CF9AE}" pid="36" name="LAWLISTTMP1">
    <vt:lpwstr>4216/006:2;007.a:2;007.c:2</vt:lpwstr>
  </property>
  <property fmtid="{D5CDD505-2E9C-101B-9397-08002B2CF9AE}" pid="37" name="LAWLISTTMP2">
    <vt:lpwstr>70301/040c.a:2;040d.a:2;40ja:2;40jc.a:2</vt:lpwstr>
  </property>
</Properties>
</file>