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188"/>
        <w:gridCol w:w="4424"/>
        <w:gridCol w:w="108"/>
      </w:tblGrid>
      <w:tr w:rsidR="004708A2" w:rsidRPr="008D1FCD" w14:paraId="37FCA36A" w14:textId="77777777">
        <w:trPr>
          <w:trHeight w:hRule="exact" w:val="418"/>
          <w:jc w:val="center"/>
        </w:trPr>
        <w:tc>
          <w:tcPr>
            <w:tcW w:w="8720" w:type="dxa"/>
            <w:gridSpan w:val="3"/>
          </w:tcPr>
          <w:p w14:paraId="5E492AD2" w14:textId="77777777" w:rsidR="004708A2" w:rsidRPr="008D1FCD" w:rsidRDefault="008D1FCD">
            <w:pPr>
              <w:pStyle w:val="a3"/>
              <w:tabs>
                <w:tab w:val="clear" w:pos="8306"/>
              </w:tabs>
              <w:jc w:val="center"/>
              <w:rPr>
                <w:rFonts w:ascii="Tahoma" w:hAnsi="Tahoma" w:cs="Tahoma"/>
                <w:b/>
                <w:bCs/>
                <w:color w:val="000080"/>
                <w:sz w:val="20"/>
                <w:szCs w:val="20"/>
                <w:rtl/>
              </w:rPr>
            </w:pPr>
            <w:r w:rsidRPr="008D1FCD">
              <w:rPr>
                <w:rFonts w:ascii="Tahoma" w:hAnsi="Tahoma" w:cs="Tahoma"/>
                <w:b/>
                <w:bCs/>
                <w:color w:val="000080"/>
                <w:sz w:val="20"/>
                <w:szCs w:val="20"/>
                <w:rtl/>
              </w:rPr>
              <w:t>בית משפט השלום בטבריה</w:t>
            </w:r>
            <w:r w:rsidRPr="008D1FCD">
              <w:rPr>
                <w:rFonts w:ascii="Tahoma" w:hAnsi="Tahoma" w:cs="Tahoma" w:hint="cs"/>
                <w:b/>
                <w:bCs/>
                <w:color w:val="000080"/>
                <w:sz w:val="20"/>
                <w:szCs w:val="20"/>
                <w:rtl/>
              </w:rPr>
              <w:t xml:space="preserve"> </w:t>
            </w:r>
          </w:p>
        </w:tc>
      </w:tr>
      <w:tr w:rsidR="004708A2" w:rsidRPr="008D1FCD" w14:paraId="05D8D1B0" w14:textId="77777777">
        <w:trPr>
          <w:gridAfter w:val="1"/>
          <w:wAfter w:w="108" w:type="dxa"/>
          <w:trHeight w:val="360"/>
          <w:jc w:val="center"/>
        </w:trPr>
        <w:tc>
          <w:tcPr>
            <w:tcW w:w="4188" w:type="dxa"/>
          </w:tcPr>
          <w:p w14:paraId="7215ED46" w14:textId="77777777" w:rsidR="004708A2" w:rsidRPr="008D1FCD" w:rsidRDefault="008D1FCD">
            <w:pPr>
              <w:rPr>
                <w:b/>
                <w:bCs/>
                <w:rtl/>
              </w:rPr>
            </w:pPr>
            <w:r w:rsidRPr="008D1FCD">
              <w:rPr>
                <w:rFonts w:hint="cs"/>
                <w:b/>
                <w:bCs/>
                <w:rtl/>
              </w:rPr>
              <w:t>בפני כב' השופט דורון פורת, סגן נשיא</w:t>
            </w:r>
          </w:p>
        </w:tc>
        <w:tc>
          <w:tcPr>
            <w:tcW w:w="4424" w:type="dxa"/>
          </w:tcPr>
          <w:p w14:paraId="4E3C997B" w14:textId="77777777" w:rsidR="004708A2" w:rsidRPr="008D1FCD" w:rsidRDefault="008D1FCD">
            <w:pPr>
              <w:jc w:val="right"/>
              <w:rPr>
                <w:rtl/>
              </w:rPr>
            </w:pPr>
            <w:r w:rsidRPr="008D1FCD">
              <w:rPr>
                <w:rtl/>
              </w:rPr>
              <w:t>ת"פ</w:t>
            </w:r>
            <w:r w:rsidRPr="008D1FCD">
              <w:rPr>
                <w:rFonts w:hint="cs"/>
                <w:rtl/>
              </w:rPr>
              <w:t xml:space="preserve"> </w:t>
            </w:r>
            <w:r w:rsidRPr="008D1FCD">
              <w:rPr>
                <w:rtl/>
              </w:rPr>
              <w:t>14471-10-13</w:t>
            </w:r>
            <w:r w:rsidRPr="008D1FCD">
              <w:rPr>
                <w:rFonts w:hint="cs"/>
                <w:rtl/>
              </w:rPr>
              <w:t xml:space="preserve"> </w:t>
            </w:r>
            <w:r w:rsidRPr="008D1FCD">
              <w:rPr>
                <w:rtl/>
              </w:rPr>
              <w:t>מדינת ישראל נ' טימסיט</w:t>
            </w:r>
          </w:p>
        </w:tc>
      </w:tr>
      <w:tr w:rsidR="004708A2" w:rsidRPr="008D1FCD" w14:paraId="34D2BF2E" w14:textId="77777777">
        <w:trPr>
          <w:gridAfter w:val="1"/>
          <w:wAfter w:w="108" w:type="dxa"/>
          <w:trHeight w:val="360"/>
          <w:jc w:val="center"/>
        </w:trPr>
        <w:tc>
          <w:tcPr>
            <w:tcW w:w="4188" w:type="dxa"/>
          </w:tcPr>
          <w:p w14:paraId="69F103C8" w14:textId="77777777" w:rsidR="004708A2" w:rsidRPr="008D1FCD" w:rsidRDefault="004708A2">
            <w:pPr>
              <w:rPr>
                <w:rtl/>
              </w:rPr>
            </w:pPr>
            <w:bookmarkStart w:id="0" w:name="LastJudge"/>
            <w:bookmarkEnd w:id="0"/>
          </w:p>
        </w:tc>
        <w:tc>
          <w:tcPr>
            <w:tcW w:w="4424" w:type="dxa"/>
          </w:tcPr>
          <w:p w14:paraId="5E2B0E5C" w14:textId="77777777" w:rsidR="004708A2" w:rsidRPr="008D1FCD" w:rsidRDefault="008D1FCD">
            <w:pPr>
              <w:jc w:val="right"/>
              <w:rPr>
                <w:b/>
                <w:bCs/>
                <w:rtl/>
              </w:rPr>
            </w:pPr>
            <w:r w:rsidRPr="008D1FCD">
              <w:rPr>
                <w:b/>
                <w:bCs/>
                <w:rtl/>
              </w:rPr>
              <w:t>21 ינואר 2015</w:t>
            </w:r>
          </w:p>
        </w:tc>
      </w:tr>
    </w:tbl>
    <w:p w14:paraId="13FD26CC" w14:textId="77777777" w:rsidR="004708A2" w:rsidRPr="008D1FCD" w:rsidRDefault="004708A2">
      <w:pPr>
        <w:pStyle w:val="a3"/>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3935"/>
        <w:gridCol w:w="700"/>
        <w:gridCol w:w="361"/>
        <w:gridCol w:w="3643"/>
        <w:gridCol w:w="81"/>
      </w:tblGrid>
      <w:tr w:rsidR="004708A2" w:rsidRPr="008D1FCD" w14:paraId="4A9A3183" w14:textId="77777777">
        <w:trPr>
          <w:gridAfter w:val="1"/>
          <w:wAfter w:w="81" w:type="dxa"/>
          <w:trHeight w:val="337"/>
          <w:jc w:val="center"/>
        </w:trPr>
        <w:tc>
          <w:tcPr>
            <w:tcW w:w="3935" w:type="dxa"/>
          </w:tcPr>
          <w:p w14:paraId="71C626D7" w14:textId="77777777" w:rsidR="004708A2" w:rsidRPr="008D1FCD" w:rsidRDefault="008D1FCD">
            <w:pPr>
              <w:rPr>
                <w:rFonts w:ascii="Times New Roman" w:hAnsi="Times New Roman"/>
                <w:b/>
                <w:bCs/>
                <w:sz w:val="26"/>
                <w:szCs w:val="26"/>
                <w:rtl/>
              </w:rPr>
            </w:pPr>
            <w:r w:rsidRPr="008D1FCD">
              <w:rPr>
                <w:rFonts w:hint="cs"/>
                <w:b/>
                <w:bCs/>
                <w:sz w:val="26"/>
                <w:szCs w:val="26"/>
                <w:rtl/>
              </w:rPr>
              <w:t>בעניין:</w:t>
            </w:r>
          </w:p>
        </w:tc>
        <w:tc>
          <w:tcPr>
            <w:tcW w:w="1061" w:type="dxa"/>
            <w:gridSpan w:val="2"/>
          </w:tcPr>
          <w:p w14:paraId="59CCF1ED" w14:textId="77777777" w:rsidR="004708A2" w:rsidRPr="008D1FCD" w:rsidRDefault="004708A2">
            <w:pPr>
              <w:pStyle w:val="a3"/>
              <w:jc w:val="both"/>
              <w:rPr>
                <w:b/>
                <w:bCs/>
                <w:sz w:val="26"/>
                <w:szCs w:val="26"/>
                <w:rtl/>
              </w:rPr>
            </w:pPr>
          </w:p>
        </w:tc>
        <w:tc>
          <w:tcPr>
            <w:tcW w:w="3643" w:type="dxa"/>
          </w:tcPr>
          <w:p w14:paraId="2669F9A0" w14:textId="77777777" w:rsidR="004708A2" w:rsidRPr="008D1FCD" w:rsidRDefault="004708A2">
            <w:pPr>
              <w:pStyle w:val="a3"/>
              <w:jc w:val="right"/>
              <w:rPr>
                <w:b/>
                <w:bCs/>
                <w:rtl/>
              </w:rPr>
            </w:pPr>
          </w:p>
        </w:tc>
      </w:tr>
      <w:tr w:rsidR="004708A2" w:rsidRPr="008D1FCD" w14:paraId="435DEEDB" w14:textId="77777777">
        <w:tblPrEx>
          <w:jc w:val="left"/>
          <w:tblLook w:val="01E0" w:firstRow="1" w:lastRow="1" w:firstColumn="1" w:lastColumn="1" w:noHBand="0" w:noVBand="0"/>
        </w:tblPrEx>
        <w:tc>
          <w:tcPr>
            <w:tcW w:w="4635" w:type="dxa"/>
            <w:gridSpan w:val="2"/>
          </w:tcPr>
          <w:p w14:paraId="186A45E2" w14:textId="77777777" w:rsidR="004708A2" w:rsidRPr="008D1FCD" w:rsidRDefault="008D1FCD">
            <w:pPr>
              <w:rPr>
                <w:b/>
                <w:bCs/>
              </w:rPr>
            </w:pPr>
            <w:bookmarkStart w:id="1" w:name="FirstAppellant"/>
            <w:r w:rsidRPr="008D1FCD">
              <w:rPr>
                <w:rFonts w:ascii="Times New Roman" w:eastAsia="Times New Roman" w:hAnsi="Times New Roman" w:hint="cs"/>
                <w:b/>
                <w:bCs/>
                <w:sz w:val="26"/>
                <w:szCs w:val="26"/>
                <w:rtl/>
              </w:rPr>
              <w:t xml:space="preserve"> </w:t>
            </w:r>
            <w:r w:rsidRPr="008D1FCD">
              <w:rPr>
                <w:rFonts w:ascii="Times New Roman" w:eastAsia="Times New Roman" w:hAnsi="Times New Roman" w:hint="cs"/>
                <w:b/>
                <w:bCs/>
                <w:rtl/>
              </w:rPr>
              <w:t>מדינת ישראל</w:t>
            </w:r>
          </w:p>
          <w:p w14:paraId="4007BA08" w14:textId="77777777" w:rsidR="004708A2" w:rsidRPr="008D1FCD" w:rsidRDefault="004708A2">
            <w:pPr>
              <w:ind w:left="26"/>
              <w:rPr>
                <w:rFonts w:ascii="Times New Roman" w:eastAsia="Times New Roman" w:hAnsi="Times New Roman"/>
                <w:b/>
                <w:bCs/>
                <w:sz w:val="26"/>
                <w:szCs w:val="26"/>
                <w:rtl/>
              </w:rPr>
            </w:pPr>
          </w:p>
        </w:tc>
        <w:tc>
          <w:tcPr>
            <w:tcW w:w="4085" w:type="dxa"/>
            <w:gridSpan w:val="3"/>
          </w:tcPr>
          <w:p w14:paraId="037890F6" w14:textId="77777777" w:rsidR="004708A2" w:rsidRPr="008D1FCD" w:rsidRDefault="008D1FCD">
            <w:pPr>
              <w:jc w:val="right"/>
              <w:rPr>
                <w:rFonts w:ascii="Times New Roman" w:eastAsia="Times New Roman" w:hAnsi="Times New Roman"/>
                <w:b/>
                <w:bCs/>
                <w:sz w:val="26"/>
                <w:szCs w:val="26"/>
                <w:rtl/>
              </w:rPr>
            </w:pPr>
            <w:r w:rsidRPr="008D1FCD">
              <w:rPr>
                <w:rFonts w:ascii="Times New Roman" w:eastAsia="Times New Roman" w:hAnsi="Times New Roman" w:hint="cs"/>
                <w:b/>
                <w:bCs/>
                <w:sz w:val="26"/>
                <w:szCs w:val="26"/>
                <w:rtl/>
              </w:rPr>
              <w:t>ה</w:t>
            </w:r>
            <w:r w:rsidRPr="008D1FCD">
              <w:rPr>
                <w:rFonts w:ascii="Times New Roman" w:eastAsia="Times New Roman" w:hAnsi="Times New Roman" w:hint="cs"/>
                <w:b/>
                <w:bCs/>
                <w:rtl/>
              </w:rPr>
              <w:t>מאשימה</w:t>
            </w:r>
          </w:p>
        </w:tc>
      </w:tr>
      <w:bookmarkEnd w:id="1"/>
      <w:tr w:rsidR="004708A2" w:rsidRPr="008D1FCD" w14:paraId="03ED190C" w14:textId="77777777">
        <w:tblPrEx>
          <w:jc w:val="left"/>
          <w:tblLook w:val="01E0" w:firstRow="1" w:lastRow="1" w:firstColumn="1" w:lastColumn="1" w:noHBand="0" w:noVBand="0"/>
        </w:tblPrEx>
        <w:tc>
          <w:tcPr>
            <w:tcW w:w="8720" w:type="dxa"/>
            <w:gridSpan w:val="5"/>
          </w:tcPr>
          <w:p w14:paraId="05A117F6" w14:textId="77777777" w:rsidR="004708A2" w:rsidRPr="008D1FCD" w:rsidRDefault="004708A2">
            <w:pPr>
              <w:jc w:val="both"/>
              <w:rPr>
                <w:rFonts w:ascii="Arial" w:eastAsia="Times New Roman" w:hAnsi="Arial"/>
                <w:b/>
                <w:bCs/>
                <w:sz w:val="26"/>
                <w:szCs w:val="26"/>
                <w:rtl/>
              </w:rPr>
            </w:pPr>
          </w:p>
          <w:p w14:paraId="1020E806" w14:textId="77777777" w:rsidR="004708A2" w:rsidRPr="008D1FCD" w:rsidRDefault="008D1FCD">
            <w:pPr>
              <w:jc w:val="center"/>
              <w:rPr>
                <w:rFonts w:ascii="Arial" w:eastAsia="Times New Roman" w:hAnsi="Arial"/>
                <w:b/>
                <w:bCs/>
                <w:sz w:val="26"/>
                <w:szCs w:val="26"/>
                <w:rtl/>
              </w:rPr>
            </w:pPr>
            <w:r w:rsidRPr="008D1FCD">
              <w:rPr>
                <w:rFonts w:ascii="Arial" w:eastAsia="Times New Roman" w:hAnsi="Arial"/>
                <w:b/>
                <w:bCs/>
                <w:sz w:val="26"/>
                <w:szCs w:val="26"/>
                <w:rtl/>
              </w:rPr>
              <w:t>נגד</w:t>
            </w:r>
          </w:p>
          <w:p w14:paraId="5971F5BC" w14:textId="77777777" w:rsidR="004708A2" w:rsidRPr="008D1FCD" w:rsidRDefault="004708A2">
            <w:pPr>
              <w:jc w:val="center"/>
              <w:rPr>
                <w:rFonts w:ascii="Arial" w:eastAsia="Times New Roman" w:hAnsi="Arial"/>
                <w:b/>
                <w:bCs/>
                <w:sz w:val="26"/>
                <w:szCs w:val="26"/>
              </w:rPr>
            </w:pPr>
          </w:p>
        </w:tc>
      </w:tr>
      <w:tr w:rsidR="004708A2" w:rsidRPr="008D1FCD" w14:paraId="20BF4877" w14:textId="77777777">
        <w:tblPrEx>
          <w:jc w:val="left"/>
          <w:tblLook w:val="01E0" w:firstRow="1" w:lastRow="1" w:firstColumn="1" w:lastColumn="1" w:noHBand="0" w:noVBand="0"/>
        </w:tblPrEx>
        <w:tc>
          <w:tcPr>
            <w:tcW w:w="4635" w:type="dxa"/>
            <w:gridSpan w:val="2"/>
          </w:tcPr>
          <w:p w14:paraId="39E69C7A" w14:textId="77777777" w:rsidR="004708A2" w:rsidRPr="008D1FCD" w:rsidRDefault="008D1FCD">
            <w:pPr>
              <w:rPr>
                <w:b/>
                <w:bCs/>
              </w:rPr>
            </w:pPr>
            <w:r w:rsidRPr="008D1FCD">
              <w:rPr>
                <w:rFonts w:ascii="Times New Roman" w:eastAsia="Times New Roman" w:hAnsi="Times New Roman" w:hint="cs"/>
                <w:b/>
                <w:bCs/>
                <w:sz w:val="26"/>
                <w:szCs w:val="26"/>
                <w:rtl/>
              </w:rPr>
              <w:t xml:space="preserve"> </w:t>
            </w:r>
            <w:r w:rsidRPr="008D1FCD">
              <w:rPr>
                <w:rFonts w:ascii="Times New Roman" w:eastAsia="Times New Roman" w:hAnsi="Times New Roman" w:hint="cs"/>
                <w:b/>
                <w:bCs/>
                <w:rtl/>
              </w:rPr>
              <w:t>נס טימסיט</w:t>
            </w:r>
          </w:p>
          <w:p w14:paraId="5F0DDA39" w14:textId="77777777" w:rsidR="004708A2" w:rsidRPr="008D1FCD" w:rsidRDefault="004708A2">
            <w:pPr>
              <w:ind w:left="26"/>
              <w:rPr>
                <w:rFonts w:ascii="Times New Roman" w:eastAsia="Times New Roman" w:hAnsi="Times New Roman"/>
                <w:b/>
                <w:bCs/>
                <w:sz w:val="26"/>
                <w:szCs w:val="26"/>
                <w:rtl/>
              </w:rPr>
            </w:pPr>
          </w:p>
        </w:tc>
        <w:tc>
          <w:tcPr>
            <w:tcW w:w="4085" w:type="dxa"/>
            <w:gridSpan w:val="3"/>
          </w:tcPr>
          <w:p w14:paraId="317997BF" w14:textId="77777777" w:rsidR="004708A2" w:rsidRPr="008D1FCD" w:rsidRDefault="008D1FCD">
            <w:pPr>
              <w:jc w:val="right"/>
              <w:rPr>
                <w:rFonts w:ascii="Times New Roman" w:eastAsia="Times New Roman" w:hAnsi="Times New Roman"/>
                <w:b/>
                <w:bCs/>
                <w:sz w:val="26"/>
                <w:szCs w:val="26"/>
                <w:rtl/>
              </w:rPr>
            </w:pPr>
            <w:r w:rsidRPr="008D1FCD">
              <w:rPr>
                <w:rFonts w:ascii="Times New Roman" w:eastAsia="Times New Roman" w:hAnsi="Times New Roman" w:hint="cs"/>
                <w:b/>
                <w:bCs/>
                <w:sz w:val="26"/>
                <w:szCs w:val="26"/>
                <w:rtl/>
              </w:rPr>
              <w:t>הנאשם</w:t>
            </w:r>
          </w:p>
        </w:tc>
      </w:tr>
    </w:tbl>
    <w:p w14:paraId="654BBB0B" w14:textId="77777777" w:rsidR="004708A2" w:rsidRPr="008D1FCD" w:rsidRDefault="008D1FCD">
      <w:pPr>
        <w:spacing w:line="360" w:lineRule="auto"/>
        <w:jc w:val="both"/>
        <w:rPr>
          <w:sz w:val="6"/>
          <w:szCs w:val="6"/>
          <w:rtl/>
        </w:rPr>
      </w:pPr>
      <w:r w:rsidRPr="008D1FCD">
        <w:rPr>
          <w:sz w:val="6"/>
          <w:szCs w:val="6"/>
          <w:rtl/>
        </w:rPr>
        <w:t>&lt;#2#&gt;</w:t>
      </w:r>
    </w:p>
    <w:p w14:paraId="25538F95" w14:textId="77777777" w:rsidR="004708A2" w:rsidRPr="008D1FCD" w:rsidRDefault="008D1FCD">
      <w:pPr>
        <w:pStyle w:val="12"/>
        <w:spacing w:line="360" w:lineRule="auto"/>
        <w:rPr>
          <w:u w:val="none"/>
          <w:rtl/>
        </w:rPr>
      </w:pPr>
      <w:r w:rsidRPr="008D1FCD">
        <w:rPr>
          <w:rFonts w:hint="cs"/>
          <w:u w:val="none"/>
          <w:rtl/>
        </w:rPr>
        <w:t>נוכחים:</w:t>
      </w:r>
    </w:p>
    <w:p w14:paraId="11B800E7" w14:textId="77777777" w:rsidR="004708A2" w:rsidRPr="008D1FCD" w:rsidRDefault="008D1FCD">
      <w:pPr>
        <w:pStyle w:val="12"/>
        <w:spacing w:line="360" w:lineRule="auto"/>
        <w:rPr>
          <w:sz w:val="4"/>
          <w:szCs w:val="4"/>
          <w:u w:val="none"/>
          <w:rtl/>
        </w:rPr>
      </w:pPr>
      <w:r w:rsidRPr="008D1FCD">
        <w:rPr>
          <w:rFonts w:hint="cs"/>
          <w:b w:val="0"/>
          <w:bCs w:val="0"/>
          <w:sz w:val="4"/>
          <w:szCs w:val="4"/>
          <w:u w:val="none"/>
          <w:rtl/>
        </w:rPr>
        <w:t xml:space="preserve"> </w:t>
      </w:r>
    </w:p>
    <w:p w14:paraId="5B07531E" w14:textId="77777777" w:rsidR="00D04FB6" w:rsidRDefault="008D1FCD" w:rsidP="00D04FB6">
      <w:pPr>
        <w:spacing w:after="120" w:line="240" w:lineRule="exact"/>
        <w:ind w:left="283" w:hanging="283"/>
        <w:rPr>
          <w:rtl/>
        </w:rPr>
      </w:pPr>
      <w:r w:rsidRPr="008D1FCD">
        <w:rPr>
          <w:rFonts w:hint="cs"/>
          <w:rtl/>
        </w:rPr>
        <w:t>מטעם המאשימה:  עו"ד תומר בן חמו</w:t>
      </w:r>
      <w:r w:rsidRPr="008D1FCD">
        <w:rPr>
          <w:rFonts w:hint="cs"/>
          <w:rtl/>
        </w:rPr>
        <w:br/>
        <w:t>מטעם הנאשם: בעצמו ו</w:t>
      </w:r>
      <w:bookmarkStart w:id="2" w:name="FirstLawyer"/>
      <w:r w:rsidRPr="008D1FCD">
        <w:rPr>
          <w:rFonts w:hint="cs"/>
          <w:rtl/>
        </w:rPr>
        <w:t>ב"כ</w:t>
      </w:r>
      <w:bookmarkEnd w:id="2"/>
      <w:r w:rsidRPr="008D1FCD">
        <w:rPr>
          <w:rFonts w:hint="cs"/>
          <w:rtl/>
        </w:rPr>
        <w:t xml:space="preserve"> עו"ד אילן מזרחי</w:t>
      </w:r>
      <w:bookmarkStart w:id="3" w:name="LawTable"/>
      <w:bookmarkEnd w:id="3"/>
    </w:p>
    <w:p w14:paraId="430C7E64" w14:textId="77777777" w:rsidR="00D04FB6" w:rsidRPr="00D04FB6" w:rsidRDefault="00D04FB6" w:rsidP="00D04FB6">
      <w:pPr>
        <w:spacing w:after="120" w:line="240" w:lineRule="exact"/>
        <w:ind w:left="283" w:hanging="283"/>
        <w:jc w:val="both"/>
        <w:rPr>
          <w:rFonts w:ascii="FrankRuehl" w:hAnsi="FrankRuehl" w:cs="FrankRuehl"/>
          <w:rtl/>
        </w:rPr>
      </w:pPr>
    </w:p>
    <w:p w14:paraId="515989A9" w14:textId="77777777" w:rsidR="00D04FB6" w:rsidRPr="00D04FB6" w:rsidRDefault="00D04FB6" w:rsidP="00D04FB6">
      <w:pPr>
        <w:spacing w:after="120" w:line="240" w:lineRule="exact"/>
        <w:ind w:left="283" w:hanging="283"/>
        <w:jc w:val="both"/>
        <w:rPr>
          <w:rFonts w:ascii="FrankRuehl" w:hAnsi="FrankRuehl" w:cs="FrankRuehl"/>
          <w:rtl/>
        </w:rPr>
      </w:pPr>
      <w:r w:rsidRPr="00D04FB6">
        <w:rPr>
          <w:rFonts w:ascii="FrankRuehl" w:hAnsi="FrankRuehl" w:cs="FrankRuehl"/>
          <w:rtl/>
        </w:rPr>
        <w:t xml:space="preserve">חקיקה שאוזכרה: </w:t>
      </w:r>
    </w:p>
    <w:p w14:paraId="7302EF3C" w14:textId="77777777" w:rsidR="00D04FB6" w:rsidRPr="00D04FB6" w:rsidRDefault="00D04FB6" w:rsidP="00D04FB6">
      <w:pPr>
        <w:spacing w:after="120" w:line="240" w:lineRule="exact"/>
        <w:ind w:left="283" w:hanging="283"/>
        <w:jc w:val="both"/>
        <w:rPr>
          <w:rFonts w:ascii="FrankRuehl" w:hAnsi="FrankRuehl" w:cs="FrankRuehl"/>
          <w:rtl/>
        </w:rPr>
      </w:pPr>
      <w:hyperlink r:id="rId6" w:history="1">
        <w:r w:rsidRPr="00D04FB6">
          <w:rPr>
            <w:rFonts w:ascii="FrankRuehl" w:hAnsi="FrankRuehl" w:cs="FrankRuehl"/>
            <w:color w:val="0000FF"/>
            <w:u w:val="single"/>
            <w:rtl/>
          </w:rPr>
          <w:t>חוק העונשין, תשל"ז-1977</w:t>
        </w:r>
      </w:hyperlink>
      <w:r w:rsidRPr="00D04FB6">
        <w:rPr>
          <w:rFonts w:ascii="FrankRuehl" w:hAnsi="FrankRuehl" w:cs="FrankRuehl"/>
          <w:rtl/>
        </w:rPr>
        <w:t xml:space="preserve">: סע'  </w:t>
      </w:r>
      <w:hyperlink r:id="rId7" w:history="1">
        <w:r w:rsidRPr="00D04FB6">
          <w:rPr>
            <w:rFonts w:ascii="FrankRuehl" w:hAnsi="FrankRuehl" w:cs="FrankRuehl"/>
            <w:color w:val="0000FF"/>
            <w:u w:val="single"/>
            <w:rtl/>
          </w:rPr>
          <w:t>40ד</w:t>
        </w:r>
      </w:hyperlink>
      <w:r w:rsidRPr="00D04FB6">
        <w:rPr>
          <w:rFonts w:ascii="FrankRuehl" w:hAnsi="FrankRuehl" w:cs="FrankRuehl"/>
          <w:rtl/>
        </w:rPr>
        <w:t xml:space="preserve">, </w:t>
      </w:r>
      <w:hyperlink r:id="rId8" w:history="1">
        <w:r w:rsidRPr="00D04FB6">
          <w:rPr>
            <w:rFonts w:ascii="FrankRuehl" w:hAnsi="FrankRuehl" w:cs="FrankRuehl"/>
            <w:color w:val="0000FF"/>
            <w:u w:val="single"/>
            <w:rtl/>
          </w:rPr>
          <w:t>499(א)(1)</w:t>
        </w:r>
      </w:hyperlink>
    </w:p>
    <w:p w14:paraId="52A0BEA4" w14:textId="77777777" w:rsidR="00D04FB6" w:rsidRPr="00D04FB6" w:rsidRDefault="00D04FB6" w:rsidP="00D04FB6">
      <w:pPr>
        <w:spacing w:after="120" w:line="240" w:lineRule="exact"/>
        <w:ind w:left="283" w:hanging="283"/>
        <w:jc w:val="both"/>
        <w:rPr>
          <w:rFonts w:ascii="FrankRuehl" w:hAnsi="FrankRuehl" w:cs="FrankRuehl"/>
          <w:rtl/>
        </w:rPr>
      </w:pPr>
      <w:hyperlink r:id="rId9" w:history="1">
        <w:r w:rsidRPr="00D04FB6">
          <w:rPr>
            <w:rFonts w:ascii="FrankRuehl" w:hAnsi="FrankRuehl" w:cs="FrankRuehl"/>
            <w:color w:val="0000FF"/>
            <w:u w:val="single"/>
            <w:rtl/>
          </w:rPr>
          <w:t>פקודת הסמים המסוכנים [נוסח חדש], תשל"ג-1973</w:t>
        </w:r>
      </w:hyperlink>
      <w:r w:rsidRPr="00D04FB6">
        <w:rPr>
          <w:rFonts w:ascii="FrankRuehl" w:hAnsi="FrankRuehl" w:cs="FrankRuehl"/>
          <w:rtl/>
        </w:rPr>
        <w:t xml:space="preserve">: סע'  </w:t>
      </w:r>
      <w:hyperlink r:id="rId10" w:history="1">
        <w:r w:rsidRPr="00D04FB6">
          <w:rPr>
            <w:rFonts w:ascii="FrankRuehl" w:hAnsi="FrankRuehl" w:cs="FrankRuehl"/>
            <w:color w:val="0000FF"/>
            <w:u w:val="single"/>
            <w:rtl/>
          </w:rPr>
          <w:t>7.א.</w:t>
        </w:r>
      </w:hyperlink>
      <w:r w:rsidRPr="00D04FB6">
        <w:rPr>
          <w:rFonts w:ascii="FrankRuehl" w:hAnsi="FrankRuehl" w:cs="FrankRuehl"/>
          <w:rtl/>
        </w:rPr>
        <w:t xml:space="preserve">, </w:t>
      </w:r>
      <w:hyperlink r:id="rId11" w:history="1">
        <w:r w:rsidRPr="00D04FB6">
          <w:rPr>
            <w:rFonts w:ascii="FrankRuehl" w:hAnsi="FrankRuehl" w:cs="FrankRuehl"/>
            <w:color w:val="0000FF"/>
            <w:u w:val="single"/>
            <w:rtl/>
          </w:rPr>
          <w:t>7.ג</w:t>
        </w:r>
      </w:hyperlink>
      <w:r w:rsidRPr="00D04FB6">
        <w:rPr>
          <w:rFonts w:ascii="FrankRuehl" w:hAnsi="FrankRuehl" w:cs="FrankRuehl"/>
          <w:rtl/>
        </w:rPr>
        <w:t xml:space="preserve">, </w:t>
      </w:r>
      <w:hyperlink r:id="rId12" w:history="1">
        <w:r w:rsidRPr="00D04FB6">
          <w:rPr>
            <w:rFonts w:ascii="FrankRuehl" w:hAnsi="FrankRuehl" w:cs="FrankRuehl"/>
            <w:color w:val="0000FF"/>
            <w:u w:val="single"/>
            <w:rtl/>
          </w:rPr>
          <w:t>13</w:t>
        </w:r>
      </w:hyperlink>
      <w:r w:rsidRPr="00D04FB6">
        <w:rPr>
          <w:rFonts w:ascii="FrankRuehl" w:hAnsi="FrankRuehl" w:cs="FrankRuehl"/>
          <w:rtl/>
        </w:rPr>
        <w:t xml:space="preserve">, </w:t>
      </w:r>
      <w:hyperlink r:id="rId13" w:history="1">
        <w:r w:rsidRPr="00D04FB6">
          <w:rPr>
            <w:rFonts w:ascii="FrankRuehl" w:hAnsi="FrankRuehl" w:cs="FrankRuehl"/>
            <w:color w:val="0000FF"/>
            <w:u w:val="single"/>
            <w:rtl/>
          </w:rPr>
          <w:t>19א</w:t>
        </w:r>
      </w:hyperlink>
    </w:p>
    <w:p w14:paraId="7BBE7E81" w14:textId="77777777" w:rsidR="00D04FB6" w:rsidRPr="00D04FB6" w:rsidRDefault="00D04FB6" w:rsidP="00D04FB6">
      <w:pPr>
        <w:spacing w:after="120" w:line="240" w:lineRule="exact"/>
        <w:ind w:left="283" w:hanging="283"/>
        <w:jc w:val="both"/>
        <w:rPr>
          <w:rFonts w:ascii="FrankRuehl" w:hAnsi="FrankRuehl" w:cs="FrankRuehl"/>
          <w:rtl/>
        </w:rPr>
      </w:pPr>
    </w:p>
    <w:p w14:paraId="56080E67" w14:textId="77777777" w:rsidR="007E7F6F" w:rsidRPr="007E7F6F" w:rsidRDefault="007E7F6F" w:rsidP="00D04FB6">
      <w:pPr>
        <w:spacing w:after="120" w:line="240" w:lineRule="exact"/>
        <w:ind w:left="283" w:hanging="283"/>
        <w:rPr>
          <w:rFonts w:ascii="FrankRuehl" w:hAnsi="FrankRuehl" w:cs="FrankRuehl"/>
          <w:rtl/>
        </w:rPr>
      </w:pPr>
      <w:bookmarkStart w:id="4" w:name="LawTable_End"/>
      <w:bookmarkEnd w:id="4"/>
    </w:p>
    <w:p w14:paraId="0E1D62DB" w14:textId="77777777" w:rsidR="008D1FCD" w:rsidRPr="008D1FCD" w:rsidRDefault="008D1FCD" w:rsidP="008D1FCD">
      <w:pPr>
        <w:pStyle w:val="David"/>
        <w:jc w:val="center"/>
        <w:rPr>
          <w:rFonts w:ascii="Arial" w:eastAsia="David" w:hAnsi="Arial"/>
          <w:b/>
          <w:bCs/>
          <w:sz w:val="28"/>
          <w:szCs w:val="28"/>
          <w:u w:val="single"/>
          <w:rtl/>
        </w:rPr>
      </w:pPr>
      <w:bookmarkStart w:id="5" w:name="PsakDin"/>
      <w:r w:rsidRPr="008D1FCD">
        <w:rPr>
          <w:rFonts w:ascii="Arial" w:eastAsia="David" w:hAnsi="Arial"/>
          <w:b/>
          <w:bCs/>
          <w:sz w:val="28"/>
          <w:szCs w:val="28"/>
          <w:u w:val="single"/>
          <w:rtl/>
        </w:rPr>
        <w:t>גזר דין</w:t>
      </w:r>
    </w:p>
    <w:bookmarkEnd w:id="5"/>
    <w:p w14:paraId="18663272" w14:textId="77777777" w:rsidR="004708A2" w:rsidRDefault="004708A2">
      <w:pPr>
        <w:pStyle w:val="David"/>
        <w:rPr>
          <w:rtl/>
        </w:rPr>
      </w:pPr>
    </w:p>
    <w:p w14:paraId="23A9EC73" w14:textId="77777777" w:rsidR="004708A2" w:rsidRDefault="008D1FCD">
      <w:pPr>
        <w:spacing w:line="360" w:lineRule="auto"/>
        <w:rPr>
          <w:b/>
          <w:bCs/>
          <w:u w:val="single"/>
        </w:rPr>
      </w:pPr>
      <w:r>
        <w:rPr>
          <w:rFonts w:hint="cs"/>
          <w:b/>
          <w:bCs/>
          <w:u w:val="single"/>
          <w:rtl/>
        </w:rPr>
        <w:t>כתב אישום:</w:t>
      </w:r>
    </w:p>
    <w:p w14:paraId="48E0B19F" w14:textId="77777777" w:rsidR="004708A2" w:rsidRDefault="008D1FCD">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הנאשם הורשע על פי הודאתו בעבירות של </w:t>
      </w:r>
      <w:r>
        <w:rPr>
          <w:rFonts w:hint="cs"/>
          <w:b/>
          <w:bCs/>
          <w:rtl/>
        </w:rPr>
        <w:t>קשירת קשר לביצוע פשע (שני מקרים)</w:t>
      </w:r>
      <w:r>
        <w:rPr>
          <w:rFonts w:hint="cs"/>
          <w:rtl/>
        </w:rPr>
        <w:t xml:space="preserve">, עבירה לפי </w:t>
      </w:r>
      <w:hyperlink r:id="rId14" w:history="1">
        <w:r w:rsidR="007E7F6F" w:rsidRPr="007E7F6F">
          <w:rPr>
            <w:color w:val="0000FF"/>
            <w:u w:val="single"/>
            <w:rtl/>
          </w:rPr>
          <w:t>סעיף 499(א)(1)</w:t>
        </w:r>
      </w:hyperlink>
      <w:r>
        <w:rPr>
          <w:rFonts w:hint="cs"/>
          <w:rtl/>
        </w:rPr>
        <w:t xml:space="preserve"> ל</w:t>
      </w:r>
      <w:hyperlink r:id="rId15" w:history="1">
        <w:r w:rsidRPr="008D1FCD">
          <w:rPr>
            <w:color w:val="0000FF"/>
            <w:u w:val="single"/>
            <w:rtl/>
          </w:rPr>
          <w:t>חוק העונשין</w:t>
        </w:r>
      </w:hyperlink>
      <w:r>
        <w:rPr>
          <w:rFonts w:hint="cs"/>
          <w:rtl/>
        </w:rPr>
        <w:t>, התשל"ז-1977 (להלן: "</w:t>
      </w:r>
      <w:r>
        <w:rPr>
          <w:rFonts w:hint="cs"/>
          <w:b/>
          <w:bCs/>
          <w:rtl/>
        </w:rPr>
        <w:t>חוק העונשין</w:t>
      </w:r>
      <w:r>
        <w:rPr>
          <w:rFonts w:hint="cs"/>
          <w:rtl/>
        </w:rPr>
        <w:t xml:space="preserve">"); </w:t>
      </w:r>
      <w:r>
        <w:rPr>
          <w:rFonts w:hint="cs"/>
          <w:b/>
          <w:bCs/>
          <w:rtl/>
        </w:rPr>
        <w:t>סחר בסם מסוכן (שני מקרים)</w:t>
      </w:r>
      <w:r>
        <w:rPr>
          <w:rFonts w:hint="cs"/>
          <w:rtl/>
        </w:rPr>
        <w:t xml:space="preserve">, עבירה לפי </w:t>
      </w:r>
      <w:hyperlink r:id="rId16" w:history="1">
        <w:r w:rsidR="007E7F6F" w:rsidRPr="007E7F6F">
          <w:rPr>
            <w:color w:val="0000FF"/>
            <w:u w:val="single"/>
            <w:rtl/>
          </w:rPr>
          <w:t>סעיפים 13</w:t>
        </w:r>
      </w:hyperlink>
      <w:r>
        <w:rPr>
          <w:rFonts w:hint="cs"/>
          <w:rtl/>
        </w:rPr>
        <w:t xml:space="preserve"> + </w:t>
      </w:r>
      <w:hyperlink r:id="rId17" w:history="1">
        <w:r w:rsidR="007E7F6F" w:rsidRPr="007E7F6F">
          <w:rPr>
            <w:color w:val="0000FF"/>
            <w:u w:val="single"/>
            <w:rtl/>
          </w:rPr>
          <w:t>19א</w:t>
        </w:r>
      </w:hyperlink>
      <w:r>
        <w:rPr>
          <w:rFonts w:hint="cs"/>
          <w:rtl/>
        </w:rPr>
        <w:t xml:space="preserve"> ל</w:t>
      </w:r>
      <w:hyperlink r:id="rId18" w:history="1">
        <w:r w:rsidRPr="008D1FCD">
          <w:rPr>
            <w:color w:val="0000FF"/>
            <w:u w:val="single"/>
            <w:rtl/>
          </w:rPr>
          <w:t>פקודת הסמים המסוכנים</w:t>
        </w:r>
      </w:hyperlink>
      <w:r>
        <w:rPr>
          <w:rFonts w:hint="cs"/>
          <w:rtl/>
        </w:rPr>
        <w:t xml:space="preserve"> [נוסח חדש], התשל"ג – 1973 ;</w:t>
      </w:r>
      <w:bookmarkStart w:id="7" w:name="ABSTRACT_END"/>
      <w:bookmarkEnd w:id="7"/>
      <w:r>
        <w:rPr>
          <w:rFonts w:hint="cs"/>
          <w:b/>
          <w:bCs/>
        </w:rPr>
        <w:t xml:space="preserve"> </w:t>
      </w:r>
      <w:r>
        <w:rPr>
          <w:rFonts w:hint="cs"/>
          <w:b/>
          <w:bCs/>
          <w:rtl/>
        </w:rPr>
        <w:t>החזקת סם מסוכן שלא לשימוש עצמי</w:t>
      </w:r>
      <w:r>
        <w:rPr>
          <w:rFonts w:hint="cs"/>
          <w:rtl/>
        </w:rPr>
        <w:t xml:space="preserve"> (</w:t>
      </w:r>
      <w:r>
        <w:rPr>
          <w:rFonts w:hint="cs"/>
          <w:b/>
          <w:bCs/>
          <w:rtl/>
        </w:rPr>
        <w:t>שני מקרים</w:t>
      </w:r>
      <w:r>
        <w:rPr>
          <w:rFonts w:hint="cs"/>
          <w:rtl/>
        </w:rPr>
        <w:t xml:space="preserve">), עבירה לפי </w:t>
      </w:r>
      <w:hyperlink r:id="rId19" w:history="1">
        <w:r w:rsidR="007E7F6F" w:rsidRPr="007E7F6F">
          <w:rPr>
            <w:color w:val="0000FF"/>
            <w:u w:val="single"/>
            <w:rtl/>
          </w:rPr>
          <w:t>סעיף 7(א)+(ג)</w:t>
        </w:r>
      </w:hyperlink>
      <w:r>
        <w:rPr>
          <w:rFonts w:hint="cs"/>
          <w:rtl/>
        </w:rPr>
        <w:t xml:space="preserve"> רישא לפקודת הסמים [נוסח חדש], התשל"ג- 1973; </w:t>
      </w:r>
      <w:r>
        <w:rPr>
          <w:rFonts w:hint="cs"/>
          <w:b/>
          <w:bCs/>
          <w:rtl/>
        </w:rPr>
        <w:t>החזקת סם מסוכן לצריכה עצמית</w:t>
      </w:r>
      <w:r>
        <w:rPr>
          <w:rFonts w:hint="cs"/>
          <w:rtl/>
        </w:rPr>
        <w:t xml:space="preserve"> (</w:t>
      </w:r>
      <w:r>
        <w:rPr>
          <w:rFonts w:hint="cs"/>
          <w:b/>
          <w:bCs/>
          <w:rtl/>
        </w:rPr>
        <w:t>שני מקרים</w:t>
      </w:r>
      <w:r>
        <w:rPr>
          <w:rFonts w:hint="cs"/>
          <w:rtl/>
        </w:rPr>
        <w:t xml:space="preserve">), עבירה לפי </w:t>
      </w:r>
      <w:hyperlink r:id="rId20" w:history="1">
        <w:r w:rsidR="007E7F6F" w:rsidRPr="007E7F6F">
          <w:rPr>
            <w:color w:val="0000FF"/>
            <w:u w:val="single"/>
            <w:rtl/>
          </w:rPr>
          <w:t>סעיף 7(א)+(ג)</w:t>
        </w:r>
      </w:hyperlink>
      <w:r>
        <w:rPr>
          <w:rFonts w:hint="cs"/>
          <w:rtl/>
        </w:rPr>
        <w:t xml:space="preserve"> סיפא לפקודת הסמים, התשל"ג – 1973. </w:t>
      </w:r>
    </w:p>
    <w:p w14:paraId="6F0B034A" w14:textId="77777777" w:rsidR="004708A2" w:rsidRDefault="004708A2">
      <w:pPr>
        <w:spacing w:line="360" w:lineRule="auto"/>
        <w:jc w:val="both"/>
        <w:rPr>
          <w:rtl/>
        </w:rPr>
      </w:pPr>
    </w:p>
    <w:p w14:paraId="148A289E" w14:textId="77777777" w:rsidR="004708A2" w:rsidRDefault="008D1FCD">
      <w:pPr>
        <w:spacing w:line="360" w:lineRule="auto"/>
        <w:ind w:left="720" w:hanging="720"/>
        <w:jc w:val="both"/>
        <w:rPr>
          <w:rtl/>
        </w:rPr>
      </w:pPr>
      <w:r>
        <w:rPr>
          <w:rFonts w:hint="cs"/>
          <w:rtl/>
        </w:rPr>
        <w:t>2.</w:t>
      </w:r>
      <w:r>
        <w:rPr>
          <w:rFonts w:hint="cs"/>
          <w:rtl/>
        </w:rPr>
        <w:tab/>
        <w:t>עובדות המקרה פורטו בהרחבה בכתב האישום. באישום הראשון, בקליפת האגוז  ייאמר כי בתאריך 5.6.2013 קשר הנאשם קשר עם סוכן מטעם משטרת ישראל לשם ביצוע עסקת סמים, בכך שמכר לסוכן בתמורה לסך 200 ₪ חשיש במשקל כולל של 2.47 גרם נטו וכן החזיק בסם המסוכן שלא כדין ושלא לצריכה עצמית.</w:t>
      </w:r>
    </w:p>
    <w:p w14:paraId="1344FD42" w14:textId="77777777" w:rsidR="004708A2" w:rsidRDefault="004708A2">
      <w:pPr>
        <w:spacing w:line="360" w:lineRule="auto"/>
        <w:ind w:left="720" w:hanging="720"/>
        <w:jc w:val="both"/>
        <w:rPr>
          <w:rtl/>
        </w:rPr>
      </w:pPr>
    </w:p>
    <w:p w14:paraId="58B487DE" w14:textId="77777777" w:rsidR="004708A2" w:rsidRDefault="008D1FCD">
      <w:pPr>
        <w:pStyle w:val="ListParagraph"/>
        <w:spacing w:line="360" w:lineRule="auto"/>
        <w:jc w:val="both"/>
      </w:pPr>
      <w:r>
        <w:rPr>
          <w:rFonts w:hint="cs"/>
          <w:rtl/>
        </w:rPr>
        <w:t xml:space="preserve">באישום השני, הנאשם הורשע בכך שבתאריך 12.6.2013 קשר קשר עם סוכן מטעם משטרת ישראל לשם ביצוע עסקת סמים, בכך שמכר לסוכן משטרתי בתמורה לסך 700 ₪ סם מסוכן </w:t>
      </w:r>
      <w:r>
        <w:rPr>
          <w:rFonts w:hint="cs"/>
          <w:rtl/>
        </w:rPr>
        <w:lastRenderedPageBreak/>
        <w:t>מסוג חשיש במשקל כולל של 6.26 גרם וכן החזיק בסם המסוכן שלא כדין ושלא לצריכה עצמית.</w:t>
      </w:r>
    </w:p>
    <w:p w14:paraId="20CD4703" w14:textId="77777777" w:rsidR="004708A2" w:rsidRDefault="004708A2">
      <w:pPr>
        <w:pStyle w:val="ListParagraph"/>
        <w:spacing w:line="360" w:lineRule="auto"/>
        <w:jc w:val="both"/>
        <w:rPr>
          <w:rtl/>
        </w:rPr>
      </w:pPr>
    </w:p>
    <w:p w14:paraId="7E29FF20" w14:textId="77777777" w:rsidR="004708A2" w:rsidRDefault="008D1FCD">
      <w:pPr>
        <w:spacing w:line="360" w:lineRule="auto"/>
        <w:ind w:left="720"/>
        <w:jc w:val="both"/>
        <w:rPr>
          <w:rtl/>
        </w:rPr>
      </w:pPr>
      <w:r>
        <w:rPr>
          <w:rFonts w:hint="cs"/>
          <w:rtl/>
        </w:rPr>
        <w:t>באישום השלישי, הנאשם הורשע בכך שבתאריך 29.9.2013  החזיק שלא כדין בסם מסוכן מסוג חשיש במשקל כולל של 0.71 גרם נטו, וזאת לצריכתו העצמית וללא היתר כדין או רישיון לכך מאת המנהל.</w:t>
      </w:r>
    </w:p>
    <w:p w14:paraId="2C2D61F1" w14:textId="77777777" w:rsidR="004708A2" w:rsidRDefault="004708A2">
      <w:pPr>
        <w:spacing w:line="360" w:lineRule="auto"/>
        <w:jc w:val="both"/>
        <w:rPr>
          <w:rtl/>
        </w:rPr>
      </w:pPr>
    </w:p>
    <w:p w14:paraId="64132301" w14:textId="77777777" w:rsidR="004708A2" w:rsidRDefault="008D1FCD">
      <w:pPr>
        <w:spacing w:line="360" w:lineRule="auto"/>
        <w:ind w:left="720" w:hanging="720"/>
        <w:rPr>
          <w:rtl/>
        </w:rPr>
      </w:pPr>
      <w:r>
        <w:rPr>
          <w:rFonts w:hint="cs"/>
          <w:rtl/>
        </w:rPr>
        <w:t>3.</w:t>
      </w:r>
      <w:r>
        <w:rPr>
          <w:rFonts w:hint="cs"/>
          <w:rtl/>
        </w:rPr>
        <w:tab/>
        <w:t xml:space="preserve">הנאשם הורשע במסגרת הסדר טיעון, בעבירות אשר יוחסו לו בכתב האישום המתוקן וכן צירף תיק שמספרו 1746-06-13, בו הנאשם הורשע בכך שבתאריך 15.10.2012 החזיק בסם מסוכן מסוג חשיש במשקל 2.64 גרם שלא כדין. </w:t>
      </w:r>
    </w:p>
    <w:p w14:paraId="4D32D001" w14:textId="77777777" w:rsidR="004708A2" w:rsidRDefault="004708A2">
      <w:pPr>
        <w:spacing w:line="360" w:lineRule="auto"/>
        <w:jc w:val="both"/>
        <w:rPr>
          <w:rtl/>
        </w:rPr>
      </w:pPr>
    </w:p>
    <w:p w14:paraId="31628CC2" w14:textId="77777777" w:rsidR="004708A2" w:rsidRDefault="008D1FCD">
      <w:pPr>
        <w:spacing w:line="360" w:lineRule="auto"/>
        <w:ind w:left="720" w:hanging="720"/>
        <w:jc w:val="both"/>
        <w:rPr>
          <w:rtl/>
        </w:rPr>
      </w:pPr>
      <w:r>
        <w:rPr>
          <w:rFonts w:hint="cs"/>
          <w:rtl/>
        </w:rPr>
        <w:t>4.</w:t>
      </w:r>
      <w:r>
        <w:rPr>
          <w:rFonts w:hint="cs"/>
          <w:rtl/>
        </w:rPr>
        <w:tab/>
        <w:t>על פי הסדר הטיעון שבין הצדדים, התביעה עתרה להטיל על הנאשם את העונשים הבאים:  3 חודשים מאסר בפועל אשר ירוצו בעבודות שירות, מאסר על תנאי, קנס בסך 10,000 ₪ ופסילת רישיון נהיגה למשך חודשיים.</w:t>
      </w:r>
    </w:p>
    <w:p w14:paraId="2CBEB283" w14:textId="77777777" w:rsidR="004708A2" w:rsidRDefault="004708A2">
      <w:pPr>
        <w:spacing w:line="360" w:lineRule="auto"/>
        <w:jc w:val="both"/>
        <w:rPr>
          <w:rtl/>
        </w:rPr>
      </w:pPr>
    </w:p>
    <w:p w14:paraId="2AD322BC" w14:textId="77777777" w:rsidR="004708A2" w:rsidRDefault="008D1FCD">
      <w:pPr>
        <w:spacing w:line="360" w:lineRule="auto"/>
        <w:jc w:val="both"/>
        <w:rPr>
          <w:b/>
          <w:bCs/>
          <w:u w:val="single"/>
          <w:rtl/>
        </w:rPr>
      </w:pPr>
      <w:r>
        <w:rPr>
          <w:rFonts w:hint="cs"/>
          <w:b/>
          <w:bCs/>
          <w:u w:val="single"/>
          <w:rtl/>
        </w:rPr>
        <w:t xml:space="preserve">טיעונים לעונש מטעם הצדדים: </w:t>
      </w:r>
    </w:p>
    <w:p w14:paraId="00E8434B" w14:textId="77777777" w:rsidR="004708A2" w:rsidRDefault="008D1FCD">
      <w:pPr>
        <w:spacing w:line="360" w:lineRule="auto"/>
        <w:ind w:left="720" w:hanging="720"/>
        <w:jc w:val="both"/>
        <w:rPr>
          <w:rtl/>
        </w:rPr>
      </w:pPr>
      <w:r>
        <w:rPr>
          <w:rFonts w:hint="cs"/>
          <w:rtl/>
        </w:rPr>
        <w:t>5.</w:t>
      </w:r>
      <w:r>
        <w:rPr>
          <w:rFonts w:hint="cs"/>
          <w:rtl/>
        </w:rPr>
        <w:tab/>
        <w:t>המאשימה עתרה לכבד את הסדר הטיעון, אשר לטענתה הינו סביר, ובהתחשב בכך שהנאשם  ריצה תקופת מעצר של כמעט חודשיים והיה בתנאים מגבילים בתקופה ממושכת.</w:t>
      </w:r>
    </w:p>
    <w:p w14:paraId="696A422D" w14:textId="77777777" w:rsidR="004708A2" w:rsidRDefault="008D1FCD">
      <w:pPr>
        <w:spacing w:line="360" w:lineRule="auto"/>
        <w:jc w:val="both"/>
        <w:rPr>
          <w:rtl/>
        </w:rPr>
      </w:pPr>
      <w:r>
        <w:rPr>
          <w:rFonts w:hint="cs"/>
          <w:rtl/>
        </w:rPr>
        <w:tab/>
        <w:t xml:space="preserve">המאשימה התחשבה בתסקיר מבחן שהוגש בעניינו של הנאשם אשר המליץ על מבחן </w:t>
      </w:r>
      <w:r>
        <w:rPr>
          <w:rFonts w:hint="cs"/>
          <w:rtl/>
        </w:rPr>
        <w:tab/>
        <w:t xml:space="preserve">לתקופה של שנה וחצי. </w:t>
      </w:r>
    </w:p>
    <w:p w14:paraId="2C799F74" w14:textId="77777777" w:rsidR="004708A2" w:rsidRDefault="008D1FCD">
      <w:pPr>
        <w:spacing w:line="360" w:lineRule="auto"/>
        <w:jc w:val="both"/>
        <w:rPr>
          <w:b/>
          <w:bCs/>
          <w:u w:val="single"/>
          <w:rtl/>
        </w:rPr>
      </w:pPr>
      <w:r>
        <w:rPr>
          <w:rFonts w:hint="cs"/>
          <w:rtl/>
        </w:rPr>
        <w:tab/>
        <w:t xml:space="preserve">המאשימה ציינה, כי לנאשם הרשעה קודמת מבית משפט לנוער משנת 2008. </w:t>
      </w:r>
    </w:p>
    <w:p w14:paraId="50E6E1AF" w14:textId="77777777" w:rsidR="004708A2" w:rsidRDefault="004708A2">
      <w:pPr>
        <w:spacing w:line="360" w:lineRule="auto"/>
        <w:jc w:val="both"/>
        <w:rPr>
          <w:b/>
          <w:bCs/>
          <w:u w:val="single"/>
          <w:rtl/>
        </w:rPr>
      </w:pPr>
    </w:p>
    <w:p w14:paraId="446CC76C" w14:textId="77777777" w:rsidR="004708A2" w:rsidRDefault="008D1FCD">
      <w:pPr>
        <w:spacing w:line="360" w:lineRule="auto"/>
        <w:jc w:val="both"/>
        <w:rPr>
          <w:rtl/>
        </w:rPr>
      </w:pPr>
      <w:r>
        <w:rPr>
          <w:rFonts w:hint="cs"/>
          <w:rtl/>
        </w:rPr>
        <w:t>6.</w:t>
      </w:r>
      <w:r>
        <w:rPr>
          <w:rFonts w:hint="cs"/>
          <w:rtl/>
        </w:rPr>
        <w:tab/>
        <w:t xml:space="preserve">הסנגור עתר לכבד את הסדר הטיעון וטען שההסדר מאוזן ועונה על מדיניות הענישה. </w:t>
      </w:r>
    </w:p>
    <w:p w14:paraId="1C2B53B4" w14:textId="77777777" w:rsidR="004708A2" w:rsidRDefault="008D1FCD">
      <w:pPr>
        <w:pStyle w:val="ListParagraph"/>
        <w:spacing w:line="360" w:lineRule="auto"/>
        <w:jc w:val="both"/>
      </w:pPr>
      <w:r>
        <w:rPr>
          <w:rFonts w:hint="cs"/>
          <w:rtl/>
        </w:rPr>
        <w:t xml:space="preserve">הסנגור ביקש להתחשב בהודאת הנאשם, קבלת האחריות והזמן השיפוטי שנחסך. </w:t>
      </w:r>
    </w:p>
    <w:p w14:paraId="4536CF39" w14:textId="77777777" w:rsidR="004708A2" w:rsidRDefault="008D1FCD">
      <w:pPr>
        <w:pStyle w:val="ListParagraph"/>
        <w:spacing w:line="360" w:lineRule="auto"/>
        <w:jc w:val="both"/>
        <w:rPr>
          <w:rtl/>
        </w:rPr>
      </w:pPr>
      <w:r>
        <w:rPr>
          <w:rFonts w:hint="cs"/>
          <w:rtl/>
        </w:rPr>
        <w:t xml:space="preserve">הסנגור ביקש להתחשב בכברת הדרך הארוכה שעבר הנאשם בחודשים האחרונים. </w:t>
      </w:r>
    </w:p>
    <w:p w14:paraId="62B88556" w14:textId="77777777" w:rsidR="004708A2" w:rsidRDefault="008D1FCD">
      <w:pPr>
        <w:pStyle w:val="ListParagraph"/>
        <w:spacing w:line="360" w:lineRule="auto"/>
        <w:jc w:val="both"/>
        <w:rPr>
          <w:rtl/>
        </w:rPr>
      </w:pPr>
      <w:r>
        <w:rPr>
          <w:rFonts w:hint="cs"/>
          <w:rtl/>
        </w:rPr>
        <w:t xml:space="preserve">הסנגור טען, כי הנאשם היה עצור למשך  50 ימים ושהה בתנאי מעצר בית מלאים, ויש סיכוי לשיקום כפי שעולה מתסקיר שירות המבחן. </w:t>
      </w:r>
    </w:p>
    <w:p w14:paraId="5BE026F5" w14:textId="77777777" w:rsidR="004708A2" w:rsidRDefault="004708A2">
      <w:pPr>
        <w:pStyle w:val="ListParagraph"/>
        <w:spacing w:line="360" w:lineRule="auto"/>
        <w:jc w:val="both"/>
        <w:rPr>
          <w:rtl/>
        </w:rPr>
      </w:pPr>
    </w:p>
    <w:p w14:paraId="4143625D" w14:textId="77777777" w:rsidR="004708A2" w:rsidRDefault="008D1FCD">
      <w:pPr>
        <w:spacing w:line="360" w:lineRule="auto"/>
        <w:ind w:left="720" w:hanging="720"/>
        <w:jc w:val="both"/>
        <w:rPr>
          <w:rtl/>
        </w:rPr>
      </w:pPr>
      <w:r>
        <w:rPr>
          <w:rFonts w:hint="cs"/>
          <w:rtl/>
        </w:rPr>
        <w:t>7.</w:t>
      </w:r>
      <w:r>
        <w:rPr>
          <w:rFonts w:hint="cs"/>
          <w:rtl/>
        </w:rPr>
        <w:tab/>
        <w:t xml:space="preserve">הנאשם הורשע במסגרת הסדר טיעון בעבירות סמים חמורות בשני כתבי אישום נפרדים. בית משפט זה נוהג להטיל עונשים מחמירים בעבירות סמים כגון דא. ברם, הצדדים הגיעו ביניהם לידי הסדר טיעון ולא בנקל בית המשפט יסטה מהסדר הטיעון. המאשימה עתרה לכבד את הסדר הטיעון. ככלל, נוהגים בתי המשפט לכבד הסדרי טיעון אליהם הגיעו הצדדים, במידה והם סבירים ועונים על האינטרס הציבורי (ראה, </w:t>
      </w:r>
      <w:hyperlink r:id="rId21" w:history="1">
        <w:r w:rsidRPr="008D1FCD">
          <w:rPr>
            <w:color w:val="0000FF"/>
            <w:u w:val="single"/>
            <w:rtl/>
          </w:rPr>
          <w:t>ע"פ 1958/98 פלוני נ' מדינת ישראל, פ"ד נז</w:t>
        </w:r>
      </w:hyperlink>
      <w:r>
        <w:rPr>
          <w:rFonts w:hint="cs"/>
          <w:rtl/>
        </w:rPr>
        <w:t xml:space="preserve"> (1), 577). אלמלא הסדר הטיעון, הייתי מטיל על הנאשם עונש חמור יותר.</w:t>
      </w:r>
    </w:p>
    <w:p w14:paraId="51217010" w14:textId="77777777" w:rsidR="004708A2" w:rsidRDefault="004708A2">
      <w:pPr>
        <w:pStyle w:val="ListParagraph"/>
        <w:spacing w:line="360" w:lineRule="auto"/>
        <w:jc w:val="both"/>
      </w:pPr>
    </w:p>
    <w:p w14:paraId="0AD4ED55" w14:textId="77777777" w:rsidR="004708A2" w:rsidRDefault="004708A2">
      <w:pPr>
        <w:pStyle w:val="ListParagraph"/>
        <w:spacing w:line="360" w:lineRule="auto"/>
        <w:jc w:val="both"/>
      </w:pPr>
    </w:p>
    <w:p w14:paraId="25A18F5A" w14:textId="77777777" w:rsidR="004708A2" w:rsidRDefault="008D1FCD">
      <w:pPr>
        <w:spacing w:line="360" w:lineRule="auto"/>
        <w:ind w:left="720" w:hanging="720"/>
        <w:jc w:val="both"/>
      </w:pPr>
      <w:r>
        <w:rPr>
          <w:rFonts w:hint="cs"/>
          <w:rtl/>
        </w:rPr>
        <w:lastRenderedPageBreak/>
        <w:t>8.</w:t>
      </w:r>
      <w:r>
        <w:rPr>
          <w:rFonts w:hint="cs"/>
          <w:rtl/>
        </w:rPr>
        <w:tab/>
        <w:t>בעניינו של הנאשם הוגשו מספר תסקירים מהם עולה, כי הנאשם לקח אחריות על מעשיו ועבר הליך שיקומי, הופנה למרכז לטיפול בהתמכרויות ושיתף פעולה בטיפול. מתסקיר שירות המבחן המשלים מיום 5.1.2015 עולה, כי הנאשם משתף פעולה, מוסר בדיקות שתן נקיות משרידי סם והצוות הטיפולי התרשם כי הנאשם מונע מתוך מוטיבציה לשינוי וממוכנות לניהול אורח חיים חיובי. שירות המבחן העריך, כי קיים סיכוי ממשי לשינוי ושיקום אורחות חייו של הנאשם.</w:t>
      </w:r>
    </w:p>
    <w:p w14:paraId="42052F62" w14:textId="77777777" w:rsidR="004708A2" w:rsidRDefault="008D1FCD">
      <w:pPr>
        <w:spacing w:line="360" w:lineRule="auto"/>
        <w:ind w:left="720"/>
        <w:jc w:val="both"/>
        <w:rPr>
          <w:rtl/>
        </w:rPr>
      </w:pPr>
      <w:r>
        <w:rPr>
          <w:rFonts w:hint="cs"/>
          <w:rtl/>
        </w:rPr>
        <w:t xml:space="preserve">נוכח האמור לעיל שירות המבחן המליץ על הטלת צו מבחן למשך 18 חודשים. </w:t>
      </w:r>
    </w:p>
    <w:p w14:paraId="5BF7AB93" w14:textId="77777777" w:rsidR="004708A2" w:rsidRDefault="004708A2">
      <w:pPr>
        <w:pStyle w:val="ListParagraph"/>
        <w:spacing w:line="360" w:lineRule="auto"/>
        <w:jc w:val="both"/>
      </w:pPr>
    </w:p>
    <w:p w14:paraId="477E1299" w14:textId="77777777" w:rsidR="004708A2" w:rsidRDefault="008D1FCD">
      <w:pPr>
        <w:spacing w:line="360" w:lineRule="auto"/>
        <w:ind w:left="720" w:hanging="720"/>
        <w:jc w:val="both"/>
      </w:pPr>
      <w:r>
        <w:rPr>
          <w:rFonts w:hint="cs"/>
          <w:rtl/>
        </w:rPr>
        <w:t>9.</w:t>
      </w:r>
      <w:r>
        <w:rPr>
          <w:rFonts w:hint="cs"/>
          <w:rtl/>
        </w:rPr>
        <w:tab/>
        <w:t xml:space="preserve">במקרה שבפניי, אני סבור שניתן לחרוג ממתחם הענישה המחמירה בעבירות סמים  מטעמים של שיקום, כאמור </w:t>
      </w:r>
      <w:hyperlink r:id="rId22" w:history="1">
        <w:r w:rsidR="007E7F6F" w:rsidRPr="007E7F6F">
          <w:rPr>
            <w:color w:val="0000FF"/>
            <w:u w:val="single"/>
            <w:rtl/>
          </w:rPr>
          <w:t>בסעיף 40ד</w:t>
        </w:r>
      </w:hyperlink>
      <w:r>
        <w:rPr>
          <w:rFonts w:hint="cs"/>
          <w:rtl/>
        </w:rPr>
        <w:t xml:space="preserve"> ל</w:t>
      </w:r>
      <w:hyperlink r:id="rId23" w:history="1">
        <w:r w:rsidRPr="008D1FCD">
          <w:rPr>
            <w:color w:val="0000FF"/>
            <w:u w:val="single"/>
            <w:rtl/>
          </w:rPr>
          <w:t>חוק העונשין</w:t>
        </w:r>
      </w:hyperlink>
      <w:r>
        <w:rPr>
          <w:rFonts w:hint="cs"/>
          <w:rtl/>
        </w:rPr>
        <w:t xml:space="preserve">, אשר קובע כי "הנאשם השתקם או כי יש סיכוי של ממש שישתקם".  בעניין זה יש להתייחס לאמור בהלכה הפסוקה, אשר נתנה משקל משמעותי לשיקולי השיקום המאפשר חריגה מגדר מתחם הענישה (ראו: </w:t>
      </w:r>
      <w:hyperlink r:id="rId24" w:history="1">
        <w:r w:rsidRPr="008D1FCD">
          <w:rPr>
            <w:color w:val="0000FF"/>
            <w:u w:val="single"/>
            <w:rtl/>
          </w:rPr>
          <w:t>ע"פ 7459/12</w:t>
        </w:r>
      </w:hyperlink>
      <w:r>
        <w:rPr>
          <w:rFonts w:hint="cs"/>
          <w:rtl/>
        </w:rPr>
        <w:t xml:space="preserve"> </w:t>
      </w:r>
      <w:r>
        <w:rPr>
          <w:rFonts w:hint="cs"/>
          <w:b/>
          <w:bCs/>
          <w:rtl/>
        </w:rPr>
        <w:t>שיבר נ' מדינת ישראל</w:t>
      </w:r>
      <w:r>
        <w:rPr>
          <w:rFonts w:hint="cs"/>
          <w:rtl/>
        </w:rPr>
        <w:t xml:space="preserve"> (פורסם בנבו, מיום 20.6.2013).  </w:t>
      </w:r>
    </w:p>
    <w:p w14:paraId="4A9C5C83" w14:textId="77777777" w:rsidR="004708A2" w:rsidRDefault="004708A2">
      <w:pPr>
        <w:pStyle w:val="ListParagraph"/>
        <w:spacing w:line="360" w:lineRule="auto"/>
        <w:jc w:val="both"/>
      </w:pPr>
    </w:p>
    <w:p w14:paraId="6B95DAC3" w14:textId="77777777" w:rsidR="004708A2" w:rsidRDefault="008D1FCD">
      <w:pPr>
        <w:spacing w:line="360" w:lineRule="auto"/>
        <w:ind w:left="720" w:hanging="720"/>
        <w:jc w:val="both"/>
        <w:rPr>
          <w:rtl/>
        </w:rPr>
      </w:pPr>
      <w:r>
        <w:rPr>
          <w:rFonts w:hint="cs"/>
          <w:rtl/>
        </w:rPr>
        <w:t>10.</w:t>
      </w:r>
      <w:r>
        <w:rPr>
          <w:rFonts w:hint="cs"/>
          <w:rtl/>
        </w:rPr>
        <w:tab/>
        <w:t xml:space="preserve">מצאתי כי השמת הנאשם מאחורי סורג ובריח עלולה לאיין את ההליך השיקומי או לפגוע בו באופן ניכר, יש לבכר את שיקולי השיקום על פני שיקולי הענישה האחרים (ראו: </w:t>
      </w:r>
      <w:hyperlink r:id="rId25" w:history="1">
        <w:r w:rsidRPr="008D1FCD">
          <w:rPr>
            <w:color w:val="0000FF"/>
            <w:u w:val="single"/>
            <w:rtl/>
          </w:rPr>
          <w:t>רע"פ 262/14</w:t>
        </w:r>
      </w:hyperlink>
      <w:r>
        <w:rPr>
          <w:rFonts w:hint="cs"/>
          <w:rtl/>
        </w:rPr>
        <w:t xml:space="preserve"> </w:t>
      </w:r>
      <w:r>
        <w:rPr>
          <w:rFonts w:hint="cs"/>
          <w:b/>
          <w:bCs/>
          <w:rtl/>
        </w:rPr>
        <w:t>נאשף נ' מדינת ישראל</w:t>
      </w:r>
      <w:r>
        <w:rPr>
          <w:rFonts w:hint="cs"/>
          <w:rtl/>
        </w:rPr>
        <w:t xml:space="preserve">, (פורסם בנבו, מיום 22.1.2014). </w:t>
      </w:r>
    </w:p>
    <w:p w14:paraId="6EF66E7C" w14:textId="77777777" w:rsidR="004708A2" w:rsidRDefault="004708A2">
      <w:pPr>
        <w:pStyle w:val="ListParagraph"/>
        <w:spacing w:line="360" w:lineRule="auto"/>
        <w:jc w:val="both"/>
        <w:rPr>
          <w:rtl/>
        </w:rPr>
      </w:pPr>
    </w:p>
    <w:p w14:paraId="7EF990CA" w14:textId="77777777" w:rsidR="004708A2" w:rsidRDefault="008D1FCD">
      <w:pPr>
        <w:spacing w:line="360" w:lineRule="auto"/>
        <w:ind w:left="720" w:hanging="720"/>
        <w:jc w:val="both"/>
      </w:pPr>
      <w:r>
        <w:rPr>
          <w:rFonts w:hint="cs"/>
          <w:rtl/>
        </w:rPr>
        <w:t>11.</w:t>
      </w:r>
      <w:r>
        <w:rPr>
          <w:rFonts w:hint="cs"/>
          <w:rtl/>
        </w:rPr>
        <w:tab/>
        <w:t xml:space="preserve">נתתי דעתי להודאות הנאשם ולכך שלחובתו הרשעה קודמת בגין עבירת אלימות בהיותו נער, מיום 31.12.2008. </w:t>
      </w:r>
    </w:p>
    <w:p w14:paraId="47349E6D" w14:textId="77777777" w:rsidR="004708A2" w:rsidRDefault="004708A2">
      <w:pPr>
        <w:pStyle w:val="ListParagraph"/>
        <w:spacing w:line="360" w:lineRule="auto"/>
        <w:jc w:val="both"/>
      </w:pPr>
    </w:p>
    <w:p w14:paraId="48AE9DFA" w14:textId="77777777" w:rsidR="004708A2" w:rsidRDefault="008D1FCD">
      <w:pPr>
        <w:spacing w:line="360" w:lineRule="auto"/>
        <w:ind w:left="720" w:hanging="720"/>
        <w:jc w:val="both"/>
        <w:rPr>
          <w:b/>
          <w:bCs/>
          <w:rtl/>
        </w:rPr>
      </w:pPr>
      <w:r>
        <w:rPr>
          <w:rFonts w:hint="cs"/>
          <w:b/>
          <w:bCs/>
          <w:rtl/>
        </w:rPr>
        <w:t>12.</w:t>
      </w:r>
      <w:r>
        <w:rPr>
          <w:rFonts w:hint="cs"/>
          <w:b/>
          <w:bCs/>
          <w:rtl/>
        </w:rPr>
        <w:tab/>
        <w:t>לאחר ששמעתי את טיעוני ב"כ המאשימה ואת טיעוני הנאשם, ובהתחשב בנסיבות, אני גוזר על הנאשם את העונשים הבאים:</w:t>
      </w:r>
    </w:p>
    <w:p w14:paraId="6DEF6C9D" w14:textId="77777777" w:rsidR="004708A2" w:rsidRDefault="008D1FCD">
      <w:pPr>
        <w:pStyle w:val="a6"/>
        <w:spacing w:line="360" w:lineRule="auto"/>
        <w:ind w:left="1440" w:hanging="720"/>
        <w:rPr>
          <w:rtl/>
        </w:rPr>
      </w:pPr>
      <w:r>
        <w:rPr>
          <w:rFonts w:hint="cs"/>
          <w:rtl/>
        </w:rPr>
        <w:t xml:space="preserve">א. </w:t>
      </w:r>
      <w:r>
        <w:rPr>
          <w:rFonts w:hint="cs"/>
          <w:rtl/>
        </w:rPr>
        <w:tab/>
        <w:t xml:space="preserve">אני מטיל על הנאשם מאסר לתקופה של   15  חודשים, מהם 3 חודשים בפועל והיתרה על תנאי, למשך 3  שנים החל מהיום, והתנאי שלא יעבור ויורשע על כל עבירה על </w:t>
      </w:r>
      <w:hyperlink r:id="rId26" w:history="1">
        <w:r w:rsidRPr="008D1FCD">
          <w:rPr>
            <w:color w:val="0000FF"/>
            <w:u w:val="single"/>
            <w:rtl/>
          </w:rPr>
          <w:t>פקודת הסמים המסוכנים</w:t>
        </w:r>
      </w:hyperlink>
      <w:r>
        <w:rPr>
          <w:rFonts w:hint="cs"/>
          <w:rtl/>
        </w:rPr>
        <w:t xml:space="preserve"> מסוג פשע.</w:t>
      </w:r>
    </w:p>
    <w:p w14:paraId="1526B95A" w14:textId="77777777" w:rsidR="004708A2" w:rsidRDefault="004708A2">
      <w:pPr>
        <w:pStyle w:val="a6"/>
        <w:ind w:left="1440" w:hanging="720"/>
        <w:rPr>
          <w:rtl/>
        </w:rPr>
      </w:pPr>
    </w:p>
    <w:p w14:paraId="09A15DFB" w14:textId="77777777" w:rsidR="004708A2" w:rsidRDefault="008D1FCD">
      <w:pPr>
        <w:pStyle w:val="2"/>
        <w:ind w:left="1440" w:hanging="720"/>
        <w:rPr>
          <w:szCs w:val="24"/>
          <w:rtl/>
        </w:rPr>
      </w:pPr>
      <w:r>
        <w:rPr>
          <w:rFonts w:hint="cs"/>
          <w:szCs w:val="24"/>
          <w:rtl/>
        </w:rPr>
        <w:tab/>
        <w:t>הנאשם ירצה את המאסר אותו הטלתי בעבודות שירות בהתאם לחוות הדעת שהתקבלה.</w:t>
      </w:r>
    </w:p>
    <w:p w14:paraId="0E9F2713" w14:textId="77777777" w:rsidR="004708A2" w:rsidRDefault="004708A2">
      <w:pPr>
        <w:pStyle w:val="2"/>
        <w:spacing w:line="240" w:lineRule="auto"/>
        <w:ind w:left="1440" w:hanging="720"/>
        <w:rPr>
          <w:szCs w:val="24"/>
          <w:rtl/>
        </w:rPr>
      </w:pPr>
    </w:p>
    <w:p w14:paraId="0AAAC2EC" w14:textId="77777777" w:rsidR="004708A2" w:rsidRDefault="008D1FCD">
      <w:pPr>
        <w:pStyle w:val="2"/>
        <w:ind w:left="1440" w:hanging="720"/>
        <w:rPr>
          <w:szCs w:val="24"/>
          <w:rtl/>
        </w:rPr>
      </w:pPr>
      <w:r>
        <w:rPr>
          <w:rFonts w:hint="cs"/>
          <w:szCs w:val="24"/>
          <w:rtl/>
        </w:rPr>
        <w:tab/>
        <w:t xml:space="preserve">תחילת עבודות השירות בתוך 60 יום מהיום על פי קביעה של הממונה על עבודות השירות. </w:t>
      </w:r>
    </w:p>
    <w:p w14:paraId="540481FE" w14:textId="77777777" w:rsidR="004708A2" w:rsidRDefault="004708A2">
      <w:pPr>
        <w:pStyle w:val="2"/>
        <w:spacing w:line="240" w:lineRule="auto"/>
        <w:ind w:left="1440" w:hanging="720"/>
        <w:rPr>
          <w:szCs w:val="24"/>
          <w:rtl/>
        </w:rPr>
      </w:pPr>
    </w:p>
    <w:p w14:paraId="4BFBD832" w14:textId="77777777" w:rsidR="004708A2" w:rsidRDefault="008D1FCD">
      <w:pPr>
        <w:pStyle w:val="2"/>
        <w:ind w:left="1440" w:hanging="720"/>
        <w:rPr>
          <w:szCs w:val="24"/>
          <w:rtl/>
        </w:rPr>
      </w:pPr>
      <w:r>
        <w:rPr>
          <w:rFonts w:hint="cs"/>
          <w:szCs w:val="24"/>
          <w:rtl/>
        </w:rPr>
        <w:tab/>
        <w:t xml:space="preserve">אני מתיר לממונה על עבודות השירות לשנות את מקום ההשמה על פי שיקול דעתו. </w:t>
      </w:r>
    </w:p>
    <w:p w14:paraId="17A1D7B9" w14:textId="77777777" w:rsidR="004708A2" w:rsidRDefault="008D1FCD">
      <w:pPr>
        <w:pStyle w:val="a6"/>
        <w:ind w:left="1440" w:hanging="720"/>
        <w:rPr>
          <w:rtl/>
        </w:rPr>
      </w:pPr>
      <w:r>
        <w:rPr>
          <w:rFonts w:hint="cs"/>
          <w:rtl/>
        </w:rPr>
        <w:tab/>
      </w:r>
    </w:p>
    <w:p w14:paraId="36DD9AB7" w14:textId="77777777" w:rsidR="004708A2" w:rsidRDefault="008D1FCD">
      <w:pPr>
        <w:pStyle w:val="gufpsak"/>
        <w:shd w:val="clear" w:color="auto" w:fill="FFFFFF"/>
        <w:bidi/>
        <w:spacing w:line="360" w:lineRule="auto"/>
        <w:ind w:left="1440" w:hanging="720"/>
        <w:jc w:val="both"/>
        <w:rPr>
          <w:rFonts w:cs="David"/>
          <w:rtl/>
        </w:rPr>
      </w:pPr>
      <w:r>
        <w:rPr>
          <w:rFonts w:cs="David" w:hint="cs"/>
          <w:rtl/>
        </w:rPr>
        <w:t>ב.</w:t>
      </w:r>
      <w:r>
        <w:rPr>
          <w:rFonts w:cs="David" w:hint="cs"/>
          <w:rtl/>
        </w:rPr>
        <w:tab/>
        <w:t xml:space="preserve">אני מטיל על הנאשם מאסר על תנאי של 6 חודשים, למשך 3 שנים החל מהיום, והתנאי שלא יעבור ויורשע על כל עבירה על פקודת הסמים מסוג עוון ו/או נהיגה בזמן פסילה. </w:t>
      </w:r>
    </w:p>
    <w:p w14:paraId="6E853565" w14:textId="77777777" w:rsidR="004708A2" w:rsidRDefault="008D1FCD">
      <w:pPr>
        <w:spacing w:line="360" w:lineRule="auto"/>
        <w:ind w:left="720"/>
        <w:jc w:val="both"/>
        <w:rPr>
          <w:rtl/>
        </w:rPr>
      </w:pPr>
      <w:r>
        <w:rPr>
          <w:rFonts w:hint="cs"/>
          <w:rtl/>
        </w:rPr>
        <w:t>ג.</w:t>
      </w:r>
      <w:r>
        <w:rPr>
          <w:rFonts w:hint="cs"/>
          <w:rtl/>
        </w:rPr>
        <w:tab/>
        <w:t xml:space="preserve">קנס בסך   10,000 ש"ח או  100  ימי מאסר תמורתו; </w:t>
      </w:r>
    </w:p>
    <w:p w14:paraId="075E5882" w14:textId="77777777" w:rsidR="004708A2" w:rsidRDefault="008D1FCD">
      <w:pPr>
        <w:spacing w:line="360" w:lineRule="auto"/>
        <w:ind w:left="1440"/>
        <w:jc w:val="both"/>
        <w:rPr>
          <w:rtl/>
        </w:rPr>
      </w:pPr>
      <w:r>
        <w:rPr>
          <w:rFonts w:hint="cs"/>
          <w:rtl/>
        </w:rPr>
        <w:t xml:space="preserve">הקנס ישולם  בתוך 30 ימים מהיום. </w:t>
      </w:r>
    </w:p>
    <w:p w14:paraId="49762D98" w14:textId="77777777" w:rsidR="004708A2" w:rsidRDefault="008D1FCD">
      <w:pPr>
        <w:spacing w:line="360" w:lineRule="auto"/>
        <w:ind w:left="1440"/>
        <w:jc w:val="both"/>
        <w:rPr>
          <w:rtl/>
        </w:rPr>
      </w:pPr>
      <w:r>
        <w:rPr>
          <w:rFonts w:hint="cs"/>
          <w:rtl/>
        </w:rPr>
        <w:t>אני מורה בזאת על קיזוז הפיקדון שקיים בתיק, באם קיים.</w:t>
      </w:r>
    </w:p>
    <w:p w14:paraId="55C00D2A" w14:textId="77777777" w:rsidR="004708A2" w:rsidRDefault="008D1FCD">
      <w:pPr>
        <w:spacing w:line="360" w:lineRule="auto"/>
        <w:ind w:left="1440"/>
        <w:jc w:val="both"/>
        <w:rPr>
          <w:rtl/>
        </w:rPr>
      </w:pPr>
      <w:r>
        <w:rPr>
          <w:rFonts w:hint="cs"/>
          <w:rtl/>
        </w:rPr>
        <w:t xml:space="preserve">המזכירות תבדוק אם אכן קיים פיקדון בתיק שמספרו </w:t>
      </w:r>
      <w:hyperlink r:id="rId27" w:history="1">
        <w:r w:rsidRPr="008D1FCD">
          <w:rPr>
            <w:color w:val="0000FF"/>
            <w:u w:val="single"/>
            <w:rtl/>
          </w:rPr>
          <w:t>מ"ת 14525-10-13</w:t>
        </w:r>
      </w:hyperlink>
      <w:r>
        <w:rPr>
          <w:rFonts w:hint="cs"/>
          <w:rtl/>
        </w:rPr>
        <w:t>.</w:t>
      </w:r>
    </w:p>
    <w:p w14:paraId="43C5E225" w14:textId="77777777" w:rsidR="004708A2" w:rsidRDefault="008D1FCD">
      <w:pPr>
        <w:spacing w:line="360" w:lineRule="auto"/>
        <w:ind w:left="1440"/>
        <w:jc w:val="both"/>
        <w:rPr>
          <w:rtl/>
        </w:rPr>
      </w:pPr>
      <w:r>
        <w:rPr>
          <w:rFonts w:hint="cs"/>
          <w:rtl/>
        </w:rPr>
        <w:t>אני מורה על חילוט כספי המוצג הנמצאים בידי משטרת ישראל בגובה שנותר לאחר קיזוז הפיקדון באופן שמלוא הקנס ישולם, דהיינו, 10,000 ₪.</w:t>
      </w:r>
    </w:p>
    <w:p w14:paraId="19816FC6" w14:textId="77777777" w:rsidR="004708A2" w:rsidRDefault="008D1FCD">
      <w:pPr>
        <w:spacing w:line="360" w:lineRule="auto"/>
        <w:ind w:left="1440"/>
        <w:jc w:val="both"/>
        <w:rPr>
          <w:rtl/>
        </w:rPr>
      </w:pPr>
      <w:r>
        <w:rPr>
          <w:rFonts w:hint="cs"/>
          <w:rtl/>
        </w:rPr>
        <w:t xml:space="preserve">יתרת הכסף המוחזק בידי משטרת ישראל תוחזר לנאשם בהתאם לנהלים. </w:t>
      </w:r>
    </w:p>
    <w:p w14:paraId="15A9B99A" w14:textId="77777777" w:rsidR="004708A2" w:rsidRDefault="004708A2">
      <w:pPr>
        <w:spacing w:line="360" w:lineRule="auto"/>
        <w:ind w:left="720"/>
        <w:jc w:val="both"/>
      </w:pPr>
    </w:p>
    <w:p w14:paraId="2B42050A" w14:textId="77777777" w:rsidR="004708A2" w:rsidRDefault="008D1FCD">
      <w:pPr>
        <w:pStyle w:val="2"/>
        <w:ind w:left="1440" w:hanging="720"/>
        <w:rPr>
          <w:szCs w:val="24"/>
          <w:rtl/>
        </w:rPr>
      </w:pPr>
      <w:r>
        <w:rPr>
          <w:rFonts w:hint="cs"/>
          <w:szCs w:val="24"/>
          <w:rtl/>
        </w:rPr>
        <w:t>ד.</w:t>
      </w:r>
      <w:r>
        <w:rPr>
          <w:rFonts w:hint="cs"/>
          <w:szCs w:val="24"/>
          <w:rtl/>
        </w:rPr>
        <w:tab/>
        <w:t xml:space="preserve">אני פוסל את הנאשם מלנהוג ברכב מנועי ו/או להחזיק ברישיון נהיגה למשך 60 ימים. </w:t>
      </w:r>
    </w:p>
    <w:p w14:paraId="1EC81E09" w14:textId="77777777" w:rsidR="004708A2" w:rsidRDefault="008D1FCD">
      <w:pPr>
        <w:pStyle w:val="2"/>
        <w:ind w:left="1440"/>
        <w:rPr>
          <w:szCs w:val="24"/>
          <w:rtl/>
        </w:rPr>
      </w:pPr>
      <w:r>
        <w:rPr>
          <w:rFonts w:hint="cs"/>
          <w:szCs w:val="24"/>
          <w:rtl/>
        </w:rPr>
        <w:t>הפסילה תחל בתאריך 22.2.15 בשעה 8:00.</w:t>
      </w:r>
    </w:p>
    <w:p w14:paraId="7E350B18" w14:textId="77777777" w:rsidR="004708A2" w:rsidRDefault="008D1FCD">
      <w:pPr>
        <w:pStyle w:val="2"/>
        <w:ind w:left="1440"/>
        <w:rPr>
          <w:szCs w:val="24"/>
          <w:rtl/>
        </w:rPr>
      </w:pPr>
      <w:r>
        <w:rPr>
          <w:rFonts w:hint="cs"/>
          <w:szCs w:val="24"/>
          <w:rtl/>
        </w:rPr>
        <w:t>הסברתי לנאשם כי מרוץ הפסילה יימנה רק מרגע הפקדת רישיון הנהיגה או תצהיר מתאים. יחד עם זאת, חל עליו איסור לנהוג ברכב מנועי החל מיום 22.2.15 שעה 8:00.</w:t>
      </w:r>
    </w:p>
    <w:p w14:paraId="53F79107" w14:textId="77777777" w:rsidR="004708A2" w:rsidRDefault="004708A2">
      <w:pPr>
        <w:pStyle w:val="2"/>
        <w:ind w:firstLine="360"/>
        <w:rPr>
          <w:szCs w:val="24"/>
          <w:rtl/>
        </w:rPr>
      </w:pPr>
    </w:p>
    <w:p w14:paraId="5B839661" w14:textId="77777777" w:rsidR="004708A2" w:rsidRDefault="008D1FCD">
      <w:pPr>
        <w:pStyle w:val="2"/>
        <w:rPr>
          <w:b/>
          <w:bCs/>
          <w:szCs w:val="24"/>
          <w:u w:val="single"/>
          <w:rtl/>
        </w:rPr>
      </w:pPr>
      <w:r>
        <w:rPr>
          <w:rFonts w:hint="cs"/>
          <w:b/>
          <w:bCs/>
          <w:szCs w:val="24"/>
          <w:u w:val="single"/>
          <w:rtl/>
        </w:rPr>
        <w:t>המזכירות תמציא העתק לממונה על עבודות שירות.</w:t>
      </w:r>
    </w:p>
    <w:p w14:paraId="622CE319" w14:textId="77777777" w:rsidR="004708A2" w:rsidRDefault="004708A2">
      <w:pPr>
        <w:spacing w:line="360" w:lineRule="auto"/>
        <w:rPr>
          <w:rtl/>
        </w:rPr>
      </w:pPr>
    </w:p>
    <w:p w14:paraId="6F112A71" w14:textId="77777777" w:rsidR="004708A2" w:rsidRDefault="008D1FCD">
      <w:pPr>
        <w:spacing w:line="360" w:lineRule="auto"/>
        <w:rPr>
          <w:rtl/>
        </w:rPr>
      </w:pPr>
      <w:r>
        <w:rPr>
          <w:rFonts w:hint="cs"/>
          <w:rtl/>
        </w:rPr>
        <w:t>המזכירות תשגר את ההחלטה בפקס למכון הרפואי לבטיחות בדרכים, אשר יבדוק את כשרותו של הנאשם לנהוג ברכב מנועי, פקס: 8633554 - 04.</w:t>
      </w:r>
    </w:p>
    <w:p w14:paraId="009634A1" w14:textId="77777777" w:rsidR="004708A2" w:rsidRDefault="004708A2">
      <w:pPr>
        <w:pStyle w:val="2"/>
        <w:rPr>
          <w:b/>
          <w:bCs/>
          <w:szCs w:val="24"/>
        </w:rPr>
      </w:pPr>
    </w:p>
    <w:p w14:paraId="1D6DB678" w14:textId="77777777" w:rsidR="004708A2" w:rsidRDefault="008D1FCD">
      <w:pPr>
        <w:pStyle w:val="2"/>
        <w:rPr>
          <w:b/>
          <w:bCs/>
          <w:szCs w:val="24"/>
          <w:rtl/>
        </w:rPr>
      </w:pPr>
      <w:r>
        <w:rPr>
          <w:rFonts w:hint="cs"/>
          <w:b/>
          <w:bCs/>
          <w:szCs w:val="24"/>
          <w:rtl/>
        </w:rPr>
        <w:t xml:space="preserve">מוצג </w:t>
      </w:r>
      <w:r>
        <w:rPr>
          <w:b/>
          <w:bCs/>
          <w:szCs w:val="24"/>
          <w:rtl/>
        </w:rPr>
        <w:t>–</w:t>
      </w:r>
      <w:r>
        <w:rPr>
          <w:rFonts w:hint="cs"/>
          <w:b/>
          <w:bCs/>
          <w:szCs w:val="24"/>
          <w:rtl/>
        </w:rPr>
        <w:t xml:space="preserve"> סמים להשמדה.</w:t>
      </w:r>
    </w:p>
    <w:p w14:paraId="14FDD2FE" w14:textId="77777777" w:rsidR="004708A2" w:rsidRDefault="004708A2">
      <w:pPr>
        <w:pStyle w:val="2"/>
        <w:rPr>
          <w:b/>
          <w:bCs/>
          <w:szCs w:val="24"/>
          <w:rtl/>
        </w:rPr>
      </w:pPr>
    </w:p>
    <w:p w14:paraId="68941E7E" w14:textId="77777777" w:rsidR="004708A2" w:rsidRDefault="008D1FCD">
      <w:pPr>
        <w:pStyle w:val="2"/>
        <w:rPr>
          <w:b/>
          <w:bCs/>
          <w:szCs w:val="24"/>
          <w:rtl/>
        </w:rPr>
      </w:pPr>
      <w:r>
        <w:rPr>
          <w:rFonts w:hint="cs"/>
          <w:b/>
          <w:bCs/>
          <w:szCs w:val="24"/>
          <w:rtl/>
        </w:rPr>
        <w:t>זכות ערעור תוך 45 יום מהיום בבית משפט המחוזי בנצרת.</w:t>
      </w:r>
    </w:p>
    <w:p w14:paraId="1562C385" w14:textId="77777777" w:rsidR="004708A2" w:rsidRDefault="004708A2">
      <w:pPr>
        <w:spacing w:line="360" w:lineRule="auto"/>
        <w:jc w:val="both"/>
        <w:rPr>
          <w:rtl/>
        </w:rPr>
      </w:pPr>
    </w:p>
    <w:p w14:paraId="08F38B27" w14:textId="77777777" w:rsidR="004708A2" w:rsidRDefault="004708A2">
      <w:pPr>
        <w:pStyle w:val="2"/>
        <w:rPr>
          <w:b/>
          <w:bCs/>
          <w:szCs w:val="24"/>
          <w:rtl/>
        </w:rPr>
      </w:pPr>
    </w:p>
    <w:p w14:paraId="022E15BD" w14:textId="77777777" w:rsidR="004708A2" w:rsidRDefault="008D1FCD">
      <w:pPr>
        <w:pStyle w:val="2"/>
        <w:rPr>
          <w:b/>
          <w:bCs/>
          <w:sz w:val="6"/>
          <w:szCs w:val="6"/>
          <w:rtl/>
        </w:rPr>
      </w:pPr>
      <w:r>
        <w:rPr>
          <w:b/>
          <w:bCs/>
          <w:sz w:val="6"/>
          <w:szCs w:val="6"/>
          <w:rtl/>
        </w:rPr>
        <w:t>&lt;#4#&gt;</w:t>
      </w:r>
    </w:p>
    <w:p w14:paraId="3D049A79" w14:textId="77777777" w:rsidR="004708A2" w:rsidRDefault="004708A2">
      <w:pPr>
        <w:jc w:val="right"/>
        <w:rPr>
          <w:rtl/>
        </w:rPr>
      </w:pPr>
    </w:p>
    <w:p w14:paraId="74A6F13E" w14:textId="77777777" w:rsidR="004708A2" w:rsidRDefault="008D1FCD">
      <w:pPr>
        <w:jc w:val="right"/>
        <w:rPr>
          <w:rtl/>
        </w:rPr>
      </w:pPr>
      <w:r>
        <w:rPr>
          <w:b/>
          <w:bCs/>
          <w:rtl/>
        </w:rPr>
        <w:t xml:space="preserve">ניתנה והודעה היום א' שבט תשע"ה, 21/01/2015 במעמד הנוכחים. </w:t>
      </w:r>
    </w:p>
    <w:p w14:paraId="4381CDD6" w14:textId="77777777" w:rsidR="004708A2" w:rsidRDefault="004708A2">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4708A2" w14:paraId="597AD15B" w14:textId="77777777">
        <w:trPr>
          <w:trHeight w:val="364"/>
          <w:jc w:val="right"/>
        </w:trPr>
        <w:tc>
          <w:tcPr>
            <w:tcW w:w="3708" w:type="dxa"/>
          </w:tcPr>
          <w:p w14:paraId="65C25D63" w14:textId="77777777" w:rsidR="004708A2" w:rsidRDefault="004708A2">
            <w:pPr>
              <w:jc w:val="center"/>
              <w:rPr>
                <w:rFonts w:ascii="Times New Roman" w:eastAsia="Times New Roman" w:hAnsi="Times New Roman" w:cs="Times New Roman"/>
              </w:rPr>
            </w:pPr>
          </w:p>
          <w:p w14:paraId="6C858637" w14:textId="77777777" w:rsidR="004708A2" w:rsidRDefault="004708A2">
            <w:pPr>
              <w:jc w:val="center"/>
              <w:rPr>
                <w:rFonts w:ascii="Times New Roman" w:eastAsia="Times New Roman" w:hAnsi="Times New Roman" w:cs="Times New Roman"/>
                <w:rtl/>
              </w:rPr>
            </w:pPr>
          </w:p>
        </w:tc>
      </w:tr>
      <w:tr w:rsidR="004708A2" w14:paraId="43527BCA" w14:textId="77777777">
        <w:trPr>
          <w:trHeight w:val="415"/>
          <w:jc w:val="right"/>
        </w:trPr>
        <w:tc>
          <w:tcPr>
            <w:tcW w:w="3708" w:type="dxa"/>
          </w:tcPr>
          <w:p w14:paraId="57BE871E" w14:textId="77777777" w:rsidR="004708A2" w:rsidRDefault="008D1FCD">
            <w:pPr>
              <w:jc w:val="center"/>
              <w:rPr>
                <w:rFonts w:ascii="Times New Roman" w:eastAsia="Times New Roman" w:hAnsi="Times New Roman"/>
                <w:b/>
                <w:bCs/>
                <w:rtl/>
              </w:rPr>
            </w:pPr>
            <w:r>
              <w:rPr>
                <w:rFonts w:ascii="Times New Roman" w:eastAsia="Times New Roman" w:hAnsi="Times New Roman" w:hint="cs"/>
                <w:b/>
                <w:bCs/>
                <w:rtl/>
              </w:rPr>
              <w:t>דורון פורת</w:t>
            </w:r>
            <w:r>
              <w:rPr>
                <w:rFonts w:ascii="Times New Roman" w:eastAsia="Times New Roman" w:hAnsi="Times New Roman" w:cs="Times New Roman" w:hint="cs"/>
                <w:rtl/>
              </w:rPr>
              <w:t>,</w:t>
            </w:r>
            <w:r>
              <w:rPr>
                <w:rFonts w:ascii="Times New Roman" w:eastAsia="Times New Roman" w:hAnsi="Times New Roman" w:hint="cs"/>
                <w:b/>
                <w:bCs/>
                <w:rtl/>
              </w:rPr>
              <w:t xml:space="preserve"> שופט </w:t>
            </w:r>
            <w:r>
              <w:rPr>
                <w:rFonts w:ascii="Times New Roman" w:eastAsia="Times New Roman" w:hAnsi="Times New Roman" w:cs="Times New Roman" w:hint="cs"/>
                <w:rtl/>
              </w:rPr>
              <w:br/>
            </w:r>
            <w:r>
              <w:rPr>
                <w:rFonts w:ascii="Times New Roman" w:eastAsia="Times New Roman" w:hAnsi="Times New Roman" w:hint="cs"/>
                <w:b/>
                <w:bCs/>
                <w:rtl/>
              </w:rPr>
              <w:t>סגן נשיא</w:t>
            </w:r>
          </w:p>
        </w:tc>
      </w:tr>
    </w:tbl>
    <w:p w14:paraId="4E63D1D1" w14:textId="77777777" w:rsidR="004708A2" w:rsidRDefault="004708A2">
      <w:pPr>
        <w:jc w:val="right"/>
        <w:rPr>
          <w:rtl/>
        </w:rPr>
      </w:pPr>
    </w:p>
    <w:p w14:paraId="66752C2B" w14:textId="77777777" w:rsidR="004708A2" w:rsidRDefault="004708A2">
      <w:pPr>
        <w:jc w:val="center"/>
        <w:rPr>
          <w:rtl/>
        </w:rPr>
      </w:pPr>
    </w:p>
    <w:p w14:paraId="382C6761" w14:textId="77777777" w:rsidR="004708A2" w:rsidRPr="008D1FCD" w:rsidRDefault="008D1FCD">
      <w:pPr>
        <w:pStyle w:val="2"/>
        <w:jc w:val="center"/>
        <w:rPr>
          <w:rFonts w:ascii="David" w:hAnsi="David"/>
          <w:color w:val="FFFFFF"/>
          <w:sz w:val="2"/>
          <w:szCs w:val="2"/>
          <w:rtl/>
        </w:rPr>
      </w:pPr>
      <w:r w:rsidRPr="008D1FCD">
        <w:rPr>
          <w:rFonts w:ascii="David" w:hAnsi="David"/>
          <w:color w:val="FFFFFF"/>
          <w:sz w:val="2"/>
          <w:szCs w:val="2"/>
          <w:rtl/>
        </w:rPr>
        <w:t>5129371</w:t>
      </w:r>
    </w:p>
    <w:p w14:paraId="1A86D473" w14:textId="77777777" w:rsidR="004708A2" w:rsidRPr="008D1FCD" w:rsidRDefault="008D1FCD">
      <w:pPr>
        <w:pStyle w:val="2"/>
        <w:rPr>
          <w:rFonts w:ascii="David" w:hAnsi="David"/>
          <w:color w:val="FFFFFF"/>
          <w:sz w:val="2"/>
          <w:szCs w:val="2"/>
          <w:rtl/>
        </w:rPr>
      </w:pPr>
      <w:r w:rsidRPr="008D1FCD">
        <w:rPr>
          <w:rFonts w:ascii="David" w:hAnsi="David"/>
          <w:color w:val="FFFFFF"/>
          <w:sz w:val="2"/>
          <w:szCs w:val="2"/>
          <w:rtl/>
        </w:rPr>
        <w:t xml:space="preserve">54678313 </w:t>
      </w:r>
    </w:p>
    <w:p w14:paraId="4190FBF2" w14:textId="77777777" w:rsidR="004708A2" w:rsidRDefault="004708A2">
      <w:pPr>
        <w:pStyle w:val="ListParagraph"/>
        <w:spacing w:line="360" w:lineRule="auto"/>
        <w:jc w:val="both"/>
        <w:rPr>
          <w:rtl/>
        </w:rPr>
      </w:pPr>
    </w:p>
    <w:p w14:paraId="721E4748" w14:textId="77777777" w:rsidR="004708A2" w:rsidRDefault="004708A2">
      <w:pPr>
        <w:spacing w:line="360" w:lineRule="auto"/>
        <w:jc w:val="both"/>
        <w:rPr>
          <w:rtl/>
        </w:rPr>
      </w:pPr>
    </w:p>
    <w:p w14:paraId="0EA1833B" w14:textId="77777777" w:rsidR="004708A2" w:rsidRDefault="004708A2">
      <w:pPr>
        <w:spacing w:line="360" w:lineRule="auto"/>
        <w:jc w:val="both"/>
        <w:rPr>
          <w:rFonts w:ascii="Arial" w:hAnsi="Arial"/>
          <w:rtl/>
        </w:rPr>
      </w:pPr>
    </w:p>
    <w:p w14:paraId="65341B77" w14:textId="77777777" w:rsidR="004708A2" w:rsidRPr="007E7F6F" w:rsidRDefault="007E7F6F">
      <w:pPr>
        <w:spacing w:line="360" w:lineRule="auto"/>
        <w:jc w:val="both"/>
        <w:rPr>
          <w:color w:val="FFFFFF"/>
          <w:sz w:val="2"/>
          <w:szCs w:val="2"/>
          <w:rtl/>
        </w:rPr>
      </w:pPr>
      <w:bookmarkStart w:id="8" w:name="_GoBack"/>
      <w:bookmarkEnd w:id="8"/>
      <w:r w:rsidRPr="007E7F6F">
        <w:rPr>
          <w:color w:val="FFFFFF"/>
          <w:sz w:val="2"/>
          <w:szCs w:val="2"/>
          <w:rtl/>
        </w:rPr>
        <w:t>5129371</w:t>
      </w:r>
    </w:p>
    <w:p w14:paraId="1B0E8471" w14:textId="77777777" w:rsidR="008D1FCD" w:rsidRPr="007E7F6F" w:rsidRDefault="007E7F6F" w:rsidP="008D1FCD">
      <w:pPr>
        <w:keepNext/>
        <w:rPr>
          <w:color w:val="FFFFFF"/>
          <w:sz w:val="2"/>
          <w:szCs w:val="2"/>
          <w:rtl/>
        </w:rPr>
      </w:pPr>
      <w:r w:rsidRPr="007E7F6F">
        <w:rPr>
          <w:color w:val="FFFFFF"/>
          <w:sz w:val="2"/>
          <w:szCs w:val="2"/>
          <w:rtl/>
        </w:rPr>
        <w:t>54678313</w:t>
      </w:r>
    </w:p>
    <w:p w14:paraId="16FB9F39" w14:textId="77777777" w:rsidR="008D1FCD" w:rsidRDefault="008D1FCD" w:rsidP="008D1FCD">
      <w:pPr>
        <w:rPr>
          <w:rtl/>
        </w:rPr>
      </w:pPr>
    </w:p>
    <w:p w14:paraId="4E17FBB6" w14:textId="77777777" w:rsidR="008D1FCD" w:rsidRDefault="008D1FCD" w:rsidP="008D1FCD">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09206331" w14:textId="77777777" w:rsidR="007E7F6F" w:rsidRPr="007E7F6F" w:rsidRDefault="007E7F6F" w:rsidP="007E7F6F">
      <w:pPr>
        <w:keepNext/>
        <w:rPr>
          <w:color w:val="000000"/>
          <w:sz w:val="22"/>
          <w:szCs w:val="22"/>
          <w:rtl/>
        </w:rPr>
      </w:pPr>
    </w:p>
    <w:p w14:paraId="3A89FBC2" w14:textId="77777777" w:rsidR="007E7F6F" w:rsidRPr="007E7F6F" w:rsidRDefault="007E7F6F" w:rsidP="007E7F6F">
      <w:pPr>
        <w:keepNext/>
        <w:rPr>
          <w:color w:val="000000"/>
          <w:sz w:val="22"/>
          <w:szCs w:val="22"/>
          <w:rtl/>
        </w:rPr>
      </w:pPr>
      <w:r w:rsidRPr="007E7F6F">
        <w:rPr>
          <w:color w:val="000000"/>
          <w:sz w:val="22"/>
          <w:szCs w:val="22"/>
          <w:rtl/>
        </w:rPr>
        <w:t>דורון פורת 54678313-/</w:t>
      </w:r>
    </w:p>
    <w:p w14:paraId="5A8C1AB7" w14:textId="77777777" w:rsidR="004708A2" w:rsidRPr="008D1FCD" w:rsidRDefault="007E7F6F" w:rsidP="007E7F6F">
      <w:pPr>
        <w:rPr>
          <w:color w:val="0000FF"/>
          <w:u w:val="single"/>
        </w:rPr>
      </w:pPr>
      <w:r w:rsidRPr="007E7F6F">
        <w:rPr>
          <w:color w:val="000000"/>
          <w:u w:val="single"/>
          <w:rtl/>
        </w:rPr>
        <w:t>נוסח מסמך זה כפוף לשינויי ניסוח ועריכה</w:t>
      </w:r>
      <w:r w:rsidR="00473845">
        <w:rPr>
          <w:rFonts w:hint="cs"/>
          <w:color w:val="0000FF"/>
          <w:u w:val="single"/>
          <w:rtl/>
        </w:rPr>
        <w:t xml:space="preserve">  </w:t>
      </w:r>
    </w:p>
    <w:sectPr w:rsidR="004708A2" w:rsidRPr="008D1FCD" w:rsidSect="007E7F6F">
      <w:headerReference w:type="even" r:id="rId29"/>
      <w:headerReference w:type="default" r:id="rId30"/>
      <w:footerReference w:type="even" r:id="rId31"/>
      <w:footerReference w:type="default" r:id="rId3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281EC" w14:textId="77777777" w:rsidR="00747F34" w:rsidRPr="00B55007" w:rsidRDefault="00747F34">
      <w:pPr>
        <w:rPr>
          <w:rFonts w:cs="Arial"/>
          <w:szCs w:val="20"/>
        </w:rPr>
      </w:pPr>
      <w:r>
        <w:separator/>
      </w:r>
    </w:p>
  </w:endnote>
  <w:endnote w:type="continuationSeparator" w:id="0">
    <w:p w14:paraId="2278FBDB" w14:textId="77777777" w:rsidR="00747F34" w:rsidRPr="00B55007" w:rsidRDefault="00747F3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376C5" w14:textId="77777777" w:rsidR="007E7F6F" w:rsidRDefault="007E7F6F" w:rsidP="007E7F6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D7018FD" w14:textId="77777777" w:rsidR="004708A2" w:rsidRPr="007E7F6F" w:rsidRDefault="007E7F6F" w:rsidP="007E7F6F">
    <w:pPr>
      <w:pStyle w:val="a4"/>
      <w:pBdr>
        <w:top w:val="single" w:sz="4" w:space="1" w:color="auto"/>
        <w:between w:val="single" w:sz="4" w:space="0" w:color="auto"/>
      </w:pBdr>
      <w:spacing w:after="60"/>
      <w:jc w:val="center"/>
      <w:rPr>
        <w:rFonts w:ascii="FrankRuehl" w:hAnsi="FrankRuehl" w:cs="FrankRuehl"/>
        <w:color w:val="000000"/>
      </w:rPr>
    </w:pPr>
    <w:r w:rsidRPr="007E7F6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584AA" w14:textId="77777777" w:rsidR="007E7F6F" w:rsidRDefault="007E7F6F" w:rsidP="007E7F6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12007">
      <w:rPr>
        <w:rFonts w:ascii="FrankRuehl" w:hAnsi="FrankRuehl" w:cs="FrankRuehl"/>
        <w:noProof/>
        <w:rtl/>
      </w:rPr>
      <w:t>1</w:t>
    </w:r>
    <w:r>
      <w:rPr>
        <w:rFonts w:ascii="FrankRuehl" w:hAnsi="FrankRuehl" w:cs="FrankRuehl"/>
        <w:rtl/>
      </w:rPr>
      <w:fldChar w:fldCharType="end"/>
    </w:r>
  </w:p>
  <w:p w14:paraId="432F6C16" w14:textId="77777777" w:rsidR="004708A2" w:rsidRPr="007E7F6F" w:rsidRDefault="007E7F6F" w:rsidP="007E7F6F">
    <w:pPr>
      <w:pStyle w:val="a4"/>
      <w:pBdr>
        <w:top w:val="single" w:sz="4" w:space="1" w:color="auto"/>
        <w:between w:val="single" w:sz="4" w:space="0" w:color="auto"/>
      </w:pBdr>
      <w:spacing w:after="60"/>
      <w:jc w:val="center"/>
      <w:rPr>
        <w:rFonts w:ascii="FrankRuehl" w:hAnsi="FrankRuehl" w:cs="FrankRuehl"/>
        <w:color w:val="000000"/>
      </w:rPr>
    </w:pPr>
    <w:r w:rsidRPr="007E7F6F">
      <w:rPr>
        <w:rFonts w:ascii="FrankRuehl" w:hAnsi="FrankRuehl" w:cs="FrankRuehl"/>
        <w:color w:val="000000"/>
      </w:rPr>
      <w:pict w14:anchorId="67DD90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C7D58" w14:textId="77777777" w:rsidR="00747F34" w:rsidRPr="00B55007" w:rsidRDefault="00747F34">
      <w:pPr>
        <w:rPr>
          <w:rFonts w:cs="Arial"/>
          <w:szCs w:val="20"/>
        </w:rPr>
      </w:pPr>
      <w:r>
        <w:separator/>
      </w:r>
    </w:p>
  </w:footnote>
  <w:footnote w:type="continuationSeparator" w:id="0">
    <w:p w14:paraId="614D77E0" w14:textId="77777777" w:rsidR="00747F34" w:rsidRPr="00B55007" w:rsidRDefault="00747F3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1EA36" w14:textId="77777777" w:rsidR="008D1FCD" w:rsidRPr="007E7F6F" w:rsidRDefault="007E7F6F" w:rsidP="007E7F6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14471-10-13</w:t>
    </w:r>
    <w:r>
      <w:rPr>
        <w:color w:val="000000"/>
        <w:sz w:val="22"/>
        <w:szCs w:val="22"/>
        <w:rtl/>
      </w:rPr>
      <w:tab/>
      <w:t xml:space="preserve"> מדינת ישראל נ' נס טימסיט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5C15C" w14:textId="77777777" w:rsidR="008D1FCD" w:rsidRPr="007E7F6F" w:rsidRDefault="007E7F6F" w:rsidP="007E7F6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14471-10-13</w:t>
    </w:r>
    <w:r>
      <w:rPr>
        <w:color w:val="000000"/>
        <w:sz w:val="22"/>
        <w:szCs w:val="22"/>
        <w:rtl/>
      </w:rPr>
      <w:tab/>
      <w:t xml:space="preserve"> מדינת ישראל נ' נס טימסיט</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708A2"/>
    <w:rsid w:val="00345CE8"/>
    <w:rsid w:val="004708A2"/>
    <w:rsid w:val="00473845"/>
    <w:rsid w:val="00491130"/>
    <w:rsid w:val="005664C0"/>
    <w:rsid w:val="006705AF"/>
    <w:rsid w:val="00744DFF"/>
    <w:rsid w:val="00747F34"/>
    <w:rsid w:val="007E7F6F"/>
    <w:rsid w:val="008D1FCD"/>
    <w:rsid w:val="00A75E12"/>
    <w:rsid w:val="00B12007"/>
    <w:rsid w:val="00D04F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37E8FD4"/>
  <w15:chartTrackingRefBased/>
  <w15:docId w15:val="{798FD5E4-6252-40E9-9EC8-4D2B430F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08A2"/>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708A2"/>
    <w:pPr>
      <w:tabs>
        <w:tab w:val="center" w:pos="4153"/>
        <w:tab w:val="right" w:pos="8306"/>
      </w:tabs>
    </w:pPr>
  </w:style>
  <w:style w:type="paragraph" w:styleId="a4">
    <w:name w:val="footer"/>
    <w:basedOn w:val="a"/>
    <w:rsid w:val="004708A2"/>
    <w:pPr>
      <w:tabs>
        <w:tab w:val="center" w:pos="4153"/>
        <w:tab w:val="right" w:pos="8306"/>
      </w:tabs>
    </w:pPr>
  </w:style>
  <w:style w:type="character" w:styleId="a5">
    <w:name w:val="page number"/>
    <w:basedOn w:val="a0"/>
    <w:rsid w:val="004708A2"/>
  </w:style>
  <w:style w:type="paragraph" w:customStyle="1" w:styleId="12">
    <w:name w:val="רגיל + ‏12 נק'"/>
    <w:aliases w:val="מיושר לשני הצדדים,מרווח בין שורות:  שורה וחצי"/>
    <w:basedOn w:val="a"/>
    <w:rsid w:val="004708A2"/>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4708A2"/>
    <w:pPr>
      <w:spacing w:line="360" w:lineRule="auto"/>
      <w:jc w:val="both"/>
    </w:pPr>
    <w:rPr>
      <w:rFonts w:ascii="Times New Roman" w:eastAsia="Times New Roman" w:hAnsi="Times New Roman"/>
    </w:rPr>
  </w:style>
  <w:style w:type="paragraph" w:styleId="a6">
    <w:name w:val="Body Text"/>
    <w:basedOn w:val="a"/>
    <w:link w:val="a7"/>
    <w:rsid w:val="004708A2"/>
    <w:pPr>
      <w:spacing w:after="120"/>
    </w:pPr>
    <w:rPr>
      <w:rFonts w:ascii="Times New Roman" w:eastAsia="Times New Roman" w:hAnsi="Times New Roman"/>
      <w:noProof/>
    </w:rPr>
  </w:style>
  <w:style w:type="character" w:customStyle="1" w:styleId="a7">
    <w:name w:val="גוף טקסט תו"/>
    <w:link w:val="a6"/>
    <w:rsid w:val="004708A2"/>
    <w:rPr>
      <w:rFonts w:cs="David"/>
      <w:noProof/>
      <w:sz w:val="24"/>
      <w:szCs w:val="24"/>
      <w:lang w:val="en-US" w:eastAsia="en-US" w:bidi="he-IL"/>
    </w:rPr>
  </w:style>
  <w:style w:type="paragraph" w:styleId="2">
    <w:name w:val="Body Text 2"/>
    <w:basedOn w:val="a"/>
    <w:link w:val="20"/>
    <w:rsid w:val="004708A2"/>
    <w:pPr>
      <w:snapToGrid w:val="0"/>
      <w:spacing w:line="360" w:lineRule="auto"/>
      <w:jc w:val="both"/>
    </w:pPr>
    <w:rPr>
      <w:rFonts w:ascii="Times New Roman" w:eastAsia="Times New Roman" w:hAnsi="Times New Roman"/>
      <w:szCs w:val="28"/>
      <w:lang w:eastAsia="he-IL"/>
    </w:rPr>
  </w:style>
  <w:style w:type="character" w:customStyle="1" w:styleId="20">
    <w:name w:val="גוף טקסט 2 תו"/>
    <w:link w:val="2"/>
    <w:rsid w:val="004708A2"/>
    <w:rPr>
      <w:rFonts w:cs="David"/>
      <w:sz w:val="24"/>
      <w:szCs w:val="28"/>
      <w:lang w:val="en-US" w:eastAsia="he-IL" w:bidi="he-IL"/>
    </w:rPr>
  </w:style>
  <w:style w:type="paragraph" w:customStyle="1" w:styleId="ListParagraph">
    <w:name w:val="List Paragraph"/>
    <w:basedOn w:val="a"/>
    <w:rsid w:val="004708A2"/>
    <w:pPr>
      <w:ind w:left="720"/>
      <w:contextualSpacing/>
    </w:pPr>
    <w:rPr>
      <w:rFonts w:ascii="Times New Roman" w:eastAsia="Times New Roman" w:hAnsi="Times New Roman"/>
      <w:noProof/>
    </w:rPr>
  </w:style>
  <w:style w:type="paragraph" w:customStyle="1" w:styleId="gufpsak">
    <w:name w:val="gufpsak"/>
    <w:basedOn w:val="a"/>
    <w:rsid w:val="004708A2"/>
    <w:pPr>
      <w:bidi w:val="0"/>
      <w:spacing w:before="100" w:beforeAutospacing="1" w:after="100" w:afterAutospacing="1"/>
    </w:pPr>
    <w:rPr>
      <w:rFonts w:ascii="Times New Roman" w:eastAsia="Times New Roman" w:hAnsi="Times New Roman" w:cs="Times New Roman"/>
    </w:rPr>
  </w:style>
  <w:style w:type="character" w:styleId="a8">
    <w:name w:val="line number"/>
    <w:basedOn w:val="a0"/>
    <w:rsid w:val="004708A2"/>
  </w:style>
  <w:style w:type="character" w:styleId="Hyperlink">
    <w:name w:val="Hyperlink"/>
    <w:rsid w:val="008D1F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law/4216" TargetMode="External"/><Relationship Id="rId26" Type="http://schemas.openxmlformats.org/officeDocument/2006/relationships/hyperlink" Target="http://www.nevo.co.il/law/4216" TargetMode="External"/><Relationship Id="rId3" Type="http://schemas.openxmlformats.org/officeDocument/2006/relationships/webSettings" Target="webSettings.xml"/><Relationship Id="rId21" Type="http://schemas.openxmlformats.org/officeDocument/2006/relationships/hyperlink" Target="http://www.nevo.co.il/case/161892" TargetMode="External"/><Relationship Id="rId34" Type="http://schemas.openxmlformats.org/officeDocument/2006/relationships/theme" Target="theme/theme1.xml"/><Relationship Id="rId7" Type="http://schemas.openxmlformats.org/officeDocument/2006/relationships/hyperlink" Target="http://www.nevo.co.il/law/70301/40d" TargetMode="External"/><Relationship Id="rId12" Type="http://schemas.openxmlformats.org/officeDocument/2006/relationships/hyperlink" Target="http://www.nevo.co.il/law/4216/13"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11269647"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4216/13" TargetMode="External"/><Relationship Id="rId20" Type="http://schemas.openxmlformats.org/officeDocument/2006/relationships/hyperlink" Target="http://www.nevo.co.il/law/4216/7.a.;7.c"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7.c" TargetMode="External"/><Relationship Id="rId24" Type="http://schemas.openxmlformats.org/officeDocument/2006/relationships/hyperlink" Target="http://www.nevo.co.il/case/5601394"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7.a." TargetMode="External"/><Relationship Id="rId19" Type="http://schemas.openxmlformats.org/officeDocument/2006/relationships/hyperlink" Target="http://www.nevo.co.il/law/4216/7.a.;7.c"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law/70301/40d" TargetMode="External"/><Relationship Id="rId27" Type="http://schemas.openxmlformats.org/officeDocument/2006/relationships/hyperlink" Target="http://www.nevo.co.il/case/8266477" TargetMode="External"/><Relationship Id="rId30" Type="http://schemas.openxmlformats.org/officeDocument/2006/relationships/header" Target="header2.xml"/><Relationship Id="rId8" Type="http://schemas.openxmlformats.org/officeDocument/2006/relationships/hyperlink" Target="http://www.nevo.co.il/law/70301/499.a.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1213</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7268</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3997815</vt:i4>
      </vt:variant>
      <vt:variant>
        <vt:i4>63</vt:i4>
      </vt:variant>
      <vt:variant>
        <vt:i4>0</vt:i4>
      </vt:variant>
      <vt:variant>
        <vt:i4>5</vt:i4>
      </vt:variant>
      <vt:variant>
        <vt:lpwstr>http://www.nevo.co.il/case/8266477</vt:lpwstr>
      </vt:variant>
      <vt:variant>
        <vt:lpwstr/>
      </vt:variant>
      <vt:variant>
        <vt:i4>8257637</vt:i4>
      </vt:variant>
      <vt:variant>
        <vt:i4>60</vt:i4>
      </vt:variant>
      <vt:variant>
        <vt:i4>0</vt:i4>
      </vt:variant>
      <vt:variant>
        <vt:i4>5</vt:i4>
      </vt:variant>
      <vt:variant>
        <vt:lpwstr>http://www.nevo.co.il/law/4216</vt:lpwstr>
      </vt:variant>
      <vt:variant>
        <vt:lpwstr/>
      </vt:variant>
      <vt:variant>
        <vt:i4>4063349</vt:i4>
      </vt:variant>
      <vt:variant>
        <vt:i4>57</vt:i4>
      </vt:variant>
      <vt:variant>
        <vt:i4>0</vt:i4>
      </vt:variant>
      <vt:variant>
        <vt:i4>5</vt:i4>
      </vt:variant>
      <vt:variant>
        <vt:lpwstr>http://www.nevo.co.il/case/11269647</vt:lpwstr>
      </vt:variant>
      <vt:variant>
        <vt:lpwstr/>
      </vt:variant>
      <vt:variant>
        <vt:i4>3276922</vt:i4>
      </vt:variant>
      <vt:variant>
        <vt:i4>54</vt:i4>
      </vt:variant>
      <vt:variant>
        <vt:i4>0</vt:i4>
      </vt:variant>
      <vt:variant>
        <vt:i4>5</vt:i4>
      </vt:variant>
      <vt:variant>
        <vt:lpwstr>http://www.nevo.co.il/case/5601394</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http://www.nevo.co.il/law/70301/40d</vt:lpwstr>
      </vt:variant>
      <vt:variant>
        <vt:lpwstr/>
      </vt:variant>
      <vt:variant>
        <vt:i4>589898</vt:i4>
      </vt:variant>
      <vt:variant>
        <vt:i4>45</vt:i4>
      </vt:variant>
      <vt:variant>
        <vt:i4>0</vt:i4>
      </vt:variant>
      <vt:variant>
        <vt:i4>5</vt:i4>
      </vt:variant>
      <vt:variant>
        <vt:lpwstr>http://www.nevo.co.il/case/161892</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7077945</vt:i4>
      </vt:variant>
      <vt:variant>
        <vt:i4>6</vt:i4>
      </vt:variant>
      <vt:variant>
        <vt:i4>0</vt:i4>
      </vt:variant>
      <vt:variant>
        <vt:i4>5</vt:i4>
      </vt:variant>
      <vt:variant>
        <vt:lpwstr>http://www.nevo.co.il/law/70301/499.a.1</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2025-04-22T22:08:00Z</dcterms:created>
  <dcterms:modified xsi:type="dcterms:W3CDTF">2025-04-22T22:08:00Z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14471</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נס טימסיט</vt:lpwstr>
  </property>
  <property fmtid="{D5CDD505-2E9C-101B-9397-08002B2CF9AE}" pid="10" name="LAWYER">
    <vt:lpwstr>תומר בן חמו;אילן מזרחי</vt:lpwstr>
  </property>
  <property fmtid="{D5CDD505-2E9C-101B-9397-08002B2CF9AE}" pid="11" name="JUDGE">
    <vt:lpwstr>דורון פורת</vt:lpwstr>
  </property>
  <property fmtid="{D5CDD505-2E9C-101B-9397-08002B2CF9AE}" pid="12" name="CITY">
    <vt:lpwstr>טב'</vt:lpwstr>
  </property>
  <property fmtid="{D5CDD505-2E9C-101B-9397-08002B2CF9AE}" pid="13" name="DATE">
    <vt:lpwstr>20150121</vt:lpwstr>
  </property>
  <property fmtid="{D5CDD505-2E9C-101B-9397-08002B2CF9AE}" pid="14" name="TYPE_N_DATE">
    <vt:lpwstr>38020150121</vt:lpwstr>
  </property>
  <property fmtid="{D5CDD505-2E9C-101B-9397-08002B2CF9AE}" pid="15" name="WORDNUMPAGES">
    <vt:lpwstr>5</vt:lpwstr>
  </property>
  <property fmtid="{D5CDD505-2E9C-101B-9397-08002B2CF9AE}" pid="16" name="TYPE_ABS_DATE">
    <vt:lpwstr>380020150121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161892;5601394;11269647;8266477</vt:lpwstr>
  </property>
  <property fmtid="{D5CDD505-2E9C-101B-9397-08002B2CF9AE}" pid="36" name="LAWLISTTMP1">
    <vt:lpwstr>70301/499.a.1;040d</vt:lpwstr>
  </property>
  <property fmtid="{D5CDD505-2E9C-101B-9397-08002B2CF9AE}" pid="37" name="LAWLISTTMP2">
    <vt:lpwstr>4216/013;019a;007.a:2;007.c:2</vt:lpwstr>
  </property>
</Properties>
</file>