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0"/>
        <w:gridCol w:w="3671"/>
      </w:tblGrid>
      <w:tr w:rsidR="00BC69CE" w:rsidRPr="00441185" w14:paraId="171BD808" w14:textId="77777777">
        <w:trPr>
          <w:trHeight w:hRule="exact" w:val="418"/>
          <w:jc w:val="center"/>
        </w:trPr>
        <w:tc>
          <w:tcPr>
            <w:tcW w:w="8721" w:type="dxa"/>
            <w:gridSpan w:val="2"/>
          </w:tcPr>
          <w:p w14:paraId="6E5D94A1" w14:textId="77777777" w:rsidR="00BC69CE" w:rsidRPr="00441185" w:rsidRDefault="00441185">
            <w:pPr>
              <w:pStyle w:val="a3"/>
              <w:jc w:val="center"/>
              <w:rPr>
                <w:rFonts w:ascii="Tahoma" w:hAnsi="Tahoma" w:cs="Tahoma"/>
                <w:color w:val="000080"/>
                <w:rtl/>
              </w:rPr>
            </w:pPr>
            <w:bookmarkStart w:id="0" w:name="LastJudge"/>
            <w:r w:rsidRPr="00441185">
              <w:rPr>
                <w:rFonts w:ascii="Tahoma" w:hAnsi="Tahoma" w:cs="Tahoma"/>
                <w:b/>
                <w:bCs/>
                <w:color w:val="000080"/>
                <w:rtl/>
              </w:rPr>
              <w:t>בית משפט השלום באילת</w:t>
            </w:r>
          </w:p>
        </w:tc>
      </w:tr>
      <w:tr w:rsidR="00BC69CE" w:rsidRPr="00441185" w14:paraId="6427AD3F" w14:textId="77777777">
        <w:trPr>
          <w:trHeight w:val="337"/>
          <w:jc w:val="center"/>
        </w:trPr>
        <w:tc>
          <w:tcPr>
            <w:tcW w:w="5050" w:type="dxa"/>
          </w:tcPr>
          <w:p w14:paraId="223B61FB" w14:textId="77777777" w:rsidR="00BC69CE" w:rsidRPr="00441185" w:rsidRDefault="00441185">
            <w:pPr>
              <w:rPr>
                <w:b/>
                <w:bCs/>
                <w:rtl/>
              </w:rPr>
            </w:pPr>
            <w:r w:rsidRPr="00441185">
              <w:rPr>
                <w:b/>
                <w:bCs/>
                <w:rtl/>
              </w:rPr>
              <w:t>ת"פ</w:t>
            </w:r>
            <w:r w:rsidRPr="00441185">
              <w:rPr>
                <w:rFonts w:hint="cs"/>
                <w:b/>
                <w:bCs/>
                <w:rtl/>
              </w:rPr>
              <w:t xml:space="preserve"> </w:t>
            </w:r>
            <w:r w:rsidRPr="00441185">
              <w:rPr>
                <w:b/>
                <w:bCs/>
                <w:rtl/>
              </w:rPr>
              <w:t>16389-10-13</w:t>
            </w:r>
            <w:r w:rsidRPr="00441185">
              <w:rPr>
                <w:rFonts w:hint="cs"/>
                <w:b/>
                <w:bCs/>
                <w:rtl/>
              </w:rPr>
              <w:t xml:space="preserve"> </w:t>
            </w:r>
            <w:r w:rsidRPr="00441185">
              <w:rPr>
                <w:b/>
                <w:bCs/>
                <w:rtl/>
              </w:rPr>
              <w:t>מדינת ישראל נ' מתתיה</w:t>
            </w:r>
          </w:p>
          <w:p w14:paraId="5B2AA110" w14:textId="77777777" w:rsidR="00BC69CE" w:rsidRPr="00441185" w:rsidRDefault="00BC69CE">
            <w:pPr>
              <w:pStyle w:val="a3"/>
              <w:rPr>
                <w:b/>
                <w:bCs/>
                <w:rtl/>
              </w:rPr>
            </w:pPr>
          </w:p>
        </w:tc>
        <w:tc>
          <w:tcPr>
            <w:tcW w:w="3671" w:type="dxa"/>
          </w:tcPr>
          <w:p w14:paraId="0D71DC93" w14:textId="77777777" w:rsidR="00BC69CE" w:rsidRPr="00441185" w:rsidRDefault="00441185">
            <w:pPr>
              <w:pStyle w:val="a3"/>
              <w:jc w:val="right"/>
              <w:rPr>
                <w:b/>
                <w:bCs/>
                <w:rtl/>
              </w:rPr>
            </w:pPr>
            <w:r w:rsidRPr="00441185">
              <w:rPr>
                <w:rFonts w:hint="cs"/>
                <w:b/>
                <w:bCs/>
                <w:rtl/>
              </w:rPr>
              <w:t>17 יוני 2014</w:t>
            </w:r>
          </w:p>
        </w:tc>
      </w:tr>
    </w:tbl>
    <w:p w14:paraId="612E2C6A" w14:textId="77777777" w:rsidR="00BC69CE" w:rsidRPr="00441185" w:rsidRDefault="00441185">
      <w:pPr>
        <w:pStyle w:val="a3"/>
        <w:rPr>
          <w:rtl/>
        </w:rPr>
      </w:pPr>
      <w:r w:rsidRPr="00441185">
        <w:rPr>
          <w:rFonts w:hint="cs"/>
          <w:rtl/>
        </w:rPr>
        <w:t xml:space="preserve"> </w:t>
      </w:r>
    </w:p>
    <w:p w14:paraId="436AD93E" w14:textId="77777777" w:rsidR="00BC69CE" w:rsidRPr="00441185" w:rsidRDefault="00BC69CE">
      <w:pPr>
        <w:rPr>
          <w:rtl/>
        </w:rPr>
      </w:pPr>
    </w:p>
    <w:tbl>
      <w:tblPr>
        <w:bidiVisual/>
        <w:tblW w:w="8802" w:type="dxa"/>
        <w:tblInd w:w="-28" w:type="dxa"/>
        <w:tblLook w:val="01E0" w:firstRow="1" w:lastRow="1" w:firstColumn="1" w:lastColumn="1" w:noHBand="0" w:noVBand="0"/>
      </w:tblPr>
      <w:tblGrid>
        <w:gridCol w:w="2868"/>
        <w:gridCol w:w="5805"/>
        <w:gridCol w:w="83"/>
        <w:gridCol w:w="46"/>
      </w:tblGrid>
      <w:tr w:rsidR="00BC69CE" w:rsidRPr="00441185" w14:paraId="4C80E65A" w14:textId="77777777">
        <w:trPr>
          <w:gridAfter w:val="2"/>
          <w:wAfter w:w="101" w:type="dxa"/>
        </w:trPr>
        <w:tc>
          <w:tcPr>
            <w:tcW w:w="8719" w:type="dxa"/>
            <w:gridSpan w:val="2"/>
          </w:tcPr>
          <w:p w14:paraId="751CE73A" w14:textId="77777777" w:rsidR="00BC69CE" w:rsidRPr="00441185" w:rsidRDefault="00441185">
            <w:pPr>
              <w:spacing w:line="360" w:lineRule="auto"/>
              <w:rPr>
                <w:b/>
                <w:bCs/>
                <w:sz w:val="26"/>
                <w:szCs w:val="26"/>
                <w:rtl/>
              </w:rPr>
            </w:pPr>
            <w:r w:rsidRPr="00441185">
              <w:rPr>
                <w:rFonts w:hint="cs"/>
                <w:b/>
                <w:bCs/>
                <w:sz w:val="26"/>
                <w:szCs w:val="26"/>
                <w:rtl/>
              </w:rPr>
              <w:t>בפני כב' ה</w:t>
            </w:r>
            <w:r w:rsidRPr="00441185">
              <w:rPr>
                <w:rFonts w:hint="cs"/>
                <w:rtl/>
              </w:rPr>
              <w:t>שופט יוסי טופף</w:t>
            </w:r>
            <w:r w:rsidRPr="00441185">
              <w:rPr>
                <w:rStyle w:val="TimesNewRomanTimesNewRoman"/>
                <w:rFonts w:hint="cs"/>
                <w:rtl/>
              </w:rPr>
              <w:t xml:space="preserve"> </w:t>
            </w:r>
          </w:p>
          <w:p w14:paraId="70DF95C0" w14:textId="77777777" w:rsidR="00BC69CE" w:rsidRPr="00441185" w:rsidRDefault="00BC69CE">
            <w:pPr>
              <w:rPr>
                <w:b/>
                <w:bCs/>
                <w:sz w:val="26"/>
                <w:szCs w:val="26"/>
              </w:rPr>
            </w:pPr>
          </w:p>
        </w:tc>
      </w:tr>
      <w:tr w:rsidR="00BC69CE" w:rsidRPr="00441185" w14:paraId="79429D26" w14:textId="77777777">
        <w:trPr>
          <w:gridAfter w:val="1"/>
          <w:wAfter w:w="46" w:type="dxa"/>
        </w:trPr>
        <w:tc>
          <w:tcPr>
            <w:tcW w:w="2880" w:type="dxa"/>
          </w:tcPr>
          <w:p w14:paraId="0811F16D" w14:textId="77777777" w:rsidR="00BC69CE" w:rsidRPr="00441185" w:rsidRDefault="00441185">
            <w:pPr>
              <w:ind w:left="26"/>
              <w:rPr>
                <w:b/>
                <w:bCs/>
                <w:sz w:val="26"/>
                <w:szCs w:val="26"/>
              </w:rPr>
            </w:pPr>
            <w:bookmarkStart w:id="1" w:name="FirstAppellant"/>
            <w:r w:rsidRPr="00441185">
              <w:rPr>
                <w:rFonts w:hint="cs"/>
                <w:b/>
                <w:bCs/>
                <w:sz w:val="26"/>
                <w:szCs w:val="26"/>
                <w:rtl/>
              </w:rPr>
              <w:t>ה</w:t>
            </w:r>
            <w:r w:rsidRPr="00441185">
              <w:rPr>
                <w:rFonts w:hint="cs"/>
                <w:rtl/>
              </w:rPr>
              <w:t>מאשימה:</w:t>
            </w:r>
          </w:p>
        </w:tc>
        <w:tc>
          <w:tcPr>
            <w:tcW w:w="5922" w:type="dxa"/>
            <w:gridSpan w:val="2"/>
          </w:tcPr>
          <w:p w14:paraId="33679733" w14:textId="77777777" w:rsidR="00BC69CE" w:rsidRPr="00441185" w:rsidRDefault="00441185">
            <w:pPr>
              <w:rPr>
                <w:b/>
                <w:bCs/>
                <w:sz w:val="26"/>
                <w:szCs w:val="26"/>
                <w:rtl/>
              </w:rPr>
            </w:pPr>
            <w:r w:rsidRPr="00441185">
              <w:rPr>
                <w:rFonts w:hint="cs"/>
                <w:rtl/>
              </w:rPr>
              <w:t>מדינת ישראל</w:t>
            </w:r>
          </w:p>
          <w:p w14:paraId="282046A3" w14:textId="77777777" w:rsidR="00BC69CE" w:rsidRPr="00441185" w:rsidRDefault="00BC69CE">
            <w:pPr>
              <w:rPr>
                <w:b/>
                <w:bCs/>
                <w:sz w:val="26"/>
                <w:szCs w:val="26"/>
              </w:rPr>
            </w:pPr>
          </w:p>
        </w:tc>
      </w:tr>
      <w:bookmarkEnd w:id="1"/>
      <w:tr w:rsidR="00BC69CE" w:rsidRPr="00441185" w14:paraId="1862A411" w14:textId="77777777">
        <w:trPr>
          <w:gridAfter w:val="1"/>
          <w:wAfter w:w="46" w:type="dxa"/>
        </w:trPr>
        <w:tc>
          <w:tcPr>
            <w:tcW w:w="8802" w:type="dxa"/>
            <w:gridSpan w:val="3"/>
          </w:tcPr>
          <w:p w14:paraId="0B93B504" w14:textId="77777777" w:rsidR="00BC69CE" w:rsidRPr="00441185" w:rsidRDefault="00441185">
            <w:pPr>
              <w:jc w:val="center"/>
              <w:rPr>
                <w:rFonts w:ascii="Arial" w:hAnsi="Arial"/>
                <w:b/>
                <w:bCs/>
                <w:sz w:val="26"/>
                <w:szCs w:val="26"/>
                <w:rtl/>
              </w:rPr>
            </w:pPr>
            <w:r w:rsidRPr="00441185">
              <w:rPr>
                <w:rFonts w:ascii="Arial" w:hAnsi="Arial" w:hint="cs"/>
                <w:b/>
                <w:bCs/>
                <w:sz w:val="26"/>
                <w:szCs w:val="26"/>
                <w:rtl/>
              </w:rPr>
              <w:t>נגד</w:t>
            </w:r>
          </w:p>
          <w:p w14:paraId="3C9417D2" w14:textId="77777777" w:rsidR="00BC69CE" w:rsidRPr="00441185" w:rsidRDefault="00BC69CE">
            <w:pPr>
              <w:jc w:val="center"/>
              <w:rPr>
                <w:rFonts w:ascii="Arial" w:hAnsi="Arial"/>
                <w:b/>
                <w:bCs/>
                <w:sz w:val="26"/>
                <w:szCs w:val="26"/>
              </w:rPr>
            </w:pPr>
          </w:p>
        </w:tc>
      </w:tr>
      <w:tr w:rsidR="00BC69CE" w:rsidRPr="00441185" w14:paraId="3CF2D8E0" w14:textId="77777777">
        <w:trPr>
          <w:gridAfter w:val="1"/>
          <w:wAfter w:w="46" w:type="dxa"/>
        </w:trPr>
        <w:tc>
          <w:tcPr>
            <w:tcW w:w="2880" w:type="dxa"/>
          </w:tcPr>
          <w:p w14:paraId="1B3CCC50" w14:textId="77777777" w:rsidR="00BC69CE" w:rsidRPr="00441185" w:rsidRDefault="00441185">
            <w:pPr>
              <w:ind w:left="26"/>
              <w:rPr>
                <w:b/>
                <w:bCs/>
                <w:sz w:val="26"/>
                <w:szCs w:val="26"/>
              </w:rPr>
            </w:pPr>
            <w:r w:rsidRPr="00441185">
              <w:rPr>
                <w:rFonts w:hint="cs"/>
                <w:b/>
                <w:bCs/>
                <w:sz w:val="26"/>
                <w:szCs w:val="26"/>
                <w:rtl/>
              </w:rPr>
              <w:t>ה</w:t>
            </w:r>
            <w:r w:rsidRPr="00441185">
              <w:rPr>
                <w:rFonts w:hint="cs"/>
                <w:rtl/>
              </w:rPr>
              <w:t>נאשם:</w:t>
            </w:r>
          </w:p>
        </w:tc>
        <w:tc>
          <w:tcPr>
            <w:tcW w:w="5922" w:type="dxa"/>
            <w:gridSpan w:val="2"/>
          </w:tcPr>
          <w:p w14:paraId="0676CC05" w14:textId="77777777" w:rsidR="00BC69CE" w:rsidRPr="00441185" w:rsidRDefault="00441185">
            <w:pPr>
              <w:rPr>
                <w:b/>
                <w:bCs/>
                <w:sz w:val="26"/>
                <w:szCs w:val="26"/>
                <w:rtl/>
              </w:rPr>
            </w:pPr>
            <w:r w:rsidRPr="00441185">
              <w:rPr>
                <w:rFonts w:hint="cs"/>
                <w:rtl/>
              </w:rPr>
              <w:t>סבח מתתיה</w:t>
            </w:r>
          </w:p>
          <w:p w14:paraId="167D7CB6" w14:textId="77777777" w:rsidR="00BC69CE" w:rsidRPr="00441185" w:rsidRDefault="00BC69CE">
            <w:pPr>
              <w:rPr>
                <w:b/>
                <w:bCs/>
                <w:sz w:val="26"/>
                <w:szCs w:val="26"/>
                <w:rtl/>
              </w:rPr>
            </w:pPr>
          </w:p>
          <w:p w14:paraId="672621FD" w14:textId="77777777" w:rsidR="00BC69CE" w:rsidRPr="00441185" w:rsidRDefault="00BC69CE">
            <w:pPr>
              <w:rPr>
                <w:b/>
                <w:bCs/>
                <w:sz w:val="26"/>
                <w:szCs w:val="26"/>
              </w:rPr>
            </w:pPr>
          </w:p>
        </w:tc>
      </w:tr>
      <w:tr w:rsidR="00BC69CE" w14:paraId="7CF10812" w14:textId="77777777">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5"/>
          <w:jc w:val="center"/>
        </w:trPr>
        <w:tc>
          <w:tcPr>
            <w:tcW w:w="8820" w:type="dxa"/>
            <w:gridSpan w:val="4"/>
            <w:tcBorders>
              <w:top w:val="nil"/>
              <w:left w:val="nil"/>
              <w:bottom w:val="nil"/>
              <w:right w:val="nil"/>
            </w:tcBorders>
          </w:tcPr>
          <w:p w14:paraId="4B76EDC7" w14:textId="77777777" w:rsidR="00324648" w:rsidRDefault="00324648" w:rsidP="00441185">
            <w:pPr>
              <w:jc w:val="center"/>
              <w:rPr>
                <w:rFonts w:ascii="Arial" w:hAnsi="Arial"/>
                <w:sz w:val="32"/>
                <w:szCs w:val="32"/>
                <w:rtl/>
              </w:rPr>
            </w:pPr>
            <w:bookmarkStart w:id="2" w:name="PsakDin" w:colFirst="0" w:colLast="0"/>
            <w:bookmarkStart w:id="3" w:name="LawTable"/>
            <w:bookmarkEnd w:id="0"/>
            <w:bookmarkEnd w:id="3"/>
          </w:p>
          <w:p w14:paraId="2C8CD46B" w14:textId="77777777" w:rsidR="00324648" w:rsidRPr="00324648" w:rsidRDefault="00324648" w:rsidP="00324648">
            <w:pPr>
              <w:spacing w:after="120" w:line="240" w:lineRule="exact"/>
              <w:ind w:left="283" w:hanging="283"/>
              <w:jc w:val="both"/>
              <w:rPr>
                <w:rFonts w:ascii="FrankRuehl" w:hAnsi="FrankRuehl" w:cs="FrankRuehl"/>
                <w:rtl/>
              </w:rPr>
            </w:pPr>
            <w:r w:rsidRPr="00324648">
              <w:rPr>
                <w:rFonts w:ascii="FrankRuehl" w:hAnsi="FrankRuehl" w:cs="FrankRuehl"/>
                <w:rtl/>
              </w:rPr>
              <w:t xml:space="preserve">חקיקה שאוזכרה: </w:t>
            </w:r>
          </w:p>
          <w:p w14:paraId="31BDE0A4" w14:textId="77777777" w:rsidR="00324648" w:rsidRPr="00324648" w:rsidRDefault="00324648" w:rsidP="00324648">
            <w:pPr>
              <w:spacing w:after="120" w:line="240" w:lineRule="exact"/>
              <w:ind w:left="283" w:hanging="283"/>
              <w:jc w:val="both"/>
              <w:rPr>
                <w:rFonts w:ascii="FrankRuehl" w:hAnsi="FrankRuehl" w:cs="FrankRuehl"/>
                <w:rtl/>
              </w:rPr>
            </w:pPr>
            <w:hyperlink r:id="rId6" w:history="1">
              <w:r w:rsidRPr="00324648">
                <w:rPr>
                  <w:rFonts w:ascii="FrankRuehl" w:hAnsi="FrankRuehl" w:cs="FrankRuehl"/>
                  <w:color w:val="0000FF"/>
                  <w:u w:val="single"/>
                  <w:rtl/>
                </w:rPr>
                <w:t>פקודת הסמים המסוכנים [נוסח חדש], תשל"ג-1973</w:t>
              </w:r>
            </w:hyperlink>
            <w:r w:rsidRPr="00324648">
              <w:rPr>
                <w:rFonts w:ascii="FrankRuehl" w:hAnsi="FrankRuehl" w:cs="FrankRuehl"/>
                <w:rtl/>
              </w:rPr>
              <w:t xml:space="preserve">: סע'  </w:t>
            </w:r>
            <w:hyperlink r:id="rId7" w:history="1">
              <w:r w:rsidRPr="00324648">
                <w:rPr>
                  <w:rFonts w:ascii="FrankRuehl" w:hAnsi="FrankRuehl" w:cs="FrankRuehl"/>
                  <w:color w:val="0000FF"/>
                  <w:u w:val="single"/>
                  <w:rtl/>
                </w:rPr>
                <w:t>13</w:t>
              </w:r>
            </w:hyperlink>
            <w:r w:rsidRPr="00324648">
              <w:rPr>
                <w:rFonts w:ascii="FrankRuehl" w:hAnsi="FrankRuehl" w:cs="FrankRuehl"/>
                <w:rtl/>
              </w:rPr>
              <w:t xml:space="preserve">, </w:t>
            </w:r>
            <w:hyperlink r:id="rId8" w:history="1">
              <w:r w:rsidRPr="00324648">
                <w:rPr>
                  <w:rFonts w:ascii="FrankRuehl" w:hAnsi="FrankRuehl" w:cs="FrankRuehl"/>
                  <w:color w:val="0000FF"/>
                  <w:u w:val="single"/>
                  <w:rtl/>
                </w:rPr>
                <w:t>19א</w:t>
              </w:r>
            </w:hyperlink>
          </w:p>
          <w:p w14:paraId="5C5FD043" w14:textId="77777777" w:rsidR="00324648" w:rsidRPr="00324648" w:rsidRDefault="00324648" w:rsidP="00324648">
            <w:pPr>
              <w:spacing w:after="120" w:line="240" w:lineRule="exact"/>
              <w:ind w:left="283" w:hanging="283"/>
              <w:jc w:val="both"/>
              <w:rPr>
                <w:rFonts w:ascii="FrankRuehl" w:hAnsi="FrankRuehl" w:cs="FrankRuehl"/>
                <w:rtl/>
              </w:rPr>
            </w:pPr>
            <w:hyperlink r:id="rId9" w:history="1">
              <w:r w:rsidRPr="00324648">
                <w:rPr>
                  <w:rFonts w:ascii="FrankRuehl" w:hAnsi="FrankRuehl" w:cs="FrankRuehl"/>
                  <w:color w:val="0000FF"/>
                  <w:u w:val="single"/>
                  <w:rtl/>
                </w:rPr>
                <w:t>חוק העונשין, תשל"ז-1977</w:t>
              </w:r>
            </w:hyperlink>
            <w:r w:rsidRPr="00324648">
              <w:rPr>
                <w:rFonts w:ascii="FrankRuehl" w:hAnsi="FrankRuehl" w:cs="FrankRuehl"/>
                <w:rtl/>
              </w:rPr>
              <w:t xml:space="preserve">: סע'  </w:t>
            </w:r>
            <w:hyperlink r:id="rId10" w:history="1">
              <w:r w:rsidRPr="00324648">
                <w:rPr>
                  <w:rFonts w:ascii="FrankRuehl" w:hAnsi="FrankRuehl" w:cs="FrankRuehl"/>
                  <w:color w:val="0000FF"/>
                  <w:u w:val="single"/>
                  <w:rtl/>
                </w:rPr>
                <w:t>40ב</w:t>
              </w:r>
            </w:hyperlink>
            <w:r w:rsidRPr="00324648">
              <w:rPr>
                <w:rFonts w:ascii="FrankRuehl" w:hAnsi="FrankRuehl" w:cs="FrankRuehl"/>
                <w:rtl/>
              </w:rPr>
              <w:t xml:space="preserve">, </w:t>
            </w:r>
            <w:hyperlink r:id="rId11" w:history="1">
              <w:r w:rsidRPr="00324648">
                <w:rPr>
                  <w:rFonts w:ascii="FrankRuehl" w:hAnsi="FrankRuehl" w:cs="FrankRuehl"/>
                  <w:color w:val="0000FF"/>
                  <w:u w:val="single"/>
                  <w:rtl/>
                </w:rPr>
                <w:t>40ג</w:t>
              </w:r>
            </w:hyperlink>
            <w:r w:rsidRPr="00324648">
              <w:rPr>
                <w:rFonts w:ascii="FrankRuehl" w:hAnsi="FrankRuehl" w:cs="FrankRuehl"/>
                <w:rtl/>
              </w:rPr>
              <w:t xml:space="preserve">, </w:t>
            </w:r>
            <w:hyperlink r:id="rId12" w:history="1">
              <w:r w:rsidRPr="00324648">
                <w:rPr>
                  <w:rFonts w:ascii="FrankRuehl" w:hAnsi="FrankRuehl" w:cs="FrankRuehl"/>
                  <w:color w:val="0000FF"/>
                  <w:u w:val="single"/>
                  <w:rtl/>
                </w:rPr>
                <w:t>40ג(א)</w:t>
              </w:r>
            </w:hyperlink>
            <w:r w:rsidRPr="00324648">
              <w:rPr>
                <w:rFonts w:ascii="FrankRuehl" w:hAnsi="FrankRuehl" w:cs="FrankRuehl"/>
                <w:rtl/>
              </w:rPr>
              <w:t xml:space="preserve">, </w:t>
            </w:r>
            <w:hyperlink r:id="rId13" w:history="1">
              <w:r w:rsidRPr="00324648">
                <w:rPr>
                  <w:rFonts w:ascii="FrankRuehl" w:hAnsi="FrankRuehl" w:cs="FrankRuehl"/>
                  <w:color w:val="0000FF"/>
                  <w:u w:val="single"/>
                  <w:rtl/>
                </w:rPr>
                <w:t>40ד</w:t>
              </w:r>
            </w:hyperlink>
            <w:r w:rsidRPr="00324648">
              <w:rPr>
                <w:rFonts w:ascii="FrankRuehl" w:hAnsi="FrankRuehl" w:cs="FrankRuehl"/>
                <w:rtl/>
              </w:rPr>
              <w:t xml:space="preserve">, </w:t>
            </w:r>
            <w:hyperlink r:id="rId14" w:history="1">
              <w:r w:rsidRPr="00324648">
                <w:rPr>
                  <w:rFonts w:ascii="FrankRuehl" w:hAnsi="FrankRuehl" w:cs="FrankRuehl"/>
                  <w:color w:val="0000FF"/>
                  <w:u w:val="single"/>
                  <w:rtl/>
                </w:rPr>
                <w:t>40ד(ב)</w:t>
              </w:r>
            </w:hyperlink>
            <w:r w:rsidRPr="00324648">
              <w:rPr>
                <w:rFonts w:ascii="FrankRuehl" w:hAnsi="FrankRuehl" w:cs="FrankRuehl"/>
                <w:rtl/>
              </w:rPr>
              <w:t xml:space="preserve">, </w:t>
            </w:r>
            <w:hyperlink r:id="rId15" w:history="1">
              <w:r w:rsidRPr="00324648">
                <w:rPr>
                  <w:rFonts w:ascii="FrankRuehl" w:hAnsi="FrankRuehl" w:cs="FrankRuehl"/>
                  <w:color w:val="0000FF"/>
                  <w:u w:val="single"/>
                  <w:rtl/>
                </w:rPr>
                <w:t>40ה</w:t>
              </w:r>
            </w:hyperlink>
            <w:r w:rsidRPr="00324648">
              <w:rPr>
                <w:rFonts w:ascii="FrankRuehl" w:hAnsi="FrankRuehl" w:cs="FrankRuehl"/>
                <w:rtl/>
              </w:rPr>
              <w:t xml:space="preserve">, </w:t>
            </w:r>
            <w:hyperlink r:id="rId16" w:history="1">
              <w:r w:rsidRPr="00324648">
                <w:rPr>
                  <w:rFonts w:ascii="FrankRuehl" w:hAnsi="FrankRuehl" w:cs="FrankRuehl"/>
                  <w:color w:val="0000FF"/>
                  <w:u w:val="single"/>
                  <w:rtl/>
                </w:rPr>
                <w:t>40ו</w:t>
              </w:r>
            </w:hyperlink>
            <w:r w:rsidRPr="00324648">
              <w:rPr>
                <w:rFonts w:ascii="FrankRuehl" w:hAnsi="FrankRuehl" w:cs="FrankRuehl"/>
                <w:rtl/>
              </w:rPr>
              <w:t xml:space="preserve">, </w:t>
            </w:r>
            <w:hyperlink r:id="rId17" w:history="1">
              <w:r w:rsidRPr="00324648">
                <w:rPr>
                  <w:rFonts w:ascii="FrankRuehl" w:hAnsi="FrankRuehl" w:cs="FrankRuehl"/>
                  <w:color w:val="0000FF"/>
                  <w:u w:val="single"/>
                  <w:rtl/>
                </w:rPr>
                <w:t>40ז</w:t>
              </w:r>
            </w:hyperlink>
            <w:r w:rsidRPr="00324648">
              <w:rPr>
                <w:rFonts w:ascii="FrankRuehl" w:hAnsi="FrankRuehl" w:cs="FrankRuehl"/>
                <w:rtl/>
              </w:rPr>
              <w:t xml:space="preserve">, </w:t>
            </w:r>
            <w:hyperlink r:id="rId18" w:history="1">
              <w:r w:rsidRPr="00324648">
                <w:rPr>
                  <w:rFonts w:ascii="FrankRuehl" w:hAnsi="FrankRuehl" w:cs="FrankRuehl"/>
                  <w:color w:val="0000FF"/>
                  <w:u w:val="single"/>
                  <w:rtl/>
                </w:rPr>
                <w:t>40ט</w:t>
              </w:r>
            </w:hyperlink>
            <w:r w:rsidRPr="00324648">
              <w:rPr>
                <w:rFonts w:ascii="FrankRuehl" w:hAnsi="FrankRuehl" w:cs="FrankRuehl"/>
                <w:rtl/>
              </w:rPr>
              <w:t xml:space="preserve">, </w:t>
            </w:r>
            <w:hyperlink r:id="rId19" w:history="1">
              <w:r w:rsidRPr="00324648">
                <w:rPr>
                  <w:rFonts w:ascii="FrankRuehl" w:hAnsi="FrankRuehl" w:cs="FrankRuehl"/>
                  <w:color w:val="0000FF"/>
                  <w:u w:val="single"/>
                  <w:rtl/>
                </w:rPr>
                <w:t>40יא</w:t>
              </w:r>
            </w:hyperlink>
            <w:r w:rsidRPr="00324648">
              <w:rPr>
                <w:rFonts w:ascii="FrankRuehl" w:hAnsi="FrankRuehl" w:cs="FrankRuehl"/>
                <w:rtl/>
              </w:rPr>
              <w:t xml:space="preserve">, </w:t>
            </w:r>
            <w:hyperlink r:id="rId20" w:history="1">
              <w:r w:rsidRPr="00324648">
                <w:rPr>
                  <w:rFonts w:ascii="FrankRuehl" w:hAnsi="FrankRuehl" w:cs="FrankRuehl"/>
                  <w:color w:val="0000FF"/>
                  <w:u w:val="single"/>
                  <w:rtl/>
                </w:rPr>
                <w:t>40יב</w:t>
              </w:r>
            </w:hyperlink>
          </w:p>
          <w:p w14:paraId="62C58EA0" w14:textId="77777777" w:rsidR="00324648" w:rsidRPr="00324648" w:rsidRDefault="00324648" w:rsidP="00324648">
            <w:pPr>
              <w:spacing w:after="120" w:line="240" w:lineRule="exact"/>
              <w:ind w:left="283" w:hanging="283"/>
              <w:jc w:val="both"/>
              <w:rPr>
                <w:rFonts w:ascii="FrankRuehl" w:hAnsi="FrankRuehl" w:cs="FrankRuehl"/>
                <w:rtl/>
              </w:rPr>
            </w:pPr>
          </w:p>
          <w:p w14:paraId="4FFD8CBB" w14:textId="77777777" w:rsidR="00441185" w:rsidRPr="00441185" w:rsidRDefault="00441185" w:rsidP="00441185">
            <w:pPr>
              <w:jc w:val="center"/>
              <w:rPr>
                <w:rFonts w:ascii="Arial" w:hAnsi="Arial"/>
                <w:b/>
                <w:bCs/>
                <w:sz w:val="32"/>
                <w:szCs w:val="32"/>
                <w:u w:val="single"/>
                <w:rtl/>
              </w:rPr>
            </w:pPr>
            <w:bookmarkStart w:id="4" w:name="LawTable_End"/>
            <w:bookmarkEnd w:id="4"/>
            <w:r w:rsidRPr="00441185">
              <w:rPr>
                <w:rFonts w:ascii="Arial" w:hAnsi="Arial"/>
                <w:b/>
                <w:bCs/>
                <w:sz w:val="32"/>
                <w:szCs w:val="32"/>
                <w:u w:val="single"/>
                <w:rtl/>
              </w:rPr>
              <w:t>גזר דין</w:t>
            </w:r>
          </w:p>
          <w:p w14:paraId="4D0CBE65" w14:textId="77777777" w:rsidR="00BC69CE" w:rsidRPr="00441185" w:rsidRDefault="00BC69CE" w:rsidP="00441185">
            <w:pPr>
              <w:jc w:val="center"/>
              <w:rPr>
                <w:rFonts w:ascii="Arial" w:hAnsi="Arial"/>
                <w:bCs/>
                <w:sz w:val="32"/>
                <w:szCs w:val="32"/>
                <w:u w:val="single"/>
                <w:rtl/>
              </w:rPr>
            </w:pPr>
          </w:p>
        </w:tc>
      </w:tr>
      <w:bookmarkEnd w:id="2"/>
    </w:tbl>
    <w:p w14:paraId="45CFA382" w14:textId="77777777" w:rsidR="00BC69CE" w:rsidRDefault="00BC69CE">
      <w:pPr>
        <w:rPr>
          <w:rFonts w:ascii="Arial" w:hAnsi="Arial"/>
          <w:rtl/>
        </w:rPr>
      </w:pPr>
    </w:p>
    <w:p w14:paraId="49C08D90" w14:textId="77777777" w:rsidR="00BC69CE" w:rsidRDefault="00BC69CE">
      <w:pPr>
        <w:rPr>
          <w:rFonts w:ascii="Arial" w:hAnsi="Arial"/>
          <w:rtl/>
        </w:rPr>
      </w:pPr>
    </w:p>
    <w:p w14:paraId="7B03B742" w14:textId="77777777" w:rsidR="00BC69CE" w:rsidRDefault="00441185">
      <w:pPr>
        <w:rPr>
          <w:b/>
          <w:bCs/>
          <w:u w:val="single"/>
        </w:rPr>
      </w:pPr>
      <w:r>
        <w:rPr>
          <w:rFonts w:hint="cs"/>
          <w:b/>
          <w:bCs/>
          <w:u w:val="single"/>
          <w:rtl/>
        </w:rPr>
        <w:t>האישום וההרשעה</w:t>
      </w:r>
    </w:p>
    <w:p w14:paraId="589A5909" w14:textId="77777777" w:rsidR="00BC69CE" w:rsidRDefault="00BC69CE">
      <w:pPr>
        <w:rPr>
          <w:b/>
          <w:bCs/>
          <w:u w:val="single"/>
        </w:rPr>
      </w:pPr>
    </w:p>
    <w:p w14:paraId="34568410" w14:textId="77777777" w:rsidR="00BC69CE" w:rsidRDefault="00BC69CE">
      <w:pPr>
        <w:spacing w:line="360" w:lineRule="auto"/>
        <w:ind w:left="510" w:hanging="510"/>
        <w:jc w:val="both"/>
      </w:pPr>
    </w:p>
    <w:p w14:paraId="761532D3" w14:textId="77777777" w:rsidR="00BC69CE" w:rsidRDefault="00441185">
      <w:pPr>
        <w:spacing w:line="360" w:lineRule="auto"/>
        <w:ind w:left="720" w:hanging="720"/>
        <w:jc w:val="both"/>
        <w:rPr>
          <w:rFonts w:ascii="David" w:hAnsi="David"/>
          <w:rtl/>
        </w:rPr>
      </w:pPr>
      <w:r>
        <w:rPr>
          <w:rFonts w:hint="cs"/>
          <w:rtl/>
        </w:rPr>
        <w:t>1</w:t>
      </w:r>
      <w:r>
        <w:rPr>
          <w:rFonts w:ascii="David" w:hAnsi="David" w:hint="cs"/>
          <w:rtl/>
        </w:rPr>
        <w:t>.</w:t>
      </w:r>
      <w:r>
        <w:rPr>
          <w:rFonts w:ascii="David" w:hAnsi="David" w:hint="cs"/>
          <w:rtl/>
        </w:rPr>
        <w:tab/>
      </w:r>
      <w:bookmarkStart w:id="5" w:name="ABSTRACT_START"/>
      <w:bookmarkEnd w:id="5"/>
      <w:r>
        <w:rPr>
          <w:rFonts w:ascii="David" w:hAnsi="David" w:hint="cs"/>
          <w:rtl/>
        </w:rPr>
        <w:t xml:space="preserve">ביום 25.12.2013 הורשע הנאשם על יסוד הודאתו בכתב אישום מתוקן בעבירה של יצוא, יבוא, מסחר, הספקת סמים מסוכנים לפי </w:t>
      </w:r>
      <w:hyperlink r:id="rId21" w:history="1">
        <w:r w:rsidR="00324648" w:rsidRPr="00324648">
          <w:rPr>
            <w:rFonts w:ascii="David" w:hAnsi="David"/>
            <w:color w:val="0000FF"/>
            <w:u w:val="single"/>
            <w:rtl/>
          </w:rPr>
          <w:t>סעיפים 13</w:t>
        </w:r>
      </w:hyperlink>
      <w:r>
        <w:rPr>
          <w:rFonts w:ascii="David" w:hAnsi="David" w:hint="cs"/>
          <w:rtl/>
        </w:rPr>
        <w:t xml:space="preserve"> ו-</w:t>
      </w:r>
      <w:hyperlink r:id="rId22" w:history="1">
        <w:r w:rsidR="00324648" w:rsidRPr="00324648">
          <w:rPr>
            <w:rFonts w:ascii="David" w:hAnsi="David"/>
            <w:color w:val="0000FF"/>
            <w:u w:val="single"/>
            <w:rtl/>
          </w:rPr>
          <w:t>19א</w:t>
        </w:r>
      </w:hyperlink>
      <w:r>
        <w:rPr>
          <w:rFonts w:ascii="David" w:hAnsi="David" w:hint="cs"/>
          <w:rtl/>
        </w:rPr>
        <w:t xml:space="preserve"> ל</w:t>
      </w:r>
      <w:hyperlink r:id="rId23" w:history="1">
        <w:r w:rsidRPr="00441185">
          <w:rPr>
            <w:rFonts w:ascii="David" w:hAnsi="David"/>
            <w:color w:val="0000FF"/>
            <w:u w:val="single"/>
            <w:rtl/>
          </w:rPr>
          <w:t>פקודת הסמים המסוכנים</w:t>
        </w:r>
      </w:hyperlink>
      <w:r>
        <w:rPr>
          <w:rFonts w:ascii="David" w:hAnsi="David" w:hint="cs"/>
          <w:rtl/>
        </w:rPr>
        <w:t xml:space="preserve"> (נוסח חדש) התשל"ג -1973 (להלן: "</w:t>
      </w:r>
      <w:r>
        <w:rPr>
          <w:rFonts w:ascii="David" w:hAnsi="David" w:hint="cs"/>
          <w:b/>
          <w:bCs/>
          <w:rtl/>
        </w:rPr>
        <w:t>פקודת הסמים המסוכנים</w:t>
      </w:r>
      <w:r>
        <w:rPr>
          <w:rFonts w:ascii="David" w:hAnsi="David" w:hint="cs"/>
          <w:rtl/>
        </w:rPr>
        <w:t xml:space="preserve">"). </w:t>
      </w:r>
    </w:p>
    <w:p w14:paraId="264BC0C4" w14:textId="77777777" w:rsidR="00BC69CE" w:rsidRDefault="00BC69CE">
      <w:pPr>
        <w:spacing w:line="360" w:lineRule="auto"/>
        <w:ind w:left="510" w:hanging="510"/>
        <w:jc w:val="both"/>
        <w:rPr>
          <w:rFonts w:ascii="David" w:hAnsi="David"/>
          <w:rtl/>
        </w:rPr>
      </w:pPr>
      <w:bookmarkStart w:id="6" w:name="ABSTRACT_END"/>
      <w:bookmarkEnd w:id="6"/>
    </w:p>
    <w:p w14:paraId="432ED946" w14:textId="77777777" w:rsidR="00BC69CE" w:rsidRDefault="00441185">
      <w:pPr>
        <w:spacing w:line="360" w:lineRule="auto"/>
        <w:ind w:left="720" w:hanging="720"/>
        <w:jc w:val="both"/>
        <w:rPr>
          <w:rFonts w:ascii="David" w:hAnsi="David"/>
          <w:rtl/>
        </w:rPr>
      </w:pPr>
      <w:r>
        <w:rPr>
          <w:rFonts w:ascii="David" w:hAnsi="David" w:hint="cs"/>
          <w:rtl/>
        </w:rPr>
        <w:t>2.</w:t>
      </w:r>
      <w:r>
        <w:rPr>
          <w:rFonts w:ascii="David" w:hAnsi="David" w:hint="cs"/>
          <w:rtl/>
        </w:rPr>
        <w:tab/>
        <w:t xml:space="preserve">לפי כתב האישום המתוקן, בתאריך 10.12.2011 הגיע הנאשם למעבר הגבול טאבה באילת לאחר ששב ממצרים, כשבחזקתו סם מסוכן מסוג חשיש במשקל כולל של </w:t>
      </w:r>
      <w:smartTag w:uri="urn:schemas-microsoft-com:office:smarttags" w:element="metricconverter">
        <w:smartTagPr>
          <w:attr w:name="ProductID" w:val="41.79 גרם"/>
        </w:smartTagPr>
        <w:r>
          <w:rPr>
            <w:rFonts w:ascii="David" w:hAnsi="David" w:hint="cs"/>
            <w:rtl/>
          </w:rPr>
          <w:t>41.79 גרם</w:t>
        </w:r>
      </w:smartTag>
      <w:r>
        <w:rPr>
          <w:rFonts w:ascii="David" w:hAnsi="David" w:hint="cs"/>
          <w:rtl/>
        </w:rPr>
        <w:t xml:space="preserve"> נטו, המחולק ל-6 רצועות נפרדות ושבר פלטה נוסף, מוסלק בגרביו. בדרך זו ייבא הנאשם סם מסוכן ממצרים לישראל. </w:t>
      </w:r>
    </w:p>
    <w:p w14:paraId="77522380" w14:textId="77777777" w:rsidR="00BC69CE" w:rsidRDefault="00BC69CE">
      <w:pPr>
        <w:spacing w:line="360" w:lineRule="auto"/>
        <w:ind w:left="510" w:hanging="510"/>
        <w:jc w:val="both"/>
        <w:rPr>
          <w:rFonts w:ascii="David" w:hAnsi="David"/>
          <w:rtl/>
        </w:rPr>
      </w:pPr>
    </w:p>
    <w:p w14:paraId="2528D3DF" w14:textId="77777777" w:rsidR="00BC69CE" w:rsidRDefault="00441185">
      <w:pPr>
        <w:spacing w:line="360" w:lineRule="auto"/>
        <w:jc w:val="both"/>
        <w:rPr>
          <w:b/>
          <w:bCs/>
          <w:u w:val="single"/>
          <w:rtl/>
        </w:rPr>
      </w:pPr>
      <w:r>
        <w:rPr>
          <w:rFonts w:hint="cs"/>
          <w:b/>
          <w:bCs/>
          <w:u w:val="single"/>
          <w:rtl/>
        </w:rPr>
        <w:t>טיעוני הצדדים לעונש</w:t>
      </w:r>
    </w:p>
    <w:p w14:paraId="2A54DAEB" w14:textId="77777777" w:rsidR="00BC69CE" w:rsidRDefault="00BC69CE">
      <w:pPr>
        <w:spacing w:line="360" w:lineRule="auto"/>
        <w:jc w:val="both"/>
        <w:rPr>
          <w:u w:val="single"/>
          <w:rtl/>
        </w:rPr>
      </w:pPr>
    </w:p>
    <w:p w14:paraId="145F3919" w14:textId="77777777" w:rsidR="00BC69CE" w:rsidRDefault="00441185">
      <w:pPr>
        <w:spacing w:line="360" w:lineRule="auto"/>
        <w:ind w:left="720" w:hanging="720"/>
        <w:jc w:val="both"/>
        <w:rPr>
          <w:rtl/>
        </w:rPr>
      </w:pPr>
      <w:r>
        <w:rPr>
          <w:rFonts w:hint="cs"/>
          <w:rtl/>
        </w:rPr>
        <w:t>3.</w:t>
      </w:r>
      <w:r>
        <w:rPr>
          <w:rFonts w:hint="cs"/>
          <w:rtl/>
        </w:rPr>
        <w:tab/>
        <w:t xml:space="preserve">ב"כ המאשימה, עו"ד איציק אלפסי, עתר למתחם ענישה הולם, שבין 6 חודשי מאסר שיכול וירוצו בעבודות שירות ועד ל-12 חודשי מאסר בפועל, כאשר בנסיבות המקרה דנא ביקש כי יוטל על הנאשם עונש מאסר שבין 6 חודשים שיכול וירוצו בעבודות שירות ועד ל-8 חודשים, </w:t>
      </w:r>
      <w:r>
        <w:rPr>
          <w:rFonts w:hint="cs"/>
          <w:rtl/>
        </w:rPr>
        <w:lastRenderedPageBreak/>
        <w:t>מאסרים מותנים, קנס כספי והתחייבות. התובע עמד על חומרת העבירה ועל הצורך להילחם בכל הגורמים המעורבים בעבירות סמים ובכללם סוחרים, מפיצים ומחזיקים בסמים.  התובע עמד על המאמצים הרבים והמשאבים הכספיים, הטכנולוגיים והאנושיים שמשקיעה המדינה על מנת למנוע כניסת סמים לתחומי גבולותיה וטען כי עבירת ייבוא סם מסוכן פוגעת פגיעה קשה במערכת אכיפת החוק. התובע התייחס לסוג הסם ולמשקלו ועמד על השלכות הפצתו בקרב האוכלוסייה, הגם שבמקרה דנן היא מצומצמת באופן יחסי, נוכח כמות הסם והיות ואין מדובר במי שיצא אל מחוץ לתחומי המדינה כדי לייבא סם בכמות כזו שניתן יהא להפיצו בקרב רבים.</w:t>
      </w:r>
    </w:p>
    <w:p w14:paraId="241E31C0" w14:textId="77777777" w:rsidR="00BC69CE" w:rsidRDefault="00441185">
      <w:pPr>
        <w:spacing w:line="360" w:lineRule="auto"/>
        <w:ind w:left="720" w:hanging="720"/>
        <w:jc w:val="both"/>
        <w:rPr>
          <w:rtl/>
        </w:rPr>
      </w:pPr>
      <w:r>
        <w:rPr>
          <w:rFonts w:hint="cs"/>
          <w:rtl/>
        </w:rPr>
        <w:tab/>
        <w:t>התובע הפנה לתסקיר שירות המבחן, שהוגש בעניינו של הנאשם, ממנו עולה כי הנאשם מתקשה להבין את חומרת מעשיו וטען כי גובר החשש להישנות ביצוע העבירה מצד הנאשם. מנגד, ציין התובע, כי המאשימה הביאה בכלל חשבון בטיעוניה לעונש, כי זו העבירה הראשונה של הנאשם בתחום הסמים, כאשר בעברו הרשעה בעבירות של איומים והעלבת עובד ציבור, את גילו המתקדם והטענה כי הוא נושא לבדו בעול הטיפול באימו הקשישה. התובע הפנה לפסיקה רלוונטית.</w:t>
      </w:r>
    </w:p>
    <w:p w14:paraId="35675909" w14:textId="77777777" w:rsidR="00BC69CE" w:rsidRDefault="00BC69CE">
      <w:pPr>
        <w:spacing w:line="360" w:lineRule="auto"/>
        <w:ind w:left="720" w:hanging="720"/>
        <w:jc w:val="both"/>
        <w:rPr>
          <w:rtl/>
        </w:rPr>
      </w:pPr>
    </w:p>
    <w:p w14:paraId="58CF7048" w14:textId="77777777" w:rsidR="00BC69CE" w:rsidRDefault="00441185">
      <w:pPr>
        <w:spacing w:line="360" w:lineRule="auto"/>
        <w:ind w:left="720" w:hanging="720"/>
        <w:jc w:val="both"/>
        <w:rPr>
          <w:rtl/>
        </w:rPr>
      </w:pPr>
      <w:r>
        <w:rPr>
          <w:rFonts w:hint="cs"/>
          <w:rtl/>
        </w:rPr>
        <w:t>4.</w:t>
      </w:r>
      <w:r>
        <w:rPr>
          <w:rFonts w:hint="cs"/>
          <w:rtl/>
        </w:rPr>
        <w:tab/>
        <w:t>ב"כ הנאשם, עו"ד אורית שלכט, טענה כי העבירה בוצעה לפני כשנתיים וחצי ומאז פסק הנאשם לצרוך סמים. נטען כי הנאשם לקח אחריות על מעשיו, הודה בהזדמנות הראשונה וחסך מזמנו של בית המשפט. נמסר כי הנאשם התכוון לעשות שימוש עצמי בסמים שנתפסו אצלו. הסנגורית הפנתה לתסקיר שירות המבחן ממנו עלה כי הנאשם מתקשה להבין את המורכבות והבעייתיות שבמעשיו וטענה כי הנאשם עשה את שעשה מתוך טיפשות ואי הבנת החומרה שבמעשה. הסנגורית עמדה על גילו ועברו הפלילי הלא מכביד של הנאשם ומצבו המשפחתי. בית המשפט התבקש לתת משקל ניכר לכל שהנאשם אינו עובד ומטפל לבדו באמו הקשישה והחולה. נטען כי כל עונש כבד מעבודות שירות לתקופה קצרה, משמעו "גזר דין מוות" לאימו של הנאשם. נמסר כי הנאשם מתקיים מקצבת המוסד לביטוח הלאומי ולכן ביקשה הסנגורית שלא להשית על הנאשם עונשים כלכליים.</w:t>
      </w:r>
    </w:p>
    <w:p w14:paraId="291354F9" w14:textId="77777777" w:rsidR="00BC69CE" w:rsidRDefault="00BC69CE">
      <w:pPr>
        <w:spacing w:line="360" w:lineRule="auto"/>
        <w:ind w:left="720" w:hanging="720"/>
        <w:jc w:val="both"/>
        <w:rPr>
          <w:rtl/>
        </w:rPr>
      </w:pPr>
    </w:p>
    <w:p w14:paraId="65AF8DA0" w14:textId="77777777" w:rsidR="00BC69CE" w:rsidRDefault="00441185">
      <w:pPr>
        <w:spacing w:line="360" w:lineRule="auto"/>
        <w:ind w:left="720" w:hanging="720"/>
        <w:jc w:val="both"/>
        <w:rPr>
          <w:rtl/>
        </w:rPr>
      </w:pPr>
      <w:r>
        <w:rPr>
          <w:rFonts w:hint="cs"/>
          <w:rtl/>
        </w:rPr>
        <w:t>5.</w:t>
      </w:r>
      <w:r>
        <w:rPr>
          <w:rFonts w:hint="cs"/>
          <w:rtl/>
        </w:rPr>
        <w:tab/>
        <w:t>הנאשם עצמו מסר כי הוא מטפל באמו בביתם וביקש לרצות עונש מאסר, ככל שיוטל עליו, בעבודות שירות.</w:t>
      </w:r>
    </w:p>
    <w:p w14:paraId="1AD923AB" w14:textId="77777777" w:rsidR="00BC69CE" w:rsidRDefault="00BC69CE">
      <w:pPr>
        <w:spacing w:line="360" w:lineRule="auto"/>
        <w:ind w:left="720" w:hanging="720"/>
        <w:jc w:val="both"/>
        <w:rPr>
          <w:rtl/>
        </w:rPr>
      </w:pPr>
    </w:p>
    <w:p w14:paraId="173A2A38" w14:textId="77777777" w:rsidR="00BC69CE" w:rsidRDefault="00441185">
      <w:pPr>
        <w:spacing w:line="360" w:lineRule="auto"/>
        <w:jc w:val="both"/>
        <w:rPr>
          <w:b/>
          <w:bCs/>
          <w:u w:val="single"/>
          <w:rtl/>
        </w:rPr>
      </w:pPr>
      <w:r>
        <w:rPr>
          <w:rFonts w:hint="cs"/>
          <w:b/>
          <w:bCs/>
          <w:u w:val="single"/>
          <w:rtl/>
        </w:rPr>
        <w:t>דיון ומסקנות</w:t>
      </w:r>
    </w:p>
    <w:p w14:paraId="2D726AAE" w14:textId="77777777" w:rsidR="00BC69CE" w:rsidRDefault="00BC69CE">
      <w:pPr>
        <w:spacing w:line="360" w:lineRule="auto"/>
        <w:jc w:val="both"/>
        <w:rPr>
          <w:rtl/>
        </w:rPr>
      </w:pPr>
    </w:p>
    <w:p w14:paraId="197361DE" w14:textId="77777777" w:rsidR="00BC69CE" w:rsidRDefault="00441185">
      <w:pPr>
        <w:spacing w:line="360" w:lineRule="auto"/>
        <w:ind w:left="720" w:hanging="720"/>
        <w:jc w:val="both"/>
        <w:rPr>
          <w:rtl/>
        </w:rPr>
      </w:pPr>
      <w:r>
        <w:rPr>
          <w:rFonts w:hint="cs"/>
          <w:rtl/>
        </w:rPr>
        <w:t>6.</w:t>
      </w:r>
      <w:r>
        <w:rPr>
          <w:rFonts w:hint="cs"/>
          <w:rtl/>
        </w:rPr>
        <w:tab/>
        <w:t>תיקון 113 ל</w:t>
      </w:r>
      <w:hyperlink r:id="rId24" w:history="1">
        <w:r w:rsidRPr="00441185">
          <w:rPr>
            <w:color w:val="0000FF"/>
            <w:u w:val="single"/>
            <w:rtl/>
          </w:rPr>
          <w:t>חוק העונשין</w:t>
        </w:r>
      </w:hyperlink>
      <w:r>
        <w:rPr>
          <w:rFonts w:hint="cs"/>
          <w:rtl/>
        </w:rPr>
        <w:t xml:space="preserve"> שעניינו "הבניית שיקול הדעת השיפוטי בענישה" התווה את עקרון ההלימה כעיקרון מנחה בענישה לפיו נדרש יחס הולם בין חומרת מעשה העבירה בנסיבותיו ומידת אשמתו של הנאשם לבין סוג ומידת העונש המוטל עליו (</w:t>
      </w:r>
      <w:hyperlink r:id="rId25" w:history="1">
        <w:r w:rsidR="00324648" w:rsidRPr="00324648">
          <w:rPr>
            <w:color w:val="0000FF"/>
            <w:u w:val="single"/>
            <w:rtl/>
          </w:rPr>
          <w:t>ס' 40ב</w:t>
        </w:r>
      </w:hyperlink>
      <w:r>
        <w:rPr>
          <w:rFonts w:hint="cs"/>
          <w:rtl/>
        </w:rPr>
        <w:t xml:space="preserve"> לחוק העונשין). </w:t>
      </w:r>
    </w:p>
    <w:p w14:paraId="7A7E2E27" w14:textId="77777777" w:rsidR="00BC69CE" w:rsidRDefault="00BC69CE">
      <w:pPr>
        <w:spacing w:line="360" w:lineRule="auto"/>
        <w:ind w:left="720" w:hanging="720"/>
        <w:jc w:val="both"/>
        <w:rPr>
          <w:rtl/>
        </w:rPr>
      </w:pPr>
    </w:p>
    <w:p w14:paraId="55BD8A53" w14:textId="77777777" w:rsidR="00BC69CE" w:rsidRDefault="00441185">
      <w:pPr>
        <w:spacing w:line="360" w:lineRule="auto"/>
        <w:ind w:firstLine="720"/>
        <w:jc w:val="both"/>
        <w:rPr>
          <w:rtl/>
        </w:rPr>
      </w:pPr>
      <w:r>
        <w:rPr>
          <w:rFonts w:hint="cs"/>
          <w:rtl/>
        </w:rPr>
        <w:lastRenderedPageBreak/>
        <w:t>מלאכת גזירת הדין מורכבת משלושה שלבים עיקריים:</w:t>
      </w:r>
    </w:p>
    <w:p w14:paraId="63706B3E" w14:textId="77777777" w:rsidR="00BC69CE" w:rsidRDefault="00441185">
      <w:pPr>
        <w:spacing w:line="360" w:lineRule="auto"/>
        <w:ind w:left="720"/>
        <w:jc w:val="both"/>
        <w:rPr>
          <w:rtl/>
        </w:rPr>
      </w:pPr>
      <w:r>
        <w:rPr>
          <w:rFonts w:hint="cs"/>
          <w:rtl/>
        </w:rPr>
        <w:t xml:space="preserve">תחילה, אקבע את מתחם העונש ההולם למעשה העבירה שביצע הנאשם, על בסיס שיקולים נורמטיביים ואובייקטיבים, בהתחשב בערך החברתי שנפגע מביצוע העבירה, במידת הפגיעה בערך זה, במדיניות הענישה הנהוגה ובנסיבות הקשורות בביצוע העבירות כמפורט </w:t>
      </w:r>
      <w:hyperlink r:id="rId26" w:history="1">
        <w:r w:rsidR="00324648" w:rsidRPr="00324648">
          <w:rPr>
            <w:color w:val="0000FF"/>
            <w:u w:val="single"/>
            <w:rtl/>
          </w:rPr>
          <w:t>בסעיף 40ט</w:t>
        </w:r>
      </w:hyperlink>
      <w:r>
        <w:rPr>
          <w:rFonts w:hint="cs"/>
          <w:rtl/>
        </w:rPr>
        <w:t xml:space="preserve"> ל</w:t>
      </w:r>
      <w:hyperlink r:id="rId27" w:history="1">
        <w:r w:rsidRPr="00441185">
          <w:rPr>
            <w:color w:val="0000FF"/>
            <w:u w:val="single"/>
            <w:rtl/>
          </w:rPr>
          <w:t>חוק העונשין</w:t>
        </w:r>
      </w:hyperlink>
      <w:r>
        <w:rPr>
          <w:rFonts w:hint="cs"/>
          <w:rtl/>
        </w:rPr>
        <w:t xml:space="preserve"> (</w:t>
      </w:r>
      <w:hyperlink r:id="rId28" w:history="1">
        <w:r w:rsidR="00324648" w:rsidRPr="00324648">
          <w:rPr>
            <w:color w:val="0000FF"/>
            <w:u w:val="single"/>
            <w:rtl/>
          </w:rPr>
          <w:t>סעיף 40ג</w:t>
        </w:r>
      </w:hyperlink>
      <w:r>
        <w:rPr>
          <w:rFonts w:hint="cs"/>
          <w:rtl/>
        </w:rPr>
        <w:t xml:space="preserve"> לחוק העונשין); </w:t>
      </w:r>
    </w:p>
    <w:p w14:paraId="6ACF023C" w14:textId="77777777" w:rsidR="00BC69CE" w:rsidRDefault="00441185">
      <w:pPr>
        <w:spacing w:line="360" w:lineRule="auto"/>
        <w:ind w:left="720"/>
        <w:jc w:val="both"/>
        <w:rPr>
          <w:rtl/>
        </w:rPr>
      </w:pPr>
      <w:r>
        <w:rPr>
          <w:rFonts w:hint="cs"/>
          <w:rtl/>
        </w:rPr>
        <w:t>לאחר מכן, אבחן האם ראוי לחרוג מן המתחם לקולא בשל שיקולי שיקום (</w:t>
      </w:r>
      <w:hyperlink r:id="rId29" w:history="1">
        <w:r w:rsidR="00324648" w:rsidRPr="00324648">
          <w:rPr>
            <w:color w:val="0000FF"/>
            <w:u w:val="single"/>
            <w:rtl/>
          </w:rPr>
          <w:t>סעיף 40ד</w:t>
        </w:r>
      </w:hyperlink>
      <w:r>
        <w:rPr>
          <w:rFonts w:hint="cs"/>
          <w:rtl/>
        </w:rPr>
        <w:t xml:space="preserve"> ל</w:t>
      </w:r>
      <w:hyperlink r:id="rId30" w:history="1">
        <w:r w:rsidRPr="00441185">
          <w:rPr>
            <w:color w:val="0000FF"/>
            <w:u w:val="single"/>
            <w:rtl/>
          </w:rPr>
          <w:t>חוק העונשין</w:t>
        </w:r>
      </w:hyperlink>
      <w:r>
        <w:rPr>
          <w:rFonts w:hint="cs"/>
          <w:rtl/>
        </w:rPr>
        <w:t>) או לחומרא בשל שיקולי הגנה על שלום הציבור (</w:t>
      </w:r>
      <w:hyperlink r:id="rId31" w:history="1">
        <w:r w:rsidR="00324648" w:rsidRPr="00324648">
          <w:rPr>
            <w:color w:val="0000FF"/>
            <w:u w:val="single"/>
            <w:rtl/>
          </w:rPr>
          <w:t>סעיף 40ה</w:t>
        </w:r>
      </w:hyperlink>
      <w:r>
        <w:rPr>
          <w:rFonts w:hint="cs"/>
          <w:rtl/>
        </w:rPr>
        <w:t xml:space="preserve"> לחוק העונשין); </w:t>
      </w:r>
    </w:p>
    <w:p w14:paraId="2295BA66" w14:textId="77777777" w:rsidR="00BC69CE" w:rsidRDefault="00441185">
      <w:pPr>
        <w:spacing w:line="360" w:lineRule="auto"/>
        <w:ind w:left="720"/>
        <w:jc w:val="both"/>
        <w:rPr>
          <w:rtl/>
        </w:rPr>
      </w:pPr>
      <w:r>
        <w:rPr>
          <w:rFonts w:hint="cs"/>
          <w:rtl/>
        </w:rPr>
        <w:t>לבסוף, אקבע את העונש המתאים שיושת על הנאשם, בהתחשב בצורך בהרתעת הנאשם (סעיף</w:t>
      </w:r>
      <w:r w:rsidR="00324648">
        <w:rPr>
          <w:rFonts w:hint="cs"/>
          <w:rtl/>
        </w:rPr>
        <w:t xml:space="preserve"> </w:t>
      </w:r>
      <w:hyperlink r:id="rId32" w:history="1">
        <w:r w:rsidR="00324648" w:rsidRPr="00324648">
          <w:rPr>
            <w:color w:val="0000FF"/>
            <w:u w:val="single"/>
            <w:rtl/>
          </w:rPr>
          <w:t>40ו</w:t>
        </w:r>
      </w:hyperlink>
      <w:r>
        <w:rPr>
          <w:rFonts w:hint="cs"/>
          <w:rtl/>
        </w:rPr>
        <w:t xml:space="preserve"> ל</w:t>
      </w:r>
      <w:hyperlink r:id="rId33" w:history="1">
        <w:r w:rsidRPr="00441185">
          <w:rPr>
            <w:color w:val="0000FF"/>
            <w:u w:val="single"/>
            <w:rtl/>
          </w:rPr>
          <w:t>חוק העונשין</w:t>
        </w:r>
      </w:hyperlink>
      <w:r>
        <w:rPr>
          <w:rFonts w:hint="cs"/>
          <w:rtl/>
        </w:rPr>
        <w:t>), בצורך בהרתעת הרבים (סעיף</w:t>
      </w:r>
      <w:hyperlink r:id="rId34" w:history="1">
        <w:r w:rsidR="00324648" w:rsidRPr="00324648">
          <w:rPr>
            <w:color w:val="0000FF"/>
            <w:u w:val="single"/>
            <w:rtl/>
          </w:rPr>
          <w:t>40ז</w:t>
        </w:r>
      </w:hyperlink>
      <w:r>
        <w:rPr>
          <w:rFonts w:hint="cs"/>
          <w:rtl/>
        </w:rPr>
        <w:t xml:space="preserve"> לחוק העונשין) ובנסיבותיו האישיות של הנאשם שאינן קשורות בביצוע העבירה (</w:t>
      </w:r>
      <w:hyperlink r:id="rId35" w:history="1">
        <w:r w:rsidR="00324648" w:rsidRPr="00324648">
          <w:rPr>
            <w:color w:val="0000FF"/>
            <w:u w:val="single"/>
            <w:rtl/>
          </w:rPr>
          <w:t>סעיף 40יא</w:t>
        </w:r>
      </w:hyperlink>
      <w:r>
        <w:rPr>
          <w:rFonts w:hint="cs"/>
          <w:rtl/>
        </w:rPr>
        <w:t xml:space="preserve"> לחוק העונשין), כמו גם בנסיבות אחרות ככל שתמצאנה רלוונטיות (</w:t>
      </w:r>
      <w:hyperlink r:id="rId36" w:history="1">
        <w:r w:rsidR="00324648" w:rsidRPr="00324648">
          <w:rPr>
            <w:color w:val="0000FF"/>
            <w:u w:val="single"/>
            <w:rtl/>
          </w:rPr>
          <w:t>סעיף 40יב</w:t>
        </w:r>
      </w:hyperlink>
      <w:r>
        <w:rPr>
          <w:rFonts w:hint="cs"/>
          <w:rtl/>
        </w:rPr>
        <w:t xml:space="preserve"> לחוק העונשין).</w:t>
      </w:r>
    </w:p>
    <w:p w14:paraId="651CA59B" w14:textId="77777777" w:rsidR="00BC69CE" w:rsidRDefault="00441185">
      <w:pPr>
        <w:spacing w:line="360" w:lineRule="auto"/>
        <w:ind w:left="720"/>
        <w:jc w:val="both"/>
        <w:rPr>
          <w:rtl/>
        </w:rPr>
      </w:pPr>
      <w:r>
        <w:rPr>
          <w:rFonts w:hint="cs"/>
          <w:rtl/>
        </w:rPr>
        <w:t xml:space="preserve">[ראו: </w:t>
      </w:r>
      <w:hyperlink r:id="rId37" w:history="1">
        <w:r w:rsidRPr="00441185">
          <w:rPr>
            <w:color w:val="0000FF"/>
            <w:u w:val="single"/>
            <w:rtl/>
          </w:rPr>
          <w:t>ע"פ 2918/13</w:t>
        </w:r>
      </w:hyperlink>
      <w:r>
        <w:rPr>
          <w:rFonts w:hint="cs"/>
          <w:rtl/>
        </w:rPr>
        <w:t xml:space="preserve"> </w:t>
      </w:r>
      <w:r>
        <w:rPr>
          <w:rFonts w:hint="cs"/>
          <w:b/>
          <w:bCs/>
          <w:rtl/>
        </w:rPr>
        <w:t>דבס נ' מדינת ישראל</w:t>
      </w:r>
      <w:r>
        <w:rPr>
          <w:rFonts w:hint="cs"/>
          <w:rtl/>
        </w:rPr>
        <w:t xml:space="preserve"> (ניתן ביום 18.7.2013); </w:t>
      </w:r>
      <w:hyperlink r:id="rId38" w:history="1">
        <w:r w:rsidRPr="00441185">
          <w:rPr>
            <w:color w:val="0000FF"/>
            <w:u w:val="single"/>
            <w:rtl/>
          </w:rPr>
          <w:t>ע"פ 1903/13</w:t>
        </w:r>
      </w:hyperlink>
      <w:r>
        <w:rPr>
          <w:rFonts w:hint="cs"/>
          <w:rtl/>
        </w:rPr>
        <w:t xml:space="preserve"> </w:t>
      </w:r>
      <w:r>
        <w:rPr>
          <w:rFonts w:hint="cs"/>
          <w:b/>
          <w:bCs/>
          <w:rtl/>
        </w:rPr>
        <w:t>עיאשה נ' מדינת ישראל</w:t>
      </w:r>
      <w:r>
        <w:rPr>
          <w:rFonts w:hint="cs"/>
          <w:rtl/>
        </w:rPr>
        <w:t xml:space="preserve"> (ניתן ביום 14.7.2013); </w:t>
      </w:r>
      <w:hyperlink r:id="rId39" w:history="1">
        <w:r w:rsidRPr="00441185">
          <w:rPr>
            <w:color w:val="0000FF"/>
            <w:u w:val="single"/>
            <w:rtl/>
          </w:rPr>
          <w:t>ע"פ 1323/13</w:t>
        </w:r>
      </w:hyperlink>
      <w:r>
        <w:rPr>
          <w:rFonts w:hint="cs"/>
          <w:rtl/>
        </w:rPr>
        <w:t xml:space="preserve"> </w:t>
      </w:r>
      <w:r>
        <w:rPr>
          <w:rFonts w:hint="cs"/>
          <w:b/>
          <w:bCs/>
          <w:rtl/>
        </w:rPr>
        <w:t>חסן נ' מדינת ישראל</w:t>
      </w:r>
      <w:r>
        <w:rPr>
          <w:rFonts w:hint="cs"/>
          <w:rtl/>
        </w:rPr>
        <w:t xml:space="preserve"> (ניתן ביום 5.6.2013)].</w:t>
      </w:r>
    </w:p>
    <w:p w14:paraId="170A2140" w14:textId="77777777" w:rsidR="00BC69CE" w:rsidRDefault="00BC69CE">
      <w:pPr>
        <w:spacing w:line="360" w:lineRule="auto"/>
        <w:jc w:val="both"/>
        <w:rPr>
          <w:rtl/>
        </w:rPr>
      </w:pPr>
    </w:p>
    <w:p w14:paraId="7AAA43FA" w14:textId="77777777" w:rsidR="00BC69CE" w:rsidRDefault="00441185">
      <w:pPr>
        <w:spacing w:line="360" w:lineRule="auto"/>
        <w:jc w:val="both"/>
        <w:rPr>
          <w:b/>
          <w:bCs/>
          <w:u w:val="single"/>
          <w:rtl/>
        </w:rPr>
      </w:pPr>
      <w:r>
        <w:rPr>
          <w:rFonts w:hint="cs"/>
          <w:b/>
          <w:bCs/>
          <w:u w:val="single"/>
          <w:rtl/>
        </w:rPr>
        <w:t>מתחם העונש ההולם</w:t>
      </w:r>
    </w:p>
    <w:p w14:paraId="70FEC2B5" w14:textId="77777777" w:rsidR="00BC69CE" w:rsidRDefault="00BC69CE">
      <w:pPr>
        <w:spacing w:line="360" w:lineRule="auto"/>
        <w:jc w:val="both"/>
        <w:rPr>
          <w:rtl/>
        </w:rPr>
      </w:pPr>
    </w:p>
    <w:p w14:paraId="78808160" w14:textId="77777777" w:rsidR="00BC69CE" w:rsidRDefault="00441185">
      <w:pPr>
        <w:spacing w:line="360" w:lineRule="auto"/>
        <w:ind w:left="720" w:hanging="720"/>
        <w:jc w:val="both"/>
        <w:rPr>
          <w:rtl/>
        </w:rPr>
      </w:pPr>
      <w:r>
        <w:rPr>
          <w:rFonts w:hint="cs"/>
          <w:rtl/>
        </w:rPr>
        <w:t>7.</w:t>
      </w:r>
      <w:r>
        <w:rPr>
          <w:rFonts w:hint="cs"/>
          <w:rtl/>
        </w:rPr>
        <w:tab/>
        <w:t xml:space="preserve">מתחם העונש ההולם נקבע בהתאם לעקרון ההלימות כפי שהוגדר </w:t>
      </w:r>
      <w:hyperlink r:id="rId40" w:history="1">
        <w:r w:rsidR="00324648" w:rsidRPr="00324648">
          <w:rPr>
            <w:color w:val="0000FF"/>
            <w:u w:val="single"/>
            <w:rtl/>
          </w:rPr>
          <w:t>בסעיף 40ג(א)</w:t>
        </w:r>
      </w:hyperlink>
      <w:r>
        <w:rPr>
          <w:rFonts w:hint="cs"/>
          <w:rtl/>
        </w:rPr>
        <w:t xml:space="preserve"> ל</w:t>
      </w:r>
      <w:hyperlink r:id="rId41" w:history="1">
        <w:r w:rsidRPr="00441185">
          <w:rPr>
            <w:color w:val="0000FF"/>
            <w:u w:val="single"/>
            <w:rtl/>
          </w:rPr>
          <w:t>חוק העונשין</w:t>
        </w:r>
      </w:hyperlink>
      <w:r>
        <w:rPr>
          <w:rFonts w:hint="cs"/>
          <w:rtl/>
        </w:rPr>
        <w:t xml:space="preserve"> ולצורך כך על בית משפט להתחשב בשלושת אלה: ראשית, בערך החברתי שנפגע  מביצוע העבירה ובמידת הפגיעה בו; שנית, בנסיבות הקשורות בביצוע העבירה ומידת אשמו של הנאשם; שלישית, במדיניות הענישה הנהוגה (</w:t>
      </w:r>
      <w:hyperlink r:id="rId42" w:history="1">
        <w:r w:rsidRPr="00441185">
          <w:rPr>
            <w:color w:val="0000FF"/>
            <w:u w:val="single"/>
            <w:rtl/>
          </w:rPr>
          <w:t>ע"פ 8641/12</w:t>
        </w:r>
      </w:hyperlink>
      <w:r>
        <w:rPr>
          <w:rFonts w:hint="cs"/>
          <w:rtl/>
        </w:rPr>
        <w:t xml:space="preserve"> </w:t>
      </w:r>
      <w:r>
        <w:rPr>
          <w:rFonts w:hint="cs"/>
          <w:b/>
          <w:bCs/>
          <w:rtl/>
        </w:rPr>
        <w:t>סעד נ' מדינת ישראל</w:t>
      </w:r>
      <w:r>
        <w:rPr>
          <w:rFonts w:hint="cs"/>
          <w:rtl/>
        </w:rPr>
        <w:t xml:space="preserve"> (ניתן ביום 5.8.2013). אעמוד להלן על מרכיביו השונים של מתחם העונש ההולם. </w:t>
      </w:r>
    </w:p>
    <w:p w14:paraId="74F0482B" w14:textId="77777777" w:rsidR="00BC69CE" w:rsidRDefault="00441185">
      <w:pPr>
        <w:spacing w:line="360" w:lineRule="auto"/>
        <w:ind w:left="720" w:hanging="720"/>
        <w:jc w:val="both"/>
        <w:rPr>
          <w:rtl/>
        </w:rPr>
      </w:pPr>
      <w:r>
        <w:rPr>
          <w:rFonts w:hint="cs"/>
          <w:rtl/>
        </w:rPr>
        <w:tab/>
      </w:r>
    </w:p>
    <w:p w14:paraId="410D830C" w14:textId="77777777" w:rsidR="00BC69CE" w:rsidRDefault="00441185">
      <w:pPr>
        <w:spacing w:line="360" w:lineRule="auto"/>
        <w:ind w:left="720" w:hanging="720"/>
        <w:jc w:val="both"/>
        <w:rPr>
          <w:rFonts w:ascii="David" w:hAnsi="David"/>
          <w:rtl/>
          <w:lang w:eastAsia="he-IL"/>
        </w:rPr>
      </w:pPr>
      <w:r>
        <w:rPr>
          <w:rFonts w:hint="cs"/>
          <w:rtl/>
        </w:rPr>
        <w:t>8.</w:t>
      </w:r>
      <w:r>
        <w:rPr>
          <w:rFonts w:hint="cs"/>
          <w:rtl/>
        </w:rPr>
        <w:tab/>
      </w:r>
      <w:r>
        <w:rPr>
          <w:rFonts w:hint="cs"/>
          <w:b/>
          <w:bCs/>
          <w:rtl/>
        </w:rPr>
        <w:t>הערכים החברתיים שנפגעו ומידת הפגיעה</w:t>
      </w:r>
      <w:r>
        <w:rPr>
          <w:rFonts w:hint="cs"/>
          <w:rtl/>
        </w:rPr>
        <w:t xml:space="preserve">: הנאשם הורשע בביצוע ייבוא של </w:t>
      </w:r>
      <w:smartTag w:uri="urn:schemas-microsoft-com:office:smarttags" w:element="metricconverter">
        <w:smartTagPr>
          <w:attr w:name="ProductID" w:val="41.79 גרם"/>
        </w:smartTagPr>
        <w:r>
          <w:rPr>
            <w:rFonts w:hint="cs"/>
            <w:rtl/>
          </w:rPr>
          <w:t>41.79 גרם</w:t>
        </w:r>
      </w:smartTag>
      <w:r>
        <w:rPr>
          <w:rFonts w:hint="cs"/>
          <w:rtl/>
        </w:rPr>
        <w:t xml:space="preserve"> נטו סם מסוג חשיש.</w:t>
      </w:r>
      <w:r>
        <w:rPr>
          <w:rFonts w:ascii="David" w:hAnsi="David" w:hint="cs"/>
          <w:rtl/>
        </w:rPr>
        <w:t xml:space="preserve"> עבירה זו, של ייבוא ארצה של סמים מסוכנים, אף אם לא נעשתה לצורכי רווח כספי, פוגעת בערכים חברתיים של הגנה על שלום הציבור, ביטחונו ובריאותו מפני הפגיעה ההרסנית הכרוכה בשימוש באותם הסמים.</w:t>
      </w:r>
      <w:r>
        <w:rPr>
          <w:rFonts w:ascii="David" w:hAnsi="David" w:hint="cs"/>
          <w:rtl/>
          <w:lang w:eastAsia="he-IL"/>
        </w:rPr>
        <w:t xml:space="preserve"> </w:t>
      </w:r>
    </w:p>
    <w:p w14:paraId="3E692CB7" w14:textId="77777777" w:rsidR="00BC69CE" w:rsidRDefault="00441185">
      <w:pPr>
        <w:spacing w:line="360" w:lineRule="auto"/>
        <w:ind w:left="720" w:hanging="720"/>
        <w:jc w:val="both"/>
        <w:rPr>
          <w:rFonts w:ascii="David" w:hAnsi="David"/>
          <w:rtl/>
          <w:lang w:eastAsia="he-IL"/>
        </w:rPr>
      </w:pPr>
      <w:r>
        <w:rPr>
          <w:rFonts w:ascii="David" w:hAnsi="David" w:hint="cs"/>
          <w:rtl/>
          <w:lang w:eastAsia="he-IL"/>
        </w:rPr>
        <w:tab/>
        <w:t xml:space="preserve">במקרה דנן, </w:t>
      </w:r>
      <w:r>
        <w:rPr>
          <w:rFonts w:ascii="David" w:hAnsi="David" w:hint="cs"/>
          <w:b/>
          <w:bCs/>
          <w:rtl/>
          <w:lang w:eastAsia="he-IL"/>
        </w:rPr>
        <w:t>מידת הפגיעה בערכים המוגנים</w:t>
      </w:r>
      <w:r>
        <w:rPr>
          <w:rFonts w:ascii="David" w:hAnsi="David" w:hint="cs"/>
          <w:rtl/>
          <w:lang w:eastAsia="he-IL"/>
        </w:rPr>
        <w:t xml:space="preserve"> הינה משמעותית. אמנם, המדובר בסם מסוג חשיש, שאינו נמנה על הסמים הקשים כדוגמת הרואין וקוקאין, אך עסקינן בכמות העולה על כמות הסם שהוגדרה ב</w:t>
      </w:r>
      <w:hyperlink r:id="rId43" w:history="1">
        <w:r w:rsidRPr="00441185">
          <w:rPr>
            <w:rFonts w:ascii="David" w:hAnsi="David"/>
            <w:color w:val="0000FF"/>
            <w:u w:val="single"/>
            <w:rtl/>
            <w:lang w:eastAsia="he-IL"/>
          </w:rPr>
          <w:t>פקודת הסמים המסוכנים</w:t>
        </w:r>
      </w:hyperlink>
      <w:r>
        <w:rPr>
          <w:rFonts w:ascii="David" w:hAnsi="David" w:hint="cs"/>
          <w:rtl/>
          <w:lang w:eastAsia="he-IL"/>
        </w:rPr>
        <w:t xml:space="preserve"> כחזקה לסם שיועד לשימוש עצמי בלבד. </w:t>
      </w:r>
    </w:p>
    <w:p w14:paraId="63E53BA6" w14:textId="77777777" w:rsidR="00BC69CE" w:rsidRDefault="00BC69CE">
      <w:pPr>
        <w:spacing w:line="360" w:lineRule="auto"/>
        <w:ind w:left="720" w:hanging="720"/>
        <w:jc w:val="both"/>
        <w:rPr>
          <w:rFonts w:ascii="David" w:hAnsi="David"/>
          <w:rtl/>
          <w:lang w:eastAsia="he-IL"/>
        </w:rPr>
      </w:pPr>
    </w:p>
    <w:p w14:paraId="6C2E40F8" w14:textId="77777777" w:rsidR="00BC69CE" w:rsidRDefault="00441185">
      <w:pPr>
        <w:spacing w:line="360" w:lineRule="auto"/>
        <w:ind w:left="720" w:hanging="720"/>
        <w:jc w:val="both"/>
        <w:rPr>
          <w:rFonts w:ascii="David" w:hAnsi="David"/>
          <w:rtl/>
        </w:rPr>
      </w:pPr>
      <w:r>
        <w:rPr>
          <w:rFonts w:ascii="David" w:hAnsi="David" w:hint="cs"/>
          <w:rtl/>
          <w:lang w:eastAsia="he-IL"/>
        </w:rPr>
        <w:t>9.</w:t>
      </w:r>
      <w:r>
        <w:rPr>
          <w:rFonts w:ascii="David" w:hAnsi="David" w:hint="cs"/>
          <w:rtl/>
          <w:lang w:eastAsia="he-IL"/>
        </w:rPr>
        <w:tab/>
      </w:r>
      <w:r>
        <w:rPr>
          <w:rFonts w:hint="cs"/>
          <w:b/>
          <w:bCs/>
          <w:rtl/>
        </w:rPr>
        <w:t>מדיניות הענישה הנהוגה</w:t>
      </w:r>
      <w:r>
        <w:rPr>
          <w:rFonts w:hint="cs"/>
          <w:rtl/>
        </w:rPr>
        <w:t xml:space="preserve"> בעבירה שבוצעה מתחשבת בצורך במאבק בנגע הסמים מעלה כי במקרים דומים הוטלו על נאשמים עונשים מרתיעים. בית המשפט העליון </w:t>
      </w:r>
      <w:r>
        <w:rPr>
          <w:rFonts w:ascii="David" w:hAnsi="David" w:hint="cs"/>
          <w:rtl/>
        </w:rPr>
        <w:t xml:space="preserve">קבע בשורה ארוכה של פסקי דין, כי נגע הסמים פשה בארצנו כמגיפה ומשכך מצווים בתי המשפט לתרום את חלקם במלחמה נגד נגע זה על מנת לבלום את הצפת המדינה בכמויות גדולות של סם. </w:t>
      </w:r>
    </w:p>
    <w:p w14:paraId="457F58FD" w14:textId="77777777" w:rsidR="00BC69CE" w:rsidRDefault="00BC69CE">
      <w:pPr>
        <w:spacing w:line="360" w:lineRule="auto"/>
        <w:ind w:left="720" w:hanging="720"/>
        <w:jc w:val="both"/>
        <w:rPr>
          <w:rFonts w:ascii="David" w:hAnsi="David"/>
          <w:rtl/>
        </w:rPr>
      </w:pPr>
    </w:p>
    <w:p w14:paraId="4185B528" w14:textId="77777777" w:rsidR="00BC69CE" w:rsidRDefault="00441185">
      <w:pPr>
        <w:spacing w:line="360" w:lineRule="auto"/>
        <w:ind w:left="720" w:hanging="720"/>
        <w:jc w:val="both"/>
        <w:rPr>
          <w:rFonts w:ascii="David" w:hAnsi="David"/>
          <w:rtl/>
        </w:rPr>
      </w:pPr>
      <w:r>
        <w:rPr>
          <w:rFonts w:hint="cs"/>
          <w:b/>
          <w:bCs/>
          <w:rtl/>
        </w:rPr>
        <w:tab/>
      </w:r>
      <w:r>
        <w:rPr>
          <w:rFonts w:ascii="David" w:hAnsi="David" w:hint="cs"/>
          <w:rtl/>
        </w:rPr>
        <w:t>מי שנגרר אחרי מעשי עבירה המסכנים חיי אדם בצורה מפליגה, צריך לדעת אל-נכון כי אם ייתפס יטופל עניינו בכל חומרת הדין (</w:t>
      </w:r>
      <w:hyperlink r:id="rId44" w:history="1">
        <w:r w:rsidRPr="00441185">
          <w:rPr>
            <w:rFonts w:ascii="David" w:hAnsi="David"/>
            <w:color w:val="0000FF"/>
            <w:u w:val="single"/>
            <w:rtl/>
          </w:rPr>
          <w:t>ע"פ 575/88 עאטף בן-אחמד עודה נ' מדינת ישראל, פ"ד מב</w:t>
        </w:r>
      </w:hyperlink>
      <w:r>
        <w:rPr>
          <w:rFonts w:ascii="David" w:hAnsi="David" w:hint="cs"/>
          <w:rtl/>
        </w:rPr>
        <w:t xml:space="preserve">(4) 242). </w:t>
      </w:r>
      <w:r>
        <w:rPr>
          <w:rFonts w:ascii="David" w:hAnsi="David" w:hint="cs"/>
          <w:rtl/>
          <w:lang w:eastAsia="he-IL"/>
        </w:rPr>
        <w:t>יפים לעניין זה דברי כב' השופט א' שהם ב</w:t>
      </w:r>
      <w:hyperlink r:id="rId45" w:history="1">
        <w:r w:rsidRPr="00441185">
          <w:rPr>
            <w:rFonts w:ascii="David" w:hAnsi="David"/>
            <w:color w:val="0000FF"/>
            <w:u w:val="single"/>
            <w:rtl/>
            <w:lang w:eastAsia="he-IL"/>
          </w:rPr>
          <w:t>ע"פ 3117/12</w:t>
        </w:r>
      </w:hyperlink>
      <w:r>
        <w:rPr>
          <w:rFonts w:ascii="David" w:hAnsi="David" w:hint="cs"/>
          <w:rtl/>
          <w:lang w:eastAsia="he-IL"/>
        </w:rPr>
        <w:t xml:space="preserve"> </w:t>
      </w:r>
      <w:r>
        <w:rPr>
          <w:rFonts w:ascii="David" w:hAnsi="David" w:hint="cs"/>
          <w:b/>
          <w:bCs/>
          <w:rtl/>
          <w:lang w:eastAsia="he-IL"/>
        </w:rPr>
        <w:t xml:space="preserve">ארביב נ' מדינת ישראל </w:t>
      </w:r>
      <w:r>
        <w:rPr>
          <w:rFonts w:ascii="David" w:hAnsi="David" w:hint="cs"/>
          <w:rtl/>
          <w:lang w:eastAsia="he-IL"/>
        </w:rPr>
        <w:t>(ניתן ביום 6.9.2012):</w:t>
      </w:r>
    </w:p>
    <w:p w14:paraId="418391CE" w14:textId="77777777" w:rsidR="00BC69CE" w:rsidRDefault="00BC69CE">
      <w:pPr>
        <w:spacing w:line="360" w:lineRule="auto"/>
        <w:ind w:left="720"/>
        <w:jc w:val="both"/>
        <w:rPr>
          <w:rFonts w:ascii="David" w:hAnsi="David"/>
          <w:rtl/>
        </w:rPr>
      </w:pPr>
    </w:p>
    <w:p w14:paraId="6F7D503E" w14:textId="77777777" w:rsidR="00BC69CE" w:rsidRDefault="00441185">
      <w:pPr>
        <w:spacing w:line="360" w:lineRule="auto"/>
        <w:ind w:left="926" w:right="540"/>
        <w:jc w:val="both"/>
        <w:rPr>
          <w:rFonts w:ascii="David" w:hAnsi="David"/>
          <w:b/>
          <w:bCs/>
          <w:rtl/>
        </w:rPr>
      </w:pPr>
      <w:r>
        <w:rPr>
          <w:rFonts w:ascii="David" w:hAnsi="David" w:hint="cs"/>
          <w:b/>
          <w:bCs/>
          <w:rtl/>
        </w:rPr>
        <w:t xml:space="preserve">"בית משפט זה עמד, לא אחת, על חומרתן היתירה של עבירות הסמים, ועל ההשלכות הקשות שיש לשימוש בסם על גופו ועל נפשו של המשתמש (ראו, למשל, </w:t>
      </w:r>
      <w:hyperlink r:id="rId46" w:history="1">
        <w:r w:rsidRPr="00441185">
          <w:rPr>
            <w:rFonts w:ascii="David" w:hAnsi="David"/>
            <w:b/>
            <w:bCs/>
            <w:color w:val="0000FF"/>
            <w:u w:val="single"/>
            <w:rtl/>
          </w:rPr>
          <w:t>ע"פ 6029/03 מדינת ישראל נ' שמאי, פ"ד נח</w:t>
        </w:r>
      </w:hyperlink>
      <w:r>
        <w:rPr>
          <w:rFonts w:ascii="David" w:hAnsi="David" w:hint="cs"/>
          <w:b/>
          <w:bCs/>
          <w:rtl/>
        </w:rPr>
        <w:t>(2) 734 (2004)). לפיכך, אמורה הענישה "לשקף את הצורך הדוחק להביא להדברת הנגע" (שם, בעמ' 740). ב</w:t>
      </w:r>
      <w:hyperlink r:id="rId47" w:history="1">
        <w:r w:rsidRPr="00441185">
          <w:rPr>
            <w:rFonts w:ascii="David" w:hAnsi="David"/>
            <w:b/>
            <w:bCs/>
            <w:color w:val="0000FF"/>
            <w:u w:val="single"/>
            <w:rtl/>
          </w:rPr>
          <w:t>ע"פ 9482/09</w:t>
        </w:r>
      </w:hyperlink>
      <w:r>
        <w:rPr>
          <w:rFonts w:ascii="David" w:hAnsi="David" w:hint="cs"/>
          <w:b/>
          <w:bCs/>
          <w:rtl/>
        </w:rPr>
        <w:t xml:space="preserve"> ביטון נ' מדינת ישראל ([פורסם בנבו], 24.7.2011) נתן חברי, השופט ס' ג'ובראן, ביטוי למדיניות הענישה בעבירות סמים, באומרו: "אכן,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w:t>
      </w:r>
    </w:p>
    <w:p w14:paraId="357C5482" w14:textId="77777777" w:rsidR="00BC69CE" w:rsidRDefault="00BC69CE">
      <w:pPr>
        <w:spacing w:line="360" w:lineRule="auto"/>
        <w:ind w:left="926" w:right="540"/>
        <w:jc w:val="both"/>
        <w:rPr>
          <w:rFonts w:ascii="David" w:hAnsi="David"/>
          <w:b/>
          <w:bCs/>
          <w:rtl/>
        </w:rPr>
      </w:pPr>
    </w:p>
    <w:p w14:paraId="7DC2CDF9" w14:textId="77777777" w:rsidR="00BC69CE" w:rsidRDefault="00441185">
      <w:pPr>
        <w:spacing w:line="360" w:lineRule="auto"/>
        <w:ind w:left="926" w:right="540" w:hanging="224"/>
        <w:jc w:val="both"/>
        <w:rPr>
          <w:rFonts w:ascii="David" w:hAnsi="David"/>
          <w:rtl/>
        </w:rPr>
      </w:pPr>
      <w:r>
        <w:rPr>
          <w:rFonts w:ascii="David" w:hAnsi="David" w:hint="cs"/>
          <w:rtl/>
        </w:rPr>
        <w:t xml:space="preserve">ראה גם </w:t>
      </w:r>
      <w:hyperlink r:id="rId48" w:history="1">
        <w:r w:rsidRPr="00441185">
          <w:rPr>
            <w:rFonts w:ascii="David" w:hAnsi="David"/>
            <w:color w:val="0000FF"/>
            <w:u w:val="single"/>
            <w:rtl/>
          </w:rPr>
          <w:t>ע"פ 9482/09</w:t>
        </w:r>
      </w:hyperlink>
      <w:r>
        <w:rPr>
          <w:rFonts w:ascii="David" w:hAnsi="David" w:hint="cs"/>
          <w:rtl/>
        </w:rPr>
        <w:t xml:space="preserve"> </w:t>
      </w:r>
      <w:r>
        <w:rPr>
          <w:rFonts w:ascii="David" w:hAnsi="David" w:hint="cs"/>
          <w:b/>
          <w:bCs/>
          <w:rtl/>
        </w:rPr>
        <w:t>ביטון נ' מדינת ישראל</w:t>
      </w:r>
      <w:r>
        <w:rPr>
          <w:rFonts w:ascii="David" w:hAnsi="David" w:hint="cs"/>
          <w:rtl/>
        </w:rPr>
        <w:t xml:space="preserve"> (ניתן ביום 24.7.2011) בו נאמר:</w:t>
      </w:r>
    </w:p>
    <w:p w14:paraId="3564C5FD" w14:textId="77777777" w:rsidR="00BC69CE" w:rsidRDefault="00BC69CE">
      <w:pPr>
        <w:spacing w:line="360" w:lineRule="auto"/>
        <w:ind w:left="926" w:right="540"/>
        <w:jc w:val="both"/>
        <w:rPr>
          <w:rFonts w:ascii="David" w:hAnsi="David"/>
          <w:b/>
          <w:bCs/>
          <w:rtl/>
        </w:rPr>
      </w:pPr>
    </w:p>
    <w:p w14:paraId="760C508D" w14:textId="77777777" w:rsidR="00BC69CE" w:rsidRDefault="00441185">
      <w:pPr>
        <w:spacing w:line="360" w:lineRule="auto"/>
        <w:ind w:left="926" w:right="540"/>
        <w:jc w:val="both"/>
        <w:rPr>
          <w:rFonts w:ascii="David" w:hAnsi="David"/>
          <w:b/>
          <w:bCs/>
          <w:rtl/>
        </w:rPr>
      </w:pPr>
      <w:r>
        <w:rPr>
          <w:rFonts w:ascii="David" w:hAnsi="David" w:hint="cs"/>
          <w:b/>
          <w:bCs/>
          <w:rtl/>
        </w:rPr>
        <w:t>"אכן,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"עונש הולם למחזיקי סמים שלא לשימוש עצמי – קרי: למשולבים במערך ההפצה –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 (</w:t>
      </w:r>
      <w:hyperlink r:id="rId49" w:history="1">
        <w:r w:rsidRPr="00441185">
          <w:rPr>
            <w:rFonts w:ascii="David" w:hAnsi="David"/>
            <w:b/>
            <w:bCs/>
            <w:color w:val="0000FF"/>
            <w:u w:val="single"/>
            <w:rtl/>
          </w:rPr>
          <w:t>ע"פ 966/94</w:t>
        </w:r>
      </w:hyperlink>
      <w:r>
        <w:rPr>
          <w:rFonts w:ascii="David" w:hAnsi="David" w:hint="cs"/>
          <w:b/>
          <w:bCs/>
          <w:rtl/>
        </w:rPr>
        <w:t xml:space="preserve"> אמזלג נ' מדינת ישראל ([פורסם בנבו], 12.12.1995))."</w:t>
      </w:r>
    </w:p>
    <w:p w14:paraId="517B22AA" w14:textId="77777777" w:rsidR="00BC69CE" w:rsidRDefault="00BC69CE">
      <w:pPr>
        <w:spacing w:line="360" w:lineRule="auto"/>
        <w:rPr>
          <w:rFonts w:ascii="David" w:hAnsi="David"/>
          <w:rtl/>
        </w:rPr>
      </w:pPr>
    </w:p>
    <w:p w14:paraId="7BEDADE5" w14:textId="77777777" w:rsidR="00BC69CE" w:rsidRDefault="00441185">
      <w:pPr>
        <w:spacing w:line="360" w:lineRule="auto"/>
        <w:ind w:firstLine="720"/>
        <w:rPr>
          <w:rtl/>
        </w:rPr>
      </w:pPr>
      <w:r>
        <w:rPr>
          <w:rFonts w:ascii="David" w:hAnsi="David" w:hint="cs"/>
          <w:rtl/>
        </w:rPr>
        <w:t xml:space="preserve">ראה גם בעניין זה </w:t>
      </w:r>
      <w:hyperlink r:id="rId50" w:history="1">
        <w:r w:rsidRPr="00441185">
          <w:rPr>
            <w:color w:val="0000FF"/>
            <w:u w:val="single"/>
            <w:rtl/>
          </w:rPr>
          <w:t>ע"פ 6029/03 מדינת ישראל נ' גולן שמאי, פ"ד נח</w:t>
        </w:r>
      </w:hyperlink>
      <w:r>
        <w:rPr>
          <w:rFonts w:hint="cs"/>
          <w:rtl/>
        </w:rPr>
        <w:t xml:space="preserve">(2), 734  בו נקבע: </w:t>
      </w:r>
    </w:p>
    <w:p w14:paraId="683517BC" w14:textId="77777777" w:rsidR="00BC69CE" w:rsidRDefault="00BC69CE">
      <w:pPr>
        <w:spacing w:line="360" w:lineRule="auto"/>
        <w:ind w:left="985" w:right="426"/>
        <w:jc w:val="both"/>
        <w:rPr>
          <w:b/>
          <w:bCs/>
          <w:rtl/>
        </w:rPr>
      </w:pPr>
    </w:p>
    <w:p w14:paraId="57DC76B7" w14:textId="77777777" w:rsidR="00BC69CE" w:rsidRDefault="00441185">
      <w:pPr>
        <w:spacing w:line="360" w:lineRule="auto"/>
        <w:ind w:left="985" w:right="426"/>
        <w:jc w:val="both"/>
        <w:rPr>
          <w:b/>
          <w:bCs/>
          <w:rtl/>
        </w:rPr>
      </w:pPr>
      <w:r>
        <w:rPr>
          <w:rFonts w:hint="cs"/>
          <w:b/>
          <w:bCs/>
          <w:rtl/>
        </w:rPr>
        <w:t xml:space="preserve">"נגע הסמים אוכל באוכלוסיה שלנו בכל פה, והחברה הכריזה עליו מלחמת חורמה ומצפה שהעונשים שיגזרו ע"י בתי המשפט בשל עבירות סמים ישתלבו במאבק הכולל להדברת הנגע..." </w:t>
      </w:r>
    </w:p>
    <w:p w14:paraId="3FC32824" w14:textId="77777777" w:rsidR="00BC69CE" w:rsidRDefault="00BC69CE">
      <w:pPr>
        <w:spacing w:line="360" w:lineRule="auto"/>
        <w:ind w:left="720" w:hanging="720"/>
        <w:jc w:val="both"/>
        <w:rPr>
          <w:rtl/>
        </w:rPr>
      </w:pPr>
    </w:p>
    <w:p w14:paraId="3CE7C8DE" w14:textId="77777777" w:rsidR="00BC69CE" w:rsidRDefault="00BC69CE">
      <w:pPr>
        <w:spacing w:line="360" w:lineRule="auto"/>
        <w:ind w:left="720" w:hanging="720"/>
        <w:jc w:val="both"/>
        <w:rPr>
          <w:rtl/>
        </w:rPr>
      </w:pPr>
    </w:p>
    <w:p w14:paraId="2311B3AF" w14:textId="77777777" w:rsidR="00BC69CE" w:rsidRDefault="00441185">
      <w:pPr>
        <w:spacing w:line="360" w:lineRule="auto"/>
        <w:ind w:left="720" w:hanging="720"/>
        <w:jc w:val="both"/>
        <w:rPr>
          <w:rtl/>
        </w:rPr>
      </w:pPr>
      <w:r>
        <w:rPr>
          <w:rFonts w:hint="cs"/>
          <w:rtl/>
        </w:rPr>
        <w:t>10.</w:t>
      </w:r>
      <w:r>
        <w:rPr>
          <w:rFonts w:hint="cs"/>
          <w:rtl/>
        </w:rPr>
        <w:tab/>
        <w:t>עיון בפסיקה שניתנה במקרים דומים מעלה כי על הנאשמים הוטלו עונשי מאסר לתקופות שונות, בהתאם לנסיבות ביצוע העבירה ובנסיבותיו של הנאשם. כך למשל:</w:t>
      </w:r>
    </w:p>
    <w:p w14:paraId="7926FB8A" w14:textId="77777777" w:rsidR="00BC69CE" w:rsidRDefault="00BC69CE">
      <w:pPr>
        <w:spacing w:line="360" w:lineRule="auto"/>
        <w:ind w:left="720" w:hanging="720"/>
        <w:jc w:val="both"/>
        <w:rPr>
          <w:rtl/>
        </w:rPr>
      </w:pPr>
    </w:p>
    <w:p w14:paraId="678CDB76" w14:textId="77777777" w:rsidR="00BC69CE" w:rsidRDefault="00441185">
      <w:pPr>
        <w:spacing w:line="360" w:lineRule="auto"/>
        <w:ind w:left="1440" w:hanging="720"/>
        <w:jc w:val="both"/>
        <w:rPr>
          <w:rtl/>
        </w:rPr>
      </w:pPr>
      <w:r>
        <w:rPr>
          <w:rFonts w:hint="cs"/>
          <w:rtl/>
        </w:rPr>
        <w:t>א.</w:t>
      </w:r>
      <w:r>
        <w:rPr>
          <w:rFonts w:hint="cs"/>
          <w:rtl/>
        </w:rPr>
        <w:tab/>
        <w:t>ב</w:t>
      </w:r>
      <w:hyperlink r:id="rId51" w:history="1">
        <w:r w:rsidRPr="00441185">
          <w:rPr>
            <w:color w:val="0000FF"/>
            <w:u w:val="single"/>
            <w:rtl/>
          </w:rPr>
          <w:t>עפ"ג (מחוזי באר שבע) 13427-04-13</w:t>
        </w:r>
      </w:hyperlink>
      <w:r>
        <w:rPr>
          <w:rFonts w:hint="cs"/>
          <w:rtl/>
        </w:rPr>
        <w:t xml:space="preserve"> </w:t>
      </w:r>
      <w:r>
        <w:rPr>
          <w:rFonts w:hint="cs"/>
          <w:b/>
          <w:bCs/>
          <w:rtl/>
        </w:rPr>
        <w:t>דוד קדוש נ' מדינת ישראל</w:t>
      </w:r>
      <w:r>
        <w:rPr>
          <w:rFonts w:hint="cs"/>
          <w:rtl/>
        </w:rPr>
        <w:t xml:space="preserve"> (ניתן ביום 2.9.2013) הורשע הנאשם על יסוד הודאתו בעבירות של הספקת סם מסוכן מסוג חשיש במשקל </w:t>
      </w:r>
      <w:smartTag w:uri="urn:schemas-microsoft-com:office:smarttags" w:element="metricconverter">
        <w:smartTagPr>
          <w:attr w:name="ProductID" w:val="60.3 גרם"/>
        </w:smartTagPr>
        <w:r>
          <w:rPr>
            <w:rFonts w:hint="cs"/>
            <w:rtl/>
          </w:rPr>
          <w:t>60.3 גרם</w:t>
        </w:r>
      </w:smartTag>
      <w:r>
        <w:rPr>
          <w:rFonts w:hint="cs"/>
          <w:rtl/>
        </w:rPr>
        <w:t xml:space="preserve"> ו- </w:t>
      </w:r>
      <w:smartTag w:uri="urn:schemas-microsoft-com:office:smarttags" w:element="metricconverter">
        <w:smartTagPr>
          <w:attr w:name="ProductID" w:val="1.34 גרם"/>
        </w:smartTagPr>
        <w:r>
          <w:rPr>
            <w:rFonts w:hint="cs"/>
            <w:rtl/>
          </w:rPr>
          <w:t>1.34 גרם</w:t>
        </w:r>
      </w:smartTag>
      <w:r>
        <w:rPr>
          <w:rFonts w:hint="cs"/>
          <w:rtl/>
        </w:rPr>
        <w:t xml:space="preserve"> ובהחזקת סם מסוג חשיש לשימוש עצמי (</w:t>
      </w:r>
      <w:smartTag w:uri="urn:schemas-microsoft-com:office:smarttags" w:element="metricconverter">
        <w:smartTagPr>
          <w:attr w:name="ProductID" w:val="0.98 גרם"/>
        </w:smartTagPr>
        <w:r>
          <w:rPr>
            <w:rFonts w:hint="cs"/>
            <w:rtl/>
          </w:rPr>
          <w:t>0.98 גרם</w:t>
        </w:r>
      </w:smartTag>
      <w:r>
        <w:rPr>
          <w:rFonts w:hint="cs"/>
          <w:rtl/>
        </w:rPr>
        <w:t xml:space="preserve"> ו-</w:t>
      </w:r>
      <w:smartTag w:uri="urn:schemas-microsoft-com:office:smarttags" w:element="metricconverter">
        <w:smartTagPr>
          <w:attr w:name="ProductID" w:val="19.25 גרם"/>
        </w:smartTagPr>
        <w:r>
          <w:rPr>
            <w:rFonts w:hint="cs"/>
            <w:rtl/>
          </w:rPr>
          <w:t>19.25 גרם</w:t>
        </w:r>
      </w:smartTag>
      <w:r>
        <w:rPr>
          <w:rFonts w:hint="cs"/>
          <w:rtl/>
        </w:rPr>
        <w:t xml:space="preserve">). בית משפט המחוזי אישר את העונש שהוטל בערכאה הדיונית, אך קבע שחלק מהמאסרים המותנים שהופעלו ירוצו בחופף, כך שעל הנאשם הוטלו </w:t>
      </w:r>
      <w:r>
        <w:rPr>
          <w:rFonts w:hint="cs"/>
          <w:b/>
          <w:bCs/>
          <w:rtl/>
        </w:rPr>
        <w:t>12 חודשי מאסר בפועל</w:t>
      </w:r>
      <w:r>
        <w:rPr>
          <w:rFonts w:hint="cs"/>
          <w:rtl/>
        </w:rPr>
        <w:t>, ולאחר הפעלת שני מאסרים מותנים חלקם בחופף, הושתו על הנאשם 16 חודשי מאסר, קנס כספי ופסילת רישיון.</w:t>
      </w:r>
    </w:p>
    <w:p w14:paraId="21CC214D" w14:textId="77777777" w:rsidR="00BC69CE" w:rsidRDefault="00BC69CE">
      <w:pPr>
        <w:spacing w:line="360" w:lineRule="auto"/>
        <w:ind w:left="1440" w:hanging="720"/>
        <w:jc w:val="both"/>
        <w:rPr>
          <w:rtl/>
        </w:rPr>
      </w:pPr>
    </w:p>
    <w:p w14:paraId="2F263BE0" w14:textId="77777777" w:rsidR="00BC69CE" w:rsidRDefault="00441185">
      <w:pPr>
        <w:spacing w:line="360" w:lineRule="auto"/>
        <w:ind w:left="1440" w:hanging="720"/>
        <w:jc w:val="both"/>
        <w:rPr>
          <w:rFonts w:cs="Times New Roman"/>
          <w:sz w:val="26"/>
          <w:rtl/>
        </w:rPr>
      </w:pPr>
      <w:r>
        <w:rPr>
          <w:rFonts w:hint="cs"/>
          <w:rtl/>
        </w:rPr>
        <w:t>ב.</w:t>
      </w:r>
      <w:r>
        <w:rPr>
          <w:rFonts w:hint="cs"/>
          <w:rtl/>
        </w:rPr>
        <w:tab/>
        <w:t>ב</w:t>
      </w:r>
      <w:hyperlink r:id="rId52" w:history="1">
        <w:r w:rsidRPr="00441185">
          <w:rPr>
            <w:color w:val="0000FF"/>
            <w:u w:val="single"/>
            <w:rtl/>
          </w:rPr>
          <w:t>ת"פ (שלום כפר סבא) 16282-03-13</w:t>
        </w:r>
      </w:hyperlink>
      <w:r>
        <w:rPr>
          <w:rFonts w:hint="cs"/>
          <w:rtl/>
        </w:rPr>
        <w:t xml:space="preserve"> </w:t>
      </w:r>
      <w:r>
        <w:rPr>
          <w:rFonts w:hint="cs"/>
          <w:b/>
          <w:bCs/>
          <w:rtl/>
        </w:rPr>
        <w:t>מדינת ישראל נ' מוסטפא מסארווה</w:t>
      </w:r>
      <w:r>
        <w:rPr>
          <w:rFonts w:hint="cs"/>
          <w:rtl/>
        </w:rPr>
        <w:t xml:space="preserve"> (ניתן ביום 9.1.2014) הורשע הנאשם על יסוד הודאתו בסחר בסם מסוכן, בכך שבשתי הזדמנויות סחר בסם מסוג חשיש (</w:t>
      </w:r>
      <w:smartTag w:uri="urn:schemas-microsoft-com:office:smarttags" w:element="metricconverter">
        <w:smartTagPr>
          <w:attr w:name="ProductID" w:val="26.61 גרם"/>
        </w:smartTagPr>
        <w:r>
          <w:rPr>
            <w:rFonts w:hint="cs"/>
            <w:rtl/>
          </w:rPr>
          <w:t>26.61 גרם</w:t>
        </w:r>
      </w:smartTag>
      <w:r>
        <w:rPr>
          <w:rFonts w:hint="cs"/>
          <w:rtl/>
        </w:rPr>
        <w:t xml:space="preserve"> ו- </w:t>
      </w:r>
      <w:smartTag w:uri="urn:schemas-microsoft-com:office:smarttags" w:element="metricconverter">
        <w:smartTagPr>
          <w:attr w:name="ProductID" w:val="31.79 גרם"/>
        </w:smartTagPr>
        <w:r>
          <w:rPr>
            <w:rFonts w:hint="cs"/>
            <w:rtl/>
          </w:rPr>
          <w:t>31.79 גרם</w:t>
        </w:r>
      </w:smartTag>
      <w:r>
        <w:rPr>
          <w:rFonts w:hint="cs"/>
          <w:rtl/>
        </w:rPr>
        <w:t xml:space="preserve">). בית המשפט קבע </w:t>
      </w:r>
      <w:r>
        <w:rPr>
          <w:rFonts w:hint="cs"/>
          <w:b/>
          <w:bCs/>
          <w:rtl/>
        </w:rPr>
        <w:t>מתחם ענישה שנע בין 6 ל-12 חודשי מאסר</w:t>
      </w:r>
      <w:r>
        <w:rPr>
          <w:rFonts w:hint="cs"/>
          <w:rtl/>
        </w:rPr>
        <w:t xml:space="preserve"> בגין אירוע בודד בהתאם לסוג הסם, וכמותו והטיל על הנאשם, בעל עבר פלילי, </w:t>
      </w:r>
      <w:r>
        <w:rPr>
          <w:rFonts w:hint="cs"/>
          <w:b/>
          <w:bCs/>
          <w:rtl/>
        </w:rPr>
        <w:t>19 חודשי מאסר בפועל</w:t>
      </w:r>
      <w:r>
        <w:rPr>
          <w:rFonts w:hint="cs"/>
          <w:rtl/>
        </w:rPr>
        <w:t xml:space="preserve"> לצד הפעלת מאסר מותנה בן 6 חודשים ובסה"כ 22 חודשי מאסר, מאסר מותנה ופסילת רישיון.</w:t>
      </w:r>
    </w:p>
    <w:p w14:paraId="68D3BCFD" w14:textId="77777777" w:rsidR="00BC69CE" w:rsidRDefault="00BC69CE">
      <w:pPr>
        <w:spacing w:line="360" w:lineRule="auto"/>
        <w:ind w:left="1440" w:hanging="720"/>
        <w:jc w:val="both"/>
        <w:rPr>
          <w:rtl/>
        </w:rPr>
      </w:pPr>
    </w:p>
    <w:p w14:paraId="1E063417" w14:textId="77777777" w:rsidR="00BC69CE" w:rsidRDefault="00441185">
      <w:pPr>
        <w:spacing w:line="360" w:lineRule="auto"/>
        <w:ind w:left="1440" w:hanging="720"/>
        <w:jc w:val="both"/>
        <w:rPr>
          <w:rtl/>
        </w:rPr>
      </w:pPr>
      <w:r>
        <w:rPr>
          <w:rFonts w:hint="cs"/>
          <w:rtl/>
        </w:rPr>
        <w:t>ג.</w:t>
      </w:r>
      <w:r>
        <w:rPr>
          <w:rFonts w:hint="cs"/>
          <w:rtl/>
        </w:rPr>
        <w:tab/>
        <w:t>ב</w:t>
      </w:r>
      <w:hyperlink r:id="rId53" w:history="1">
        <w:r w:rsidRPr="00441185">
          <w:rPr>
            <w:color w:val="0000FF"/>
            <w:u w:val="single"/>
            <w:rtl/>
          </w:rPr>
          <w:t>ת"פ (שלום עכו) 39589-07-13</w:t>
        </w:r>
      </w:hyperlink>
      <w:r>
        <w:rPr>
          <w:rFonts w:hint="cs"/>
          <w:rtl/>
        </w:rPr>
        <w:t xml:space="preserve"> </w:t>
      </w:r>
      <w:r>
        <w:rPr>
          <w:rFonts w:hint="cs"/>
          <w:b/>
          <w:bCs/>
          <w:rtl/>
        </w:rPr>
        <w:t>מדינת ישראל נ' קנאר אסדי</w:t>
      </w:r>
      <w:r>
        <w:rPr>
          <w:rFonts w:hint="cs"/>
          <w:rtl/>
        </w:rPr>
        <w:t xml:space="preserve"> (ניתן ביום 16.10.2013) הורשע הנאשם על יסוד הודאתו בסחר בסם מסוכן בכך שבשתי הזדמנויות מכר סמים מסוכנים מסוג חשיש (</w:t>
      </w:r>
      <w:smartTag w:uri="urn:schemas-microsoft-com:office:smarttags" w:element="metricconverter">
        <w:smartTagPr>
          <w:attr w:name="ProductID" w:val="1.34 גרם"/>
        </w:smartTagPr>
        <w:r>
          <w:rPr>
            <w:rFonts w:hint="cs"/>
            <w:rtl/>
          </w:rPr>
          <w:t>1.34 גרם</w:t>
        </w:r>
      </w:smartTag>
      <w:r>
        <w:rPr>
          <w:rFonts w:hint="cs"/>
          <w:rtl/>
        </w:rPr>
        <w:t xml:space="preserve"> ו-</w:t>
      </w:r>
      <w:smartTag w:uri="urn:schemas-microsoft-com:office:smarttags" w:element="metricconverter">
        <w:smartTagPr>
          <w:attr w:name="ProductID" w:val="5.44 גרם"/>
        </w:smartTagPr>
        <w:r>
          <w:rPr>
            <w:rFonts w:hint="cs"/>
            <w:rtl/>
          </w:rPr>
          <w:t>5.44 גרם</w:t>
        </w:r>
      </w:smartTag>
      <w:r>
        <w:rPr>
          <w:rFonts w:hint="cs"/>
          <w:rtl/>
        </w:rPr>
        <w:t>) וטבליות</w:t>
      </w:r>
      <w:r>
        <w:t xml:space="preserve">MDPV </w:t>
      </w:r>
      <w:r>
        <w:rPr>
          <w:rFonts w:hint="cs"/>
          <w:rtl/>
        </w:rPr>
        <w:t xml:space="preserve">. בית המשפט קבע </w:t>
      </w:r>
      <w:r>
        <w:rPr>
          <w:rFonts w:hint="cs"/>
          <w:b/>
          <w:bCs/>
          <w:rtl/>
        </w:rPr>
        <w:t>מתחם ענישה שנע בין 7 ל-18 חודשי מאסר</w:t>
      </w:r>
      <w:r>
        <w:rPr>
          <w:rFonts w:hint="cs"/>
          <w:rtl/>
        </w:rPr>
        <w:t xml:space="preserve"> עבור כל מקרה והטיל על הנאשם, בעל עבר פלילי, </w:t>
      </w:r>
      <w:r>
        <w:rPr>
          <w:rFonts w:hint="cs"/>
          <w:b/>
          <w:bCs/>
          <w:rtl/>
        </w:rPr>
        <w:t>10 חודשי מאסר בפועל</w:t>
      </w:r>
      <w:r>
        <w:rPr>
          <w:rFonts w:hint="cs"/>
          <w:rtl/>
        </w:rPr>
        <w:t>, מאסרים מותנים וקנס כספי.</w:t>
      </w:r>
    </w:p>
    <w:p w14:paraId="6F092BB2" w14:textId="77777777" w:rsidR="00BC69CE" w:rsidRDefault="00BC69CE">
      <w:pPr>
        <w:spacing w:line="360" w:lineRule="auto"/>
        <w:ind w:left="1440" w:hanging="720"/>
        <w:jc w:val="both"/>
        <w:rPr>
          <w:rtl/>
        </w:rPr>
      </w:pPr>
    </w:p>
    <w:p w14:paraId="4DDE4798" w14:textId="77777777" w:rsidR="00BC69CE" w:rsidRDefault="00441185">
      <w:pPr>
        <w:spacing w:line="360" w:lineRule="auto"/>
        <w:ind w:left="1440" w:hanging="720"/>
        <w:jc w:val="both"/>
        <w:rPr>
          <w:rtl/>
        </w:rPr>
      </w:pPr>
      <w:r>
        <w:rPr>
          <w:rFonts w:hint="cs"/>
          <w:rtl/>
        </w:rPr>
        <w:t>ד.</w:t>
      </w:r>
      <w:r>
        <w:rPr>
          <w:rFonts w:hint="cs"/>
          <w:rtl/>
        </w:rPr>
        <w:tab/>
        <w:t>ב</w:t>
      </w:r>
      <w:hyperlink r:id="rId54" w:history="1">
        <w:r w:rsidRPr="00441185">
          <w:rPr>
            <w:color w:val="0000FF"/>
            <w:u w:val="single"/>
            <w:rtl/>
          </w:rPr>
          <w:t>ת"פ (שלום אילת) 30518-07-11</w:t>
        </w:r>
      </w:hyperlink>
      <w:r>
        <w:rPr>
          <w:rFonts w:hint="cs"/>
          <w:rtl/>
        </w:rPr>
        <w:t xml:space="preserve"> </w:t>
      </w:r>
      <w:r>
        <w:rPr>
          <w:rFonts w:hint="cs"/>
          <w:b/>
          <w:bCs/>
          <w:rtl/>
        </w:rPr>
        <w:t>מדינת ישראל נ' רן אברהם</w:t>
      </w:r>
      <w:r>
        <w:rPr>
          <w:rFonts w:hint="cs"/>
          <w:rtl/>
        </w:rPr>
        <w:t xml:space="preserve"> (ניתן ביום 12.1.2012) הורשע הנאשם על יסוד הודאתו במסגרת הסדר דיוני בעבירה של ייבוא, ייצוא, מסחר והספקת סם ובעברת החזקת סמים שלא לצריכה עצמית בכך שקיבל מאחר בשתי הזדמנויות סמים מסוכנים מסוג חשיש במשקל </w:t>
      </w:r>
      <w:smartTag w:uri="urn:schemas-microsoft-com:office:smarttags" w:element="metricconverter">
        <w:smartTagPr>
          <w:attr w:name="ProductID" w:val="100 גרם"/>
        </w:smartTagPr>
        <w:r>
          <w:rPr>
            <w:rFonts w:hint="cs"/>
            <w:rtl/>
          </w:rPr>
          <w:t>100 גרם</w:t>
        </w:r>
      </w:smartTag>
      <w:r>
        <w:rPr>
          <w:rFonts w:hint="cs"/>
          <w:rtl/>
        </w:rPr>
        <w:t xml:space="preserve"> ובמשקל </w:t>
      </w:r>
      <w:smartTag w:uri="urn:schemas-microsoft-com:office:smarttags" w:element="metricconverter">
        <w:smartTagPr>
          <w:attr w:name="ProductID" w:val="199.3 גרם"/>
        </w:smartTagPr>
        <w:r>
          <w:rPr>
            <w:rFonts w:hint="cs"/>
            <w:rtl/>
          </w:rPr>
          <w:t>199.3 גרם</w:t>
        </w:r>
      </w:smartTag>
      <w:r>
        <w:rPr>
          <w:rFonts w:hint="cs"/>
          <w:rtl/>
        </w:rPr>
        <w:t xml:space="preserve">, וחילק אותם למנות לצורך הפצתם. על הנאשם, בן 19 ללא עבר פלילי, הוטלו </w:t>
      </w:r>
      <w:r>
        <w:rPr>
          <w:rFonts w:hint="cs"/>
          <w:b/>
          <w:bCs/>
          <w:rtl/>
        </w:rPr>
        <w:t>6 חודשי מאסר בעבודות שירות</w:t>
      </w:r>
      <w:r>
        <w:rPr>
          <w:rFonts w:hint="cs"/>
          <w:rtl/>
        </w:rPr>
        <w:t>, מאסרים מותנים, צו מבחן והתחייבות.</w:t>
      </w:r>
    </w:p>
    <w:p w14:paraId="636D7CD7" w14:textId="77777777" w:rsidR="00BC69CE" w:rsidRDefault="00BC69CE">
      <w:pPr>
        <w:spacing w:line="360" w:lineRule="auto"/>
        <w:ind w:left="720" w:hanging="720"/>
        <w:jc w:val="both"/>
        <w:rPr>
          <w:rtl/>
        </w:rPr>
      </w:pPr>
    </w:p>
    <w:p w14:paraId="7A5B3026" w14:textId="77777777" w:rsidR="00BC69CE" w:rsidRDefault="00441185">
      <w:pPr>
        <w:spacing w:line="360" w:lineRule="auto"/>
        <w:ind w:left="702" w:hanging="709"/>
        <w:jc w:val="both"/>
        <w:rPr>
          <w:rtl/>
        </w:rPr>
      </w:pPr>
      <w:r>
        <w:rPr>
          <w:rFonts w:hint="cs"/>
          <w:rtl/>
        </w:rPr>
        <w:t>11.</w:t>
      </w:r>
      <w:r>
        <w:rPr>
          <w:rFonts w:hint="cs"/>
          <w:b/>
          <w:bCs/>
          <w:rtl/>
        </w:rPr>
        <w:tab/>
        <w:t>בבחינת הנסיבות הקשורות בביצוע העבירות</w:t>
      </w:r>
      <w:r>
        <w:rPr>
          <w:rFonts w:hint="cs"/>
          <w:rtl/>
        </w:rPr>
        <w:t xml:space="preserve"> (</w:t>
      </w:r>
      <w:hyperlink r:id="rId55" w:history="1">
        <w:r w:rsidR="00324648" w:rsidRPr="00324648">
          <w:rPr>
            <w:color w:val="0000FF"/>
            <w:u w:val="single"/>
            <w:rtl/>
          </w:rPr>
          <w:t>סעיף 40ט</w:t>
        </w:r>
      </w:hyperlink>
      <w:r>
        <w:rPr>
          <w:rFonts w:hint="cs"/>
          <w:rtl/>
        </w:rPr>
        <w:t xml:space="preserve"> ל</w:t>
      </w:r>
      <w:hyperlink r:id="rId56" w:history="1">
        <w:r w:rsidRPr="00441185">
          <w:rPr>
            <w:color w:val="0000FF"/>
            <w:u w:val="single"/>
            <w:rtl/>
          </w:rPr>
          <w:t>חוק העונשין</w:t>
        </w:r>
      </w:hyperlink>
      <w:r>
        <w:rPr>
          <w:rFonts w:hint="cs"/>
          <w:rtl/>
        </w:rPr>
        <w:t xml:space="preserve">), </w:t>
      </w:r>
      <w:r>
        <w:rPr>
          <w:rFonts w:ascii="David" w:hAnsi="David" w:hint="cs"/>
          <w:rtl/>
        </w:rPr>
        <w:t>נתתי דעתי לסוג הסם (חשיש) ולמשקלו (</w:t>
      </w:r>
      <w:smartTag w:uri="urn:schemas-microsoft-com:office:smarttags" w:element="metricconverter">
        <w:smartTagPr>
          <w:attr w:name="ProductID" w:val="41.79 גרם"/>
        </w:smartTagPr>
        <w:r>
          <w:rPr>
            <w:rFonts w:ascii="David" w:hAnsi="David" w:hint="cs"/>
            <w:rtl/>
          </w:rPr>
          <w:t>41.79 גרם</w:t>
        </w:r>
      </w:smartTag>
      <w:r>
        <w:rPr>
          <w:rFonts w:ascii="David" w:hAnsi="David" w:hint="cs"/>
          <w:rtl/>
        </w:rPr>
        <w:t xml:space="preserve"> נטו), ל</w:t>
      </w:r>
      <w:r>
        <w:rPr>
          <w:rFonts w:hint="cs"/>
          <w:rtl/>
        </w:rPr>
        <w:t>מידת אשמו של הנאשם לו חלק מרכזי ובלעדי במהלך הדברים ולכך שלא נשמעה סיבה המשמשת לזכותו לבצע את מעשיו והנאשם אף לא קרוב לסייג לאחריות פלילית. הנאשם נכנס לתחומי ישראל ממדינה שכנה, כאשר בגרביו הוסלק סם מסוג חשיש, כשהוא מחולק למספר רצועות נפרדות. אין מדובר בעבירה אקראית, אלא בעבירה שהינה פרי תכנון מוקדם וברי כי הנאשם היה מודע לאיסור שבמעשיו. בפני שירות המבחן טען הנאשם כי הסמים יועדו לחבר ואילו בטיעונים לעונש בבית המשפט נטען כי הסם נועד לצריכה עצמית על ידי הנאשם. בבחינת הנזק שנגרם מביצוע העבירה, יש להביא בכלל חשבון את הנזק שעלול היה להיגרם לנאשם ולציבור בכללותו ככל שהיה נעשה שימוש בסם על ידי הנאשם ו/או אחרים. מבלי להקל ראש בחומרת המעשה, דומני כי יש גם לתת את הדעת לסוג הסם, שאינו מן הקשים ולכמות שנתפסה (</w:t>
      </w:r>
      <w:smartTag w:uri="urn:schemas-microsoft-com:office:smarttags" w:element="metricconverter">
        <w:smartTagPr>
          <w:attr w:name="ProductID" w:val="41.79 גרם"/>
        </w:smartTagPr>
        <w:r>
          <w:rPr>
            <w:rFonts w:hint="cs"/>
            <w:rtl/>
          </w:rPr>
          <w:t>41.79 גרם</w:t>
        </w:r>
      </w:smartTag>
      <w:r>
        <w:rPr>
          <w:rFonts w:hint="cs"/>
          <w:rtl/>
        </w:rPr>
        <w:t xml:space="preserve"> נטו), שמצד אחד עולה על החזקה שנקבעה ככזו שמיועדת לשימוש עצמי ומנגד אין מדובר בכמות המצביעה, ולו לכאורה, על כוונה להפצת סם בהיקף ניכר. </w:t>
      </w:r>
    </w:p>
    <w:p w14:paraId="17531F2A" w14:textId="77777777" w:rsidR="00BC69CE" w:rsidRDefault="00BC69CE">
      <w:pPr>
        <w:spacing w:line="360" w:lineRule="auto"/>
        <w:ind w:left="720" w:hanging="720"/>
        <w:jc w:val="both"/>
        <w:rPr>
          <w:rtl/>
        </w:rPr>
      </w:pPr>
    </w:p>
    <w:p w14:paraId="6ADF3D63" w14:textId="77777777" w:rsidR="00BC69CE" w:rsidRDefault="00441185">
      <w:pPr>
        <w:spacing w:line="360" w:lineRule="auto"/>
        <w:ind w:left="720" w:hanging="720"/>
        <w:jc w:val="both"/>
        <w:rPr>
          <w:rtl/>
        </w:rPr>
      </w:pPr>
      <w:r>
        <w:rPr>
          <w:rFonts w:hint="cs"/>
          <w:rtl/>
        </w:rPr>
        <w:t>12.</w:t>
      </w:r>
      <w:r>
        <w:rPr>
          <w:rFonts w:hint="cs"/>
          <w:rtl/>
        </w:rPr>
        <w:tab/>
        <w:t xml:space="preserve">מכל המקובץ, בהתחשב בערכים החברתיים שנפגעו מביצוע העבירה, במידת הפגיעה בהם, במדיניות הענישה הנהוגה, בנסיבות הקשורות בביצוע העבירה והיחס ההולם בין חומרת מעשה העבירה בנסיבותיה ומידת אשמו של הנאשם ובין סוג ומידת העונש שיש להטיל עליו, סבורני כי </w:t>
      </w:r>
      <w:r>
        <w:rPr>
          <w:rFonts w:hint="cs"/>
          <w:b/>
          <w:bCs/>
          <w:rtl/>
        </w:rPr>
        <w:t>מתחם העונש ההולם</w:t>
      </w:r>
      <w:r>
        <w:rPr>
          <w:rFonts w:hint="cs"/>
          <w:rtl/>
        </w:rPr>
        <w:t xml:space="preserve"> לעבירה שבוצעה על ידי הנאשם נע החל ממאסר למשך 6 חודשים שיכול וירוצה בעבודות שירות ועד ל-12 חודשי מאסר בפועל. </w:t>
      </w:r>
    </w:p>
    <w:p w14:paraId="1142E279" w14:textId="77777777" w:rsidR="00BC69CE" w:rsidRDefault="00BC69CE">
      <w:pPr>
        <w:tabs>
          <w:tab w:val="left" w:pos="800"/>
        </w:tabs>
        <w:overflowPunct w:val="0"/>
        <w:autoSpaceDE w:val="0"/>
        <w:autoSpaceDN w:val="0"/>
        <w:adjustRightInd w:val="0"/>
        <w:spacing w:line="360" w:lineRule="auto"/>
        <w:ind w:left="800" w:hanging="800"/>
        <w:jc w:val="both"/>
        <w:rPr>
          <w:rtl/>
        </w:rPr>
      </w:pPr>
    </w:p>
    <w:p w14:paraId="4DF6F7D3" w14:textId="77777777" w:rsidR="00BC69CE" w:rsidRDefault="00441185">
      <w:pPr>
        <w:spacing w:line="360" w:lineRule="auto"/>
        <w:jc w:val="both"/>
        <w:rPr>
          <w:b/>
          <w:bCs/>
          <w:u w:val="single"/>
          <w:rtl/>
        </w:rPr>
      </w:pPr>
      <w:r>
        <w:rPr>
          <w:rFonts w:hint="cs"/>
          <w:b/>
          <w:bCs/>
          <w:u w:val="single"/>
          <w:rtl/>
        </w:rPr>
        <w:t>האם יש מקום לחריגה מגבולות מתחמי הענישה</w:t>
      </w:r>
    </w:p>
    <w:p w14:paraId="168E3884" w14:textId="77777777" w:rsidR="00BC69CE" w:rsidRDefault="00BC69CE">
      <w:pPr>
        <w:spacing w:line="360" w:lineRule="auto"/>
        <w:ind w:left="510" w:hanging="510"/>
        <w:jc w:val="both"/>
        <w:rPr>
          <w:rtl/>
        </w:rPr>
      </w:pPr>
    </w:p>
    <w:p w14:paraId="691AD1C7" w14:textId="77777777" w:rsidR="00BC69CE" w:rsidRDefault="00441185">
      <w:pPr>
        <w:spacing w:line="360" w:lineRule="auto"/>
        <w:ind w:left="720" w:hanging="720"/>
        <w:jc w:val="both"/>
        <w:rPr>
          <w:rtl/>
        </w:rPr>
      </w:pPr>
      <w:r>
        <w:rPr>
          <w:rFonts w:hint="cs"/>
          <w:rtl/>
        </w:rPr>
        <w:t>13.</w:t>
      </w:r>
      <w:r>
        <w:rPr>
          <w:rFonts w:hint="cs"/>
          <w:rtl/>
        </w:rPr>
        <w:tab/>
        <w:t>כאמור, על בית המשפט לבחון האם ראוי לחרוג מן המתחם בשל שיקולי שיקום המהווים שיקול לקולא (</w:t>
      </w:r>
      <w:hyperlink r:id="rId57" w:history="1">
        <w:r w:rsidR="00324648" w:rsidRPr="00324648">
          <w:rPr>
            <w:color w:val="0000FF"/>
            <w:u w:val="single"/>
            <w:rtl/>
          </w:rPr>
          <w:t>סעיף 40ד</w:t>
        </w:r>
      </w:hyperlink>
      <w:r>
        <w:rPr>
          <w:rFonts w:hint="cs"/>
          <w:rtl/>
        </w:rPr>
        <w:t xml:space="preserve"> ל</w:t>
      </w:r>
      <w:hyperlink r:id="rId58" w:history="1">
        <w:r w:rsidRPr="00441185">
          <w:rPr>
            <w:color w:val="0000FF"/>
            <w:u w:val="single"/>
            <w:rtl/>
          </w:rPr>
          <w:t>חוק העונשין</w:t>
        </w:r>
      </w:hyperlink>
      <w:r>
        <w:rPr>
          <w:rFonts w:hint="cs"/>
          <w:rtl/>
        </w:rPr>
        <w:t>); או מאידך, לחרוג מן המתחם בשל הצורך להגנה על שלום הציבור, המהווה שיקול לחומרה (</w:t>
      </w:r>
      <w:hyperlink r:id="rId59" w:history="1">
        <w:r w:rsidR="00324648" w:rsidRPr="00324648">
          <w:rPr>
            <w:color w:val="0000FF"/>
            <w:u w:val="single"/>
            <w:rtl/>
          </w:rPr>
          <w:t>סעיף 40ה</w:t>
        </w:r>
      </w:hyperlink>
      <w:r>
        <w:rPr>
          <w:rFonts w:hint="cs"/>
          <w:rtl/>
        </w:rPr>
        <w:t xml:space="preserve"> לחוק העונשין).</w:t>
      </w:r>
    </w:p>
    <w:p w14:paraId="44EEB77A" w14:textId="77777777" w:rsidR="00BC69CE" w:rsidRDefault="00BC69CE">
      <w:pPr>
        <w:spacing w:line="360" w:lineRule="auto"/>
        <w:ind w:left="720" w:hanging="720"/>
        <w:jc w:val="both"/>
        <w:rPr>
          <w:rtl/>
        </w:rPr>
      </w:pPr>
    </w:p>
    <w:p w14:paraId="1501AAA6" w14:textId="77777777" w:rsidR="00BC69CE" w:rsidRDefault="00441185">
      <w:pPr>
        <w:spacing w:line="360" w:lineRule="auto"/>
        <w:ind w:left="720"/>
        <w:jc w:val="both"/>
        <w:rPr>
          <w:rtl/>
        </w:rPr>
      </w:pPr>
      <w:r>
        <w:rPr>
          <w:rFonts w:hint="cs"/>
          <w:rtl/>
        </w:rPr>
        <w:t xml:space="preserve">בענייננו, לא מצאתי לחרוג ממתחם העונש ההולם, כפי קביעתי, בשל שיקולי שיקום. אמנם הנאשם הפסיק לצרוך סמים מסוכנים ובדיקות השתן שנערכו לו (הן במסגרת שירות המבחן והן לדרישת הממונה על עבודות שירות) נמצאו ללא שרידי סם, אך שירות המבחן העריך כי הנאשם אינו בשל להליך טיפולי (ר' </w:t>
      </w:r>
      <w:hyperlink r:id="rId60" w:history="1">
        <w:r w:rsidR="00324648" w:rsidRPr="00324648">
          <w:rPr>
            <w:color w:val="0000FF"/>
            <w:u w:val="single"/>
            <w:rtl/>
          </w:rPr>
          <w:t>סעיף 40ד(ב)</w:t>
        </w:r>
      </w:hyperlink>
      <w:r>
        <w:rPr>
          <w:rFonts w:hint="cs"/>
          <w:rtl/>
        </w:rPr>
        <w:t xml:space="preserve"> ל</w:t>
      </w:r>
      <w:hyperlink r:id="rId61" w:history="1">
        <w:r w:rsidRPr="00441185">
          <w:rPr>
            <w:color w:val="0000FF"/>
            <w:u w:val="single"/>
            <w:rtl/>
          </w:rPr>
          <w:t>חוק העונשין</w:t>
        </w:r>
      </w:hyperlink>
      <w:r>
        <w:rPr>
          <w:rFonts w:hint="cs"/>
          <w:rtl/>
        </w:rPr>
        <w:t>). מנגד, לא מצאתי כי החשש שהנאשם יחזור ויבצע עבירות דומות מצדיק חציית רף מתחם הענישה לחומרה משיקולי הגנה על שלום הציבור.</w:t>
      </w:r>
    </w:p>
    <w:p w14:paraId="7BFC6849" w14:textId="77777777" w:rsidR="00BC69CE" w:rsidRDefault="00BC69CE">
      <w:pPr>
        <w:spacing w:line="360" w:lineRule="auto"/>
        <w:ind w:left="720"/>
        <w:jc w:val="both"/>
        <w:rPr>
          <w:rtl/>
        </w:rPr>
      </w:pPr>
    </w:p>
    <w:p w14:paraId="1D39AB63" w14:textId="77777777" w:rsidR="00BC69CE" w:rsidRDefault="00441185">
      <w:pPr>
        <w:spacing w:line="360" w:lineRule="auto"/>
        <w:ind w:left="720"/>
        <w:jc w:val="both"/>
        <w:rPr>
          <w:rtl/>
        </w:rPr>
      </w:pPr>
      <w:r>
        <w:rPr>
          <w:rFonts w:hint="cs"/>
          <w:rtl/>
        </w:rPr>
        <w:t xml:space="preserve">אי-לכך, מכלול השיקולים, לרבות שיקולי הרתעת הנאשם ואחרים כמותו מפני ביצוע עבירות נוספות (ר' </w:t>
      </w:r>
      <w:hyperlink r:id="rId62" w:history="1">
        <w:r w:rsidR="00324648" w:rsidRPr="00324648">
          <w:rPr>
            <w:color w:val="0000FF"/>
            <w:u w:val="single"/>
            <w:rtl/>
          </w:rPr>
          <w:t>סעיפים 40ו</w:t>
        </w:r>
      </w:hyperlink>
      <w:r>
        <w:rPr>
          <w:rFonts w:hint="cs"/>
          <w:rtl/>
        </w:rPr>
        <w:t xml:space="preserve"> ו</w:t>
      </w:r>
      <w:hyperlink r:id="rId63" w:history="1">
        <w:r w:rsidR="00324648" w:rsidRPr="00324648">
          <w:rPr>
            <w:color w:val="0000FF"/>
            <w:u w:val="single"/>
            <w:rtl/>
          </w:rPr>
          <w:t>-40ז</w:t>
        </w:r>
      </w:hyperlink>
      <w:r>
        <w:rPr>
          <w:rFonts w:hint="cs"/>
          <w:rtl/>
        </w:rPr>
        <w:t xml:space="preserve"> ל</w:t>
      </w:r>
      <w:hyperlink r:id="rId64" w:history="1">
        <w:r w:rsidRPr="00441185">
          <w:rPr>
            <w:color w:val="0000FF"/>
            <w:u w:val="single"/>
            <w:rtl/>
          </w:rPr>
          <w:t>חוק העונשין</w:t>
        </w:r>
      </w:hyperlink>
      <w:r>
        <w:rPr>
          <w:rFonts w:hint="cs"/>
          <w:rtl/>
        </w:rPr>
        <w:t>), ינחוני בקביעת העונש המתאים לנאשם בגדרי מתחם הענישה.</w:t>
      </w:r>
    </w:p>
    <w:p w14:paraId="4870B9F9" w14:textId="77777777" w:rsidR="00BC69CE" w:rsidRDefault="00BC69CE">
      <w:pPr>
        <w:spacing w:line="360" w:lineRule="auto"/>
        <w:jc w:val="both"/>
        <w:rPr>
          <w:u w:val="single"/>
          <w:rtl/>
        </w:rPr>
      </w:pPr>
    </w:p>
    <w:p w14:paraId="279B6A76" w14:textId="77777777" w:rsidR="00BC69CE" w:rsidRDefault="00441185">
      <w:pPr>
        <w:spacing w:line="360" w:lineRule="auto"/>
        <w:jc w:val="both"/>
        <w:rPr>
          <w:b/>
          <w:bCs/>
          <w:u w:val="single"/>
          <w:rtl/>
        </w:rPr>
      </w:pPr>
      <w:r>
        <w:rPr>
          <w:rFonts w:hint="cs"/>
          <w:b/>
          <w:bCs/>
          <w:u w:val="single"/>
          <w:rtl/>
        </w:rPr>
        <w:t>נסיבות שאינן קשורות בביצוע העבירות</w:t>
      </w:r>
    </w:p>
    <w:p w14:paraId="10500504" w14:textId="77777777" w:rsidR="00BC69CE" w:rsidRDefault="00BC69CE">
      <w:pPr>
        <w:spacing w:line="360" w:lineRule="auto"/>
        <w:jc w:val="both"/>
        <w:rPr>
          <w:rtl/>
        </w:rPr>
      </w:pPr>
    </w:p>
    <w:p w14:paraId="68DD1D41" w14:textId="77777777" w:rsidR="00BC69CE" w:rsidRDefault="00441185">
      <w:pPr>
        <w:spacing w:line="360" w:lineRule="auto"/>
        <w:ind w:left="720" w:hanging="720"/>
        <w:jc w:val="both"/>
        <w:rPr>
          <w:rtl/>
        </w:rPr>
      </w:pPr>
      <w:r>
        <w:rPr>
          <w:rFonts w:hint="cs"/>
          <w:rtl/>
        </w:rPr>
        <w:t>14.</w:t>
      </w:r>
      <w:r>
        <w:rPr>
          <w:rFonts w:hint="cs"/>
          <w:rtl/>
        </w:rPr>
        <w:tab/>
        <w:t xml:space="preserve">לאחר קביעת מתחם העונש ההולם לעבירה בה הורשע הנאשם, יש לקבוע את העונש המתאים לנאשם. בגזירת העונש המתאים לנאשם שמלפניי וכמצוות </w:t>
      </w:r>
      <w:hyperlink r:id="rId65" w:history="1">
        <w:r w:rsidR="00324648" w:rsidRPr="00324648">
          <w:rPr>
            <w:color w:val="0000FF"/>
            <w:u w:val="single"/>
            <w:rtl/>
          </w:rPr>
          <w:t>סעיף 40יא</w:t>
        </w:r>
      </w:hyperlink>
      <w:r>
        <w:rPr>
          <w:rFonts w:hint="cs"/>
          <w:rtl/>
        </w:rPr>
        <w:t xml:space="preserve"> ל</w:t>
      </w:r>
      <w:hyperlink r:id="rId66" w:history="1">
        <w:r w:rsidRPr="00441185">
          <w:rPr>
            <w:color w:val="0000FF"/>
            <w:u w:val="single"/>
            <w:rtl/>
          </w:rPr>
          <w:t>חוק העונשין</w:t>
        </w:r>
      </w:hyperlink>
      <w:r>
        <w:rPr>
          <w:rFonts w:hint="cs"/>
          <w:rtl/>
        </w:rPr>
        <w:t>, יש מקום להתחשב בנסיבותיו האישיות, אשר אינן קשורות בביצוע העבירות. נסיבות אלה נלמדות, בין היתר בענייננו, מדבריו של הנאשם במסגרת הטיעונים לעונש, מרישומו הפלילי, מאמור בתסקירי שירות המבחן ומטיעוני הסנגור. בדרך זו חידד תיקון מס' 113 ל</w:t>
      </w:r>
      <w:hyperlink r:id="rId67" w:history="1">
        <w:r w:rsidRPr="00441185">
          <w:rPr>
            <w:color w:val="0000FF"/>
            <w:u w:val="single"/>
            <w:rtl/>
          </w:rPr>
          <w:t>חוק העונשין</w:t>
        </w:r>
      </w:hyperlink>
      <w:r>
        <w:rPr>
          <w:rFonts w:hint="cs"/>
          <w:rtl/>
        </w:rPr>
        <w:t xml:space="preserve"> את הצורך בהמשך נקיטת שיטת ענישה אינדיווידואלית, הבוחנת נסיבותיו של כל מקרה ואדם המובא לדין (</w:t>
      </w:r>
      <w:hyperlink r:id="rId68" w:history="1">
        <w:r w:rsidRPr="00441185">
          <w:rPr>
            <w:color w:val="0000FF"/>
            <w:u w:val="single"/>
            <w:rtl/>
          </w:rPr>
          <w:t>ע"פ 433/89 אטיאס נ' מדינת ישראל, פ"ד מג</w:t>
        </w:r>
      </w:hyperlink>
      <w:r>
        <w:rPr>
          <w:rFonts w:hint="cs"/>
          <w:rtl/>
        </w:rPr>
        <w:t xml:space="preserve">(4) 170; </w:t>
      </w:r>
      <w:hyperlink r:id="rId69" w:history="1">
        <w:r w:rsidRPr="00441185">
          <w:rPr>
            <w:color w:val="0000FF"/>
            <w:u w:val="single"/>
            <w:rtl/>
          </w:rPr>
          <w:t>ע"פ 5106/99 אבו ניג'מה נ' מדינת ישראל,פ"ד נד</w:t>
        </w:r>
      </w:hyperlink>
      <w:r>
        <w:rPr>
          <w:rFonts w:hint="cs"/>
          <w:rtl/>
        </w:rPr>
        <w:t xml:space="preserve">(1) 350; </w:t>
      </w:r>
      <w:hyperlink r:id="rId70" w:history="1">
        <w:r w:rsidRPr="00441185">
          <w:rPr>
            <w:color w:val="0000FF"/>
            <w:u w:val="single"/>
            <w:rtl/>
          </w:rPr>
          <w:t>רע"פ 3173/09</w:t>
        </w:r>
      </w:hyperlink>
      <w:r>
        <w:rPr>
          <w:rFonts w:hint="cs"/>
          <w:rtl/>
        </w:rPr>
        <w:t xml:space="preserve"> </w:t>
      </w:r>
      <w:r>
        <w:rPr>
          <w:rFonts w:hint="cs"/>
          <w:b/>
          <w:bCs/>
          <w:rtl/>
        </w:rPr>
        <w:t>פראגין נ' מדינת ישראל</w:t>
      </w:r>
      <w:r>
        <w:rPr>
          <w:rFonts w:hint="cs"/>
          <w:rtl/>
        </w:rPr>
        <w:t xml:space="preserve"> (ניתן ביום 5.5.2009)).</w:t>
      </w:r>
    </w:p>
    <w:p w14:paraId="05B8264D" w14:textId="77777777" w:rsidR="00BC69CE" w:rsidRDefault="00BC69CE">
      <w:pPr>
        <w:spacing w:line="360" w:lineRule="auto"/>
        <w:ind w:left="720" w:hanging="720"/>
        <w:jc w:val="both"/>
        <w:rPr>
          <w:rtl/>
        </w:rPr>
      </w:pPr>
    </w:p>
    <w:p w14:paraId="04A209BB" w14:textId="77777777" w:rsidR="00BC69CE" w:rsidRDefault="00441185">
      <w:pPr>
        <w:spacing w:line="360" w:lineRule="auto"/>
        <w:ind w:left="720" w:hanging="720"/>
        <w:jc w:val="both"/>
        <w:rPr>
          <w:rtl/>
        </w:rPr>
      </w:pPr>
      <w:r>
        <w:rPr>
          <w:rFonts w:hint="cs"/>
          <w:rtl/>
        </w:rPr>
        <w:t>15.</w:t>
      </w:r>
      <w:r>
        <w:rPr>
          <w:rFonts w:hint="cs"/>
          <w:rtl/>
        </w:rPr>
        <w:tab/>
        <w:t>ביום 11.6.2014 הוגש תסקיר מטעם שירות המבחן, במסגרתו פורטו נסיבותיו האישיות והמשפחתיות של הנאשם, אך מפאת צנעת הפרט אמנע מלפרט מעבר לנדרש. הנאשם יליד 1959, רווק, אינו עובד ומתקיים מקצבה מהמוסד לביטוח הלאומי וסובל מהתמכרות להימורים. הנאשם מתגורר עם אמו בת ה-85 הסובלת מלקות בראיה, מסייע לה וסועד אותה. מדיווח שהתקבל בשירות מגיסתו של הנאשם, נמסר כי הוא היחיד מבני המשפחה שמטפל באמו. צוין כי מגיל צעיר התקשה הנאשם להשתלב במסגרות המתאימות לגילו, לא גויס לצבא ומלבד תקופה של 7 שנים במהלכה עבד כחשמלאי, התקשה לשמור על יציבות תעסוקתית. בפני שירות המבחן, לקח הנאשם אחריות מלאה על ביצוע העבירה, אך התקשה להבין את חומרתה. בדיקה לאיתור שרידי סמים שנערכה לנאשם במסגרת שירות המבחן נמצאה נקיה והשירות העריך כי טיפול באמו מהווה עבורו גורם חיובי לשיקומו. עם זאת, העריך השירות כי קיים סיכון להישנות התנהגות עבריינית בשל קשייו להבין סיטואציות מורכבות ונטייתו למזער חומרת מעשיו. בנסיבות אלה, נמנע שירות המבחן מהמלצה טיפולית והמליץ להשית על הנאשם מאסר קצר שירוצה בעבודות שירות ומאסר מותנה.</w:t>
      </w:r>
    </w:p>
    <w:p w14:paraId="575BEF6C" w14:textId="77777777" w:rsidR="00BC69CE" w:rsidRDefault="00BC69CE">
      <w:pPr>
        <w:spacing w:line="360" w:lineRule="auto"/>
        <w:ind w:left="720" w:hanging="720"/>
        <w:jc w:val="both"/>
        <w:rPr>
          <w:rtl/>
        </w:rPr>
      </w:pPr>
    </w:p>
    <w:p w14:paraId="7CFCEDAE" w14:textId="77777777" w:rsidR="00BC69CE" w:rsidRDefault="00441185">
      <w:pPr>
        <w:spacing w:line="360" w:lineRule="auto"/>
        <w:ind w:left="720" w:hanging="720"/>
        <w:jc w:val="both"/>
        <w:rPr>
          <w:rtl/>
        </w:rPr>
      </w:pPr>
      <w:r>
        <w:rPr>
          <w:rFonts w:hint="cs"/>
          <w:rtl/>
        </w:rPr>
        <w:t>16.</w:t>
      </w:r>
      <w:r>
        <w:rPr>
          <w:rFonts w:hint="cs"/>
          <w:rtl/>
        </w:rPr>
        <w:tab/>
        <w:t>מעיון במרשם הפלילי של הנאשם, עולה כי לחובתו הרשעה קודמת בגין ביצוע עבירה של איומים ועבירה של העלבת עובד ציבור בגינן הוטלו עליו מאסר מותנה והתחייבות כספית לצד מכתב התנצלות.</w:t>
      </w:r>
    </w:p>
    <w:p w14:paraId="0E371830" w14:textId="77777777" w:rsidR="00BC69CE" w:rsidRDefault="00BC69CE">
      <w:pPr>
        <w:spacing w:line="360" w:lineRule="auto"/>
        <w:ind w:left="720" w:hanging="720"/>
        <w:jc w:val="both"/>
        <w:rPr>
          <w:rtl/>
        </w:rPr>
      </w:pPr>
    </w:p>
    <w:p w14:paraId="72A7932B" w14:textId="77777777" w:rsidR="00BC69CE" w:rsidRDefault="00441185">
      <w:pPr>
        <w:spacing w:line="360" w:lineRule="auto"/>
        <w:ind w:left="720" w:hanging="720"/>
        <w:jc w:val="both"/>
        <w:rPr>
          <w:rtl/>
        </w:rPr>
      </w:pPr>
      <w:r>
        <w:rPr>
          <w:rFonts w:hint="cs"/>
          <w:rtl/>
        </w:rPr>
        <w:t>17.</w:t>
      </w:r>
      <w:r>
        <w:rPr>
          <w:rFonts w:hint="cs"/>
          <w:rtl/>
        </w:rPr>
        <w:tab/>
        <w:t xml:space="preserve">בבסיס </w:t>
      </w:r>
      <w:r>
        <w:rPr>
          <w:rFonts w:hint="cs"/>
          <w:u w:val="single"/>
          <w:rtl/>
        </w:rPr>
        <w:t>השיקולים לחומרה</w:t>
      </w:r>
      <w:r>
        <w:rPr>
          <w:rFonts w:hint="cs"/>
          <w:rtl/>
        </w:rPr>
        <w:t xml:space="preserve"> עומדת חומרת העבירה שביצע הנאשם והמדיניות המשפטית בענישה בעבירה זו. אמנם, עברו של הנאשם אינו מכביד, אך אין זו ההסתבכות הראשונה </w:t>
      </w:r>
      <w:bookmarkStart w:id="7" w:name="_GoBack"/>
      <w:bookmarkEnd w:id="7"/>
      <w:r>
        <w:rPr>
          <w:rFonts w:hint="cs"/>
          <w:rtl/>
        </w:rPr>
        <w:t>עם החוק. הגם שהנאשם לקח אחריות על מעשיו והודה במיוחס לו, שירות המבחן התרשם כי הנ"ל  מתקשה להבין חומרת התנהלותו ועל כן לא נמצא בשל להליך טיפולי. בנוסף לכך, מחוות דעת הממונה על עבודות שירות עולה כי הנאשם נטה למזער מחומרת העבירה ונטה להשליך אחריות.</w:t>
      </w:r>
    </w:p>
    <w:p w14:paraId="21C5DF7F" w14:textId="77777777" w:rsidR="00BC69CE" w:rsidRDefault="00BC69CE">
      <w:pPr>
        <w:spacing w:line="360" w:lineRule="auto"/>
        <w:ind w:left="720" w:hanging="720"/>
        <w:jc w:val="both"/>
        <w:rPr>
          <w:rtl/>
        </w:rPr>
      </w:pPr>
    </w:p>
    <w:p w14:paraId="3F1BBCD1" w14:textId="77777777" w:rsidR="00BC69CE" w:rsidRDefault="00441185">
      <w:pPr>
        <w:spacing w:line="360" w:lineRule="auto"/>
        <w:ind w:left="720" w:hanging="720"/>
        <w:jc w:val="both"/>
        <w:rPr>
          <w:rFonts w:ascii="David" w:hAnsi="David"/>
          <w:rtl/>
        </w:rPr>
      </w:pPr>
      <w:r>
        <w:rPr>
          <w:rFonts w:hint="cs"/>
          <w:rtl/>
        </w:rPr>
        <w:t>18.</w:t>
      </w:r>
      <w:r>
        <w:rPr>
          <w:rFonts w:hint="cs"/>
          <w:rtl/>
        </w:rPr>
        <w:tab/>
        <w:t xml:space="preserve">בבסיס </w:t>
      </w:r>
      <w:r>
        <w:rPr>
          <w:rFonts w:hint="cs"/>
          <w:u w:val="single"/>
          <w:rtl/>
        </w:rPr>
        <w:t>השיקולים לקולא</w:t>
      </w:r>
      <w:r>
        <w:rPr>
          <w:rFonts w:hint="cs"/>
          <w:rtl/>
        </w:rPr>
        <w:t xml:space="preserve"> יש לציין כי הנאשם הודה בכתב האישום שתוקן לקולא, לקח אחריות על מעשיו וחסך מזמנו של בית המשפט. </w:t>
      </w:r>
      <w:r>
        <w:rPr>
          <w:rFonts w:ascii="David" w:hAnsi="David" w:hint="cs"/>
          <w:rtl/>
        </w:rPr>
        <w:t xml:space="preserve">הנאשם מסר שפסק מלצרוך סמים והבדיקות שנערכו לו כאמור אכן הצביעו על כך. הבאתי בכלל חשבון כי הנאשם מטפל לבדו באמו הקשישה והחולה, התלויה בו (בעניין זה עיינתי במכתב משירותי הרווחה שהגישה הסנגורית). בנסיבות אלה, נתתי את דעתי לתוצאות הענישה על הנאשם עצמו ועל משפחתו. </w:t>
      </w:r>
    </w:p>
    <w:p w14:paraId="262761D0" w14:textId="77777777" w:rsidR="00BC69CE" w:rsidRDefault="00BC69CE">
      <w:pPr>
        <w:spacing w:line="360" w:lineRule="auto"/>
        <w:ind w:left="720" w:hanging="720"/>
        <w:jc w:val="both"/>
        <w:rPr>
          <w:rFonts w:ascii="David" w:hAnsi="David"/>
          <w:rtl/>
        </w:rPr>
      </w:pPr>
    </w:p>
    <w:p w14:paraId="4FE031C4" w14:textId="77777777" w:rsidR="00BC69CE" w:rsidRDefault="00441185">
      <w:pPr>
        <w:spacing w:line="360" w:lineRule="auto"/>
        <w:ind w:left="720" w:hanging="720"/>
        <w:jc w:val="both"/>
        <w:rPr>
          <w:rtl/>
        </w:rPr>
      </w:pPr>
      <w:r>
        <w:rPr>
          <w:rFonts w:ascii="David" w:hAnsi="David" w:hint="cs"/>
          <w:rtl/>
        </w:rPr>
        <w:t>19.</w:t>
      </w:r>
      <w:r>
        <w:rPr>
          <w:rFonts w:ascii="David" w:hAnsi="David" w:hint="cs"/>
          <w:rtl/>
        </w:rPr>
        <w:tab/>
      </w:r>
      <w:r>
        <w:rPr>
          <w:rFonts w:hint="cs"/>
          <w:rtl/>
        </w:rPr>
        <w:t xml:space="preserve">בשל נסיבותיו האישיות והמשפחתיות, גילו ועברו הפלילי, מצאתי לאמץ את המלצות שירות המבחן ולקבוע את העונש המתאים לנאשם ברף התחתון של מתחם הענישה, כדי </w:t>
      </w:r>
      <w:r>
        <w:rPr>
          <w:rFonts w:ascii="David" w:hAnsi="David" w:hint="cs"/>
          <w:rtl/>
        </w:rPr>
        <w:t xml:space="preserve">שיהא בידי הנאשם להמשיך </w:t>
      </w:r>
      <w:r>
        <w:rPr>
          <w:rFonts w:hint="cs"/>
          <w:rtl/>
        </w:rPr>
        <w:t>לסעוד את אמו החולה, הזקוקה לעזרתו. הנאשם יתרום ויגמול לחברה על מעשיו בדרך של ביצוע עבודות שירות, לצד ענישה מרתיעה צופה פני עתיד, בדמות של מאסרים מותנים והתחייבות כספית.</w:t>
      </w:r>
    </w:p>
    <w:p w14:paraId="66E217CC" w14:textId="77777777" w:rsidR="00BC69CE" w:rsidRDefault="00BC69CE">
      <w:pPr>
        <w:spacing w:line="360" w:lineRule="auto"/>
        <w:ind w:left="720" w:hanging="720"/>
        <w:jc w:val="both"/>
        <w:rPr>
          <w:rtl/>
        </w:rPr>
      </w:pPr>
    </w:p>
    <w:p w14:paraId="0AB7E705" w14:textId="77777777" w:rsidR="00BC69CE" w:rsidRDefault="00441185">
      <w:pPr>
        <w:spacing w:line="360" w:lineRule="auto"/>
        <w:ind w:left="720" w:hanging="720"/>
        <w:jc w:val="both"/>
        <w:rPr>
          <w:rtl/>
        </w:rPr>
      </w:pPr>
      <w:r>
        <w:rPr>
          <w:rFonts w:hint="cs"/>
          <w:rtl/>
        </w:rPr>
        <w:t>20.</w:t>
      </w:r>
      <w:r>
        <w:rPr>
          <w:rFonts w:hint="cs"/>
          <w:rtl/>
        </w:rPr>
        <w:tab/>
        <w:t>הנאשם הופנה לממונה על עבודות שירות ונמצא מתאים לאחר שנתן הסכמתו לכך.</w:t>
      </w:r>
    </w:p>
    <w:p w14:paraId="4C267299" w14:textId="77777777" w:rsidR="00BC69CE" w:rsidRDefault="00BC69CE">
      <w:pPr>
        <w:spacing w:line="360" w:lineRule="auto"/>
        <w:ind w:left="720"/>
        <w:jc w:val="both"/>
        <w:rPr>
          <w:rtl/>
        </w:rPr>
      </w:pPr>
    </w:p>
    <w:p w14:paraId="7A0731DE" w14:textId="77777777" w:rsidR="00BC69CE" w:rsidRDefault="00441185">
      <w:pPr>
        <w:spacing w:line="360" w:lineRule="auto"/>
        <w:jc w:val="both"/>
        <w:rPr>
          <w:u w:val="single"/>
          <w:rtl/>
        </w:rPr>
      </w:pPr>
      <w:r>
        <w:rPr>
          <w:rFonts w:hint="cs"/>
          <w:u w:val="single"/>
          <w:rtl/>
        </w:rPr>
        <w:t>סוף דבר</w:t>
      </w:r>
    </w:p>
    <w:p w14:paraId="01110D22" w14:textId="77777777" w:rsidR="00BC69CE" w:rsidRDefault="00BC69CE">
      <w:pPr>
        <w:jc w:val="both"/>
        <w:rPr>
          <w:rtl/>
        </w:rPr>
      </w:pPr>
    </w:p>
    <w:p w14:paraId="06319205" w14:textId="77777777" w:rsidR="00BC69CE" w:rsidRDefault="00441185">
      <w:pPr>
        <w:spacing w:line="360" w:lineRule="auto"/>
        <w:ind w:left="720" w:hanging="720"/>
        <w:jc w:val="both"/>
        <w:rPr>
          <w:rtl/>
        </w:rPr>
      </w:pPr>
      <w:r>
        <w:rPr>
          <w:rFonts w:hint="cs"/>
          <w:rtl/>
        </w:rPr>
        <w:t>21.</w:t>
      </w:r>
      <w:r>
        <w:rPr>
          <w:rFonts w:hint="cs"/>
          <w:rtl/>
        </w:rPr>
        <w:tab/>
        <w:t>מכל הנתונים והשיקולים שפירטתי לעיל, מצאתי להשית על הנאשם עונש בגין אירוע כתב האישום, כדלקמן:</w:t>
      </w:r>
    </w:p>
    <w:p w14:paraId="36BB73EE" w14:textId="77777777" w:rsidR="00BC69CE" w:rsidRDefault="00BC69CE">
      <w:pPr>
        <w:ind w:left="720" w:hanging="720"/>
        <w:jc w:val="both"/>
        <w:rPr>
          <w:rtl/>
        </w:rPr>
      </w:pPr>
    </w:p>
    <w:p w14:paraId="505B3394" w14:textId="77777777" w:rsidR="00BC69CE" w:rsidRDefault="00441185">
      <w:pPr>
        <w:spacing w:line="360" w:lineRule="auto"/>
        <w:ind w:left="1440" w:hanging="720"/>
        <w:jc w:val="both"/>
        <w:rPr>
          <w:rFonts w:ascii="David" w:hAnsi="David"/>
          <w:rtl/>
          <w:lang w:eastAsia="he-IL"/>
        </w:rPr>
      </w:pPr>
      <w:r>
        <w:rPr>
          <w:rFonts w:hint="cs"/>
          <w:rtl/>
        </w:rPr>
        <w:t>א.</w:t>
      </w:r>
      <w:r>
        <w:rPr>
          <w:rFonts w:hint="cs"/>
          <w:rtl/>
        </w:rPr>
        <w:tab/>
      </w:r>
      <w:r>
        <w:rPr>
          <w:rFonts w:hint="cs"/>
          <w:u w:val="single"/>
          <w:rtl/>
        </w:rPr>
        <w:t>מאסר בפועל</w:t>
      </w:r>
      <w:r>
        <w:rPr>
          <w:rFonts w:hint="cs"/>
          <w:rtl/>
        </w:rPr>
        <w:t xml:space="preserve"> - מאסר בפועל משך 6 חודשים. </w:t>
      </w:r>
      <w:r>
        <w:rPr>
          <w:rFonts w:ascii="David" w:hAnsi="David" w:hint="cs"/>
          <w:rtl/>
          <w:lang w:eastAsia="he-IL"/>
        </w:rPr>
        <w:t>תקופת מאסרו תרוצה בדרך של עבודות שירות בהתאם לחוות דעת הממונה. הנאשם מוזהר כי כל הפרה בתנאי עבודות השירות יכולה ותביא להפקעתן המנהלית ולריצוי העונש במתקן כליאה. הודע לנאשם מקום השמתו והמועד עליו להתייצב לתחילת עבודות השירות, בהתאם לחוות דעת הממונה.</w:t>
      </w:r>
    </w:p>
    <w:p w14:paraId="55D6A59B" w14:textId="77777777" w:rsidR="00BC69CE" w:rsidRDefault="00BC69CE">
      <w:pPr>
        <w:spacing w:line="360" w:lineRule="auto"/>
        <w:ind w:left="1440" w:hanging="720"/>
        <w:jc w:val="both"/>
      </w:pPr>
    </w:p>
    <w:p w14:paraId="269C1A47" w14:textId="77777777" w:rsidR="00BC69CE" w:rsidRDefault="00441185">
      <w:pPr>
        <w:spacing w:line="360" w:lineRule="auto"/>
        <w:ind w:left="1440" w:hanging="720"/>
        <w:jc w:val="both"/>
        <w:rPr>
          <w:rtl/>
        </w:rPr>
      </w:pPr>
      <w:r>
        <w:rPr>
          <w:rFonts w:hint="cs"/>
          <w:rtl/>
        </w:rPr>
        <w:t>ב.</w:t>
      </w:r>
      <w:r>
        <w:rPr>
          <w:rFonts w:hint="cs"/>
          <w:rtl/>
        </w:rPr>
        <w:tab/>
      </w:r>
      <w:r>
        <w:rPr>
          <w:rFonts w:hint="cs"/>
          <w:u w:val="single"/>
          <w:rtl/>
        </w:rPr>
        <w:t>מאסר על תנאי</w:t>
      </w:r>
      <w:r>
        <w:rPr>
          <w:rFonts w:hint="cs"/>
          <w:rtl/>
        </w:rPr>
        <w:t xml:space="preserve"> - מאסר על תנאי לתקופה של 8 חודשים. הנאשם יישא בעונש זה אם בתקופה של שלוש שנים מהיום יבצע כל עבירת סמים מסוג פשע.</w:t>
      </w:r>
    </w:p>
    <w:p w14:paraId="4DA8F002" w14:textId="77777777" w:rsidR="00BC69CE" w:rsidRDefault="00BC69CE">
      <w:pPr>
        <w:spacing w:line="360" w:lineRule="auto"/>
        <w:ind w:left="1440" w:hanging="720"/>
        <w:jc w:val="both"/>
        <w:rPr>
          <w:rtl/>
        </w:rPr>
      </w:pPr>
    </w:p>
    <w:p w14:paraId="650C4AE0" w14:textId="77777777" w:rsidR="00BC69CE" w:rsidRDefault="00441185">
      <w:pPr>
        <w:spacing w:line="360" w:lineRule="auto"/>
        <w:ind w:left="1440" w:hanging="720"/>
        <w:jc w:val="both"/>
        <w:rPr>
          <w:rtl/>
        </w:rPr>
      </w:pPr>
      <w:r>
        <w:rPr>
          <w:rFonts w:hint="cs"/>
          <w:rtl/>
        </w:rPr>
        <w:t>ג.</w:t>
      </w:r>
      <w:r>
        <w:rPr>
          <w:rFonts w:hint="cs"/>
          <w:rtl/>
        </w:rPr>
        <w:tab/>
      </w:r>
      <w:r>
        <w:rPr>
          <w:rFonts w:hint="cs"/>
          <w:u w:val="single"/>
          <w:rtl/>
        </w:rPr>
        <w:t>מאסר על תנאי</w:t>
      </w:r>
      <w:r>
        <w:rPr>
          <w:rFonts w:hint="cs"/>
          <w:rtl/>
        </w:rPr>
        <w:t xml:space="preserve"> - מאסר על תנאי לתקופה של 5 חודשים. הנאשם יישא בעונש זה אם בתקופה של שלוש שנים מהיום יבצע כל עבירת סמים מסוג עוון.</w:t>
      </w:r>
    </w:p>
    <w:p w14:paraId="23A15E86" w14:textId="77777777" w:rsidR="00BC69CE" w:rsidRDefault="00BC69CE">
      <w:pPr>
        <w:spacing w:line="360" w:lineRule="auto"/>
        <w:ind w:left="1440" w:hanging="720"/>
        <w:jc w:val="both"/>
        <w:rPr>
          <w:rtl/>
        </w:rPr>
      </w:pPr>
    </w:p>
    <w:p w14:paraId="00B40AC8" w14:textId="77777777" w:rsidR="00BC69CE" w:rsidRDefault="00441185">
      <w:pPr>
        <w:spacing w:line="360" w:lineRule="auto"/>
        <w:ind w:left="1410" w:hanging="720"/>
        <w:jc w:val="both"/>
        <w:rPr>
          <w:rFonts w:ascii="David" w:hAnsi="David"/>
          <w:rtl/>
        </w:rPr>
      </w:pPr>
      <w:r>
        <w:rPr>
          <w:rFonts w:hint="cs"/>
          <w:rtl/>
        </w:rPr>
        <w:t>ד.</w:t>
      </w:r>
      <w:r>
        <w:rPr>
          <w:rFonts w:hint="cs"/>
          <w:rtl/>
        </w:rPr>
        <w:tab/>
      </w:r>
      <w:r>
        <w:rPr>
          <w:rFonts w:ascii="David" w:hAnsi="David" w:hint="cs"/>
          <w:u w:val="single"/>
          <w:rtl/>
        </w:rPr>
        <w:t>התחייבות</w:t>
      </w:r>
      <w:r>
        <w:rPr>
          <w:rFonts w:ascii="David" w:hAnsi="David" w:hint="cs"/>
          <w:rtl/>
        </w:rPr>
        <w:t xml:space="preserve"> - הנאשם יחתום על התחייבות בסכום של 7,000 ₪, להימנע מלעבור </w:t>
      </w:r>
      <w:r>
        <w:rPr>
          <w:rFonts w:ascii="David" w:hAnsi="David" w:hint="cs"/>
          <w:rtl/>
        </w:rPr>
        <w:tab/>
        <w:t>במשך שלוש שנים מהיום על כל עבירת סמים.</w:t>
      </w:r>
    </w:p>
    <w:p w14:paraId="160E54CE" w14:textId="77777777" w:rsidR="00BC69CE" w:rsidRDefault="00BC69CE">
      <w:pPr>
        <w:spacing w:line="360" w:lineRule="auto"/>
        <w:ind w:left="1410" w:hanging="720"/>
        <w:jc w:val="both"/>
        <w:rPr>
          <w:rFonts w:ascii="David" w:hAnsi="David"/>
          <w:rtl/>
        </w:rPr>
      </w:pPr>
    </w:p>
    <w:p w14:paraId="3ED81484" w14:textId="77777777" w:rsidR="00BC69CE" w:rsidRDefault="00441185">
      <w:pPr>
        <w:spacing w:line="360" w:lineRule="auto"/>
        <w:ind w:left="720" w:hanging="720"/>
        <w:jc w:val="both"/>
        <w:rPr>
          <w:rtl/>
        </w:rPr>
      </w:pPr>
      <w:r>
        <w:rPr>
          <w:rFonts w:hint="cs"/>
          <w:rtl/>
        </w:rPr>
        <w:t>22.</w:t>
      </w:r>
      <w:r>
        <w:rPr>
          <w:rFonts w:hint="cs"/>
          <w:rtl/>
        </w:rPr>
        <w:tab/>
        <w:t xml:space="preserve">הנני מורה על השמדת הסמים באחריות המאשימה. באשר ליתר המוצגים - ניתן בזאת צו להשמדה/חילוט/השבה, לפי שיקול דעת המאשימה. </w:t>
      </w:r>
    </w:p>
    <w:p w14:paraId="0297DB58" w14:textId="77777777" w:rsidR="00BC69CE" w:rsidRDefault="00BC69CE">
      <w:pPr>
        <w:spacing w:line="360" w:lineRule="auto"/>
        <w:ind w:left="720" w:hanging="720"/>
        <w:jc w:val="both"/>
        <w:rPr>
          <w:rtl/>
        </w:rPr>
      </w:pPr>
    </w:p>
    <w:p w14:paraId="16C6706D" w14:textId="77777777" w:rsidR="00BC69CE" w:rsidRDefault="00441185">
      <w:pPr>
        <w:spacing w:line="360" w:lineRule="auto"/>
        <w:ind w:left="720" w:hanging="720"/>
        <w:jc w:val="both"/>
        <w:rPr>
          <w:rtl/>
        </w:rPr>
      </w:pPr>
      <w:r>
        <w:rPr>
          <w:rFonts w:hint="cs"/>
          <w:rtl/>
        </w:rPr>
        <w:t>23.</w:t>
      </w:r>
      <w:r>
        <w:rPr>
          <w:rFonts w:hint="cs"/>
          <w:rtl/>
        </w:rPr>
        <w:tab/>
        <w:t>המזכירות תשלח העתק גזר הדין לשירות המבחן בירושלים ולממונה על עבודות השירות.</w:t>
      </w:r>
    </w:p>
    <w:p w14:paraId="55D3B494" w14:textId="77777777" w:rsidR="00BC69CE" w:rsidRDefault="00BC69CE">
      <w:pPr>
        <w:spacing w:line="360" w:lineRule="auto"/>
        <w:ind w:left="720" w:hanging="720"/>
        <w:jc w:val="both"/>
        <w:rPr>
          <w:rtl/>
        </w:rPr>
      </w:pPr>
    </w:p>
    <w:p w14:paraId="35C37E56" w14:textId="77777777" w:rsidR="00BC69CE" w:rsidRDefault="00441185">
      <w:pPr>
        <w:spacing w:line="360" w:lineRule="auto"/>
        <w:ind w:left="720" w:hanging="720"/>
        <w:jc w:val="both"/>
        <w:rPr>
          <w:rtl/>
        </w:rPr>
      </w:pPr>
      <w:r>
        <w:rPr>
          <w:rFonts w:hint="cs"/>
          <w:rtl/>
        </w:rPr>
        <w:t>זכות ערעור לבית המשפט המחוזי בתוך 45 יום.</w:t>
      </w:r>
    </w:p>
    <w:p w14:paraId="27D28AA7" w14:textId="77777777" w:rsidR="00BC69CE" w:rsidRDefault="00BC69CE">
      <w:pPr>
        <w:rPr>
          <w:rtl/>
        </w:rPr>
      </w:pPr>
    </w:p>
    <w:p w14:paraId="531DE13D" w14:textId="77777777" w:rsidR="00BC69CE" w:rsidRPr="00441185" w:rsidRDefault="00441185">
      <w:pPr>
        <w:rPr>
          <w:color w:val="FFFFFF"/>
          <w:sz w:val="2"/>
          <w:szCs w:val="2"/>
          <w:rtl/>
        </w:rPr>
      </w:pPr>
      <w:r w:rsidRPr="00441185">
        <w:rPr>
          <w:color w:val="FFFFFF"/>
          <w:sz w:val="2"/>
          <w:szCs w:val="2"/>
          <w:rtl/>
        </w:rPr>
        <w:t>5129371</w:t>
      </w:r>
    </w:p>
    <w:p w14:paraId="3C56C052" w14:textId="77777777" w:rsidR="00BC69CE" w:rsidRDefault="00441185">
      <w:pPr>
        <w:rPr>
          <w:rFonts w:cs="FrankRuehl"/>
          <w:sz w:val="28"/>
          <w:szCs w:val="28"/>
          <w:rtl/>
        </w:rPr>
      </w:pPr>
      <w:r w:rsidRPr="00441185">
        <w:rPr>
          <w:rFonts w:ascii="Arial" w:hAnsi="Arial"/>
          <w:color w:val="FFFFFF"/>
          <w:sz w:val="2"/>
          <w:szCs w:val="2"/>
          <w:rtl/>
        </w:rPr>
        <w:t>54678313</w:t>
      </w:r>
      <w:r>
        <w:rPr>
          <w:rFonts w:ascii="Arial" w:hAnsi="Arial"/>
          <w:rtl/>
        </w:rPr>
        <w:t xml:space="preserve">ניתן היום,  י"ט סיוון תשע"ד, 17 יוני 2014, במעמד הצדדים. </w:t>
      </w:r>
    </w:p>
    <w:p w14:paraId="671CD77D" w14:textId="77777777" w:rsidR="00BC69CE" w:rsidRDefault="0044118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883BE1C" w14:textId="77777777" w:rsidR="00BC69CE" w:rsidRDefault="00BC69CE">
      <w:pPr>
        <w:jc w:val="center"/>
        <w:rPr>
          <w:rFonts w:ascii="Arial" w:hAnsi="Arial" w:cs="FrankRuehl"/>
          <w:sz w:val="28"/>
          <w:szCs w:val="28"/>
          <w:rtl/>
        </w:rPr>
      </w:pPr>
    </w:p>
    <w:p w14:paraId="512120FF" w14:textId="77777777" w:rsidR="00BC69CE" w:rsidRDefault="00BC69CE">
      <w:pPr>
        <w:rPr>
          <w:rFonts w:cs="FrankRuehl"/>
          <w:sz w:val="28"/>
          <w:szCs w:val="28"/>
          <w:rtl/>
        </w:rPr>
      </w:pPr>
    </w:p>
    <w:p w14:paraId="7EFBB4E5" w14:textId="77777777" w:rsidR="00BC69CE" w:rsidRDefault="00BC69CE">
      <w:pPr>
        <w:pStyle w:val="a3"/>
        <w:jc w:val="center"/>
        <w:rPr>
          <w:rtl/>
        </w:rPr>
      </w:pPr>
    </w:p>
    <w:p w14:paraId="1957A25D" w14:textId="77777777" w:rsidR="00441185" w:rsidRPr="00441185" w:rsidRDefault="00441185" w:rsidP="00441185">
      <w:pPr>
        <w:keepNext/>
        <w:rPr>
          <w:rFonts w:ascii="David" w:hAnsi="David"/>
          <w:color w:val="000000"/>
          <w:sz w:val="22"/>
          <w:szCs w:val="22"/>
          <w:rtl/>
        </w:rPr>
      </w:pPr>
    </w:p>
    <w:p w14:paraId="51FC9649" w14:textId="77777777" w:rsidR="00441185" w:rsidRPr="00441185" w:rsidRDefault="00441185" w:rsidP="00441185">
      <w:pPr>
        <w:keepNext/>
        <w:rPr>
          <w:rFonts w:ascii="David" w:hAnsi="David"/>
          <w:color w:val="000000"/>
          <w:sz w:val="22"/>
          <w:szCs w:val="22"/>
          <w:rtl/>
        </w:rPr>
      </w:pPr>
      <w:r w:rsidRPr="00441185">
        <w:rPr>
          <w:rFonts w:ascii="David" w:hAnsi="David"/>
          <w:color w:val="000000"/>
          <w:sz w:val="22"/>
          <w:szCs w:val="22"/>
          <w:rtl/>
        </w:rPr>
        <w:t>יוסי טופף 54678313</w:t>
      </w:r>
    </w:p>
    <w:p w14:paraId="621E59D1" w14:textId="77777777" w:rsidR="00441185" w:rsidRDefault="00441185" w:rsidP="00441185">
      <w:r w:rsidRPr="00441185">
        <w:rPr>
          <w:color w:val="000000"/>
          <w:rtl/>
        </w:rPr>
        <w:t>נוסח מסמך זה כפוף לשינויי ניסוח ועריכה</w:t>
      </w:r>
    </w:p>
    <w:p w14:paraId="416884F6" w14:textId="77777777" w:rsidR="00441185" w:rsidRDefault="00441185" w:rsidP="00441185">
      <w:pPr>
        <w:rPr>
          <w:rtl/>
        </w:rPr>
      </w:pPr>
    </w:p>
    <w:p w14:paraId="61C1A9A2" w14:textId="77777777" w:rsidR="00441185" w:rsidRDefault="00441185" w:rsidP="00441185">
      <w:pPr>
        <w:jc w:val="center"/>
        <w:rPr>
          <w:color w:val="0000FF"/>
          <w:u w:val="single"/>
        </w:rPr>
      </w:pPr>
      <w:hyperlink r:id="rId71" w:history="1">
        <w:r>
          <w:rPr>
            <w:color w:val="0000FF"/>
            <w:u w:val="single"/>
            <w:rtl/>
          </w:rPr>
          <w:t>בעניין עריכה ושינויים במסמכי פסיקה, חקיקה ועוד באתר נבו – הקש כאן</w:t>
        </w:r>
      </w:hyperlink>
    </w:p>
    <w:p w14:paraId="5D9584A4" w14:textId="77777777" w:rsidR="00BC69CE" w:rsidRPr="00441185" w:rsidRDefault="00BC69CE" w:rsidP="00441185">
      <w:pPr>
        <w:jc w:val="center"/>
        <w:rPr>
          <w:color w:val="0000FF"/>
          <w:u w:val="single"/>
        </w:rPr>
      </w:pPr>
    </w:p>
    <w:sectPr w:rsidR="00BC69CE" w:rsidRPr="00441185" w:rsidSect="00441185">
      <w:headerReference w:type="even" r:id="rId72"/>
      <w:headerReference w:type="default" r:id="rId73"/>
      <w:footerReference w:type="even" r:id="rId74"/>
      <w:footerReference w:type="default" r:id="rId7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DF645F" w14:textId="77777777" w:rsidR="00466395" w:rsidRPr="00CC35A1" w:rsidRDefault="00466395">
      <w:pPr>
        <w:rPr>
          <w:rFonts w:cs="Arial"/>
          <w:szCs w:val="20"/>
        </w:rPr>
      </w:pPr>
      <w:r>
        <w:separator/>
      </w:r>
    </w:p>
  </w:endnote>
  <w:endnote w:type="continuationSeparator" w:id="0">
    <w:p w14:paraId="06559F93" w14:textId="77777777" w:rsidR="00466395" w:rsidRPr="00CC35A1" w:rsidRDefault="00466395">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FF3A3" w14:textId="77777777" w:rsidR="00441185" w:rsidRDefault="00441185" w:rsidP="0044118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3D29339" w14:textId="77777777" w:rsidR="00BC69CE" w:rsidRPr="00441185" w:rsidRDefault="00441185" w:rsidP="00441185">
    <w:pPr>
      <w:pStyle w:val="a4"/>
      <w:pBdr>
        <w:top w:val="single" w:sz="4" w:space="1" w:color="auto"/>
        <w:between w:val="single" w:sz="4" w:space="0" w:color="auto"/>
      </w:pBdr>
      <w:spacing w:after="60"/>
      <w:jc w:val="center"/>
      <w:rPr>
        <w:rFonts w:ascii="FrankRuehl" w:hAnsi="FrankRuehl" w:cs="FrankRuehl"/>
        <w:color w:val="000000"/>
      </w:rPr>
    </w:pPr>
    <w:r w:rsidRPr="0044118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72F666" w14:textId="77777777" w:rsidR="00441185" w:rsidRDefault="00441185" w:rsidP="0044118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24648">
      <w:rPr>
        <w:rFonts w:ascii="FrankRuehl" w:hAnsi="FrankRuehl" w:cs="FrankRuehl"/>
        <w:noProof/>
        <w:rtl/>
      </w:rPr>
      <w:t>1</w:t>
    </w:r>
    <w:r>
      <w:rPr>
        <w:rFonts w:ascii="FrankRuehl" w:hAnsi="FrankRuehl" w:cs="FrankRuehl"/>
        <w:rtl/>
      </w:rPr>
      <w:fldChar w:fldCharType="end"/>
    </w:r>
  </w:p>
  <w:p w14:paraId="39636FD0" w14:textId="77777777" w:rsidR="00BC69CE" w:rsidRPr="00441185" w:rsidRDefault="00441185" w:rsidP="00441185">
    <w:pPr>
      <w:pStyle w:val="a4"/>
      <w:pBdr>
        <w:top w:val="single" w:sz="4" w:space="1" w:color="auto"/>
        <w:between w:val="single" w:sz="4" w:space="0" w:color="auto"/>
      </w:pBdr>
      <w:spacing w:after="60"/>
      <w:jc w:val="center"/>
      <w:rPr>
        <w:rFonts w:ascii="FrankRuehl" w:hAnsi="FrankRuehl" w:cs="FrankRuehl"/>
        <w:color w:val="000000"/>
      </w:rPr>
    </w:pPr>
    <w:r w:rsidRPr="00441185">
      <w:rPr>
        <w:rFonts w:ascii="FrankRuehl" w:hAnsi="FrankRuehl" w:cs="FrankRuehl"/>
        <w:color w:val="000000"/>
      </w:rPr>
      <w:pict w14:anchorId="3A9939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236760" w14:textId="77777777" w:rsidR="00466395" w:rsidRPr="00CC35A1" w:rsidRDefault="00466395">
      <w:pPr>
        <w:rPr>
          <w:rFonts w:cs="Arial"/>
          <w:szCs w:val="20"/>
        </w:rPr>
      </w:pPr>
      <w:r>
        <w:separator/>
      </w:r>
    </w:p>
  </w:footnote>
  <w:footnote w:type="continuationSeparator" w:id="0">
    <w:p w14:paraId="7A04E408" w14:textId="77777777" w:rsidR="00466395" w:rsidRPr="00CC35A1" w:rsidRDefault="00466395">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274558" w14:textId="77777777" w:rsidR="00441185" w:rsidRPr="00441185" w:rsidRDefault="00441185" w:rsidP="0044118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(אי') 16389-10-13</w:t>
    </w:r>
    <w:r>
      <w:rPr>
        <w:rFonts w:ascii="David" w:hAnsi="David"/>
        <w:color w:val="000000"/>
        <w:sz w:val="22"/>
        <w:szCs w:val="22"/>
        <w:rtl/>
      </w:rPr>
      <w:tab/>
      <w:t xml:space="preserve"> מדינת ישראל נ' סבח מתתיה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91D9F" w14:textId="77777777" w:rsidR="00441185" w:rsidRPr="00441185" w:rsidRDefault="00441185" w:rsidP="0044118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(אי') 16389-10-13</w:t>
    </w:r>
    <w:r>
      <w:rPr>
        <w:rFonts w:ascii="David" w:hAnsi="David"/>
        <w:color w:val="000000"/>
        <w:sz w:val="22"/>
        <w:szCs w:val="22"/>
        <w:rtl/>
      </w:rPr>
      <w:tab/>
      <w:t xml:space="preserve"> מדינת ישראל נ' סבח מתתיה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C69CE"/>
    <w:rsid w:val="00324648"/>
    <w:rsid w:val="00441185"/>
    <w:rsid w:val="00466395"/>
    <w:rsid w:val="00952E2D"/>
    <w:rsid w:val="00BC69CE"/>
    <w:rsid w:val="00DC55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56B4DE57"/>
  <w15:chartTrackingRefBased/>
  <w15:docId w15:val="{4B08913C-EF64-49E6-A72D-5C723745E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C69CE"/>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C69CE"/>
    <w:pPr>
      <w:tabs>
        <w:tab w:val="center" w:pos="4153"/>
        <w:tab w:val="right" w:pos="8306"/>
      </w:tabs>
    </w:pPr>
  </w:style>
  <w:style w:type="paragraph" w:styleId="a4">
    <w:name w:val="footer"/>
    <w:basedOn w:val="a"/>
    <w:rsid w:val="00BC69CE"/>
    <w:pPr>
      <w:tabs>
        <w:tab w:val="center" w:pos="4153"/>
        <w:tab w:val="right" w:pos="8306"/>
      </w:tabs>
    </w:pPr>
  </w:style>
  <w:style w:type="character" w:styleId="a5">
    <w:name w:val="page number"/>
    <w:basedOn w:val="a0"/>
    <w:rsid w:val="00BC69CE"/>
  </w:style>
  <w:style w:type="character" w:customStyle="1" w:styleId="TimesNewRomanTimesNewRoman">
    <w:name w:val="סגנון (לטיני) Times New Roman (עברית ושפות אחרות) Times New Roman..."/>
    <w:basedOn w:val="a0"/>
    <w:rsid w:val="00BC69CE"/>
    <w:rPr>
      <w:rFonts w:ascii="Times New Roman" w:hAnsi="Times New Roman" w:cs="David" w:hint="default"/>
      <w:b/>
      <w:bCs/>
      <w:sz w:val="26"/>
      <w:szCs w:val="26"/>
    </w:rPr>
  </w:style>
  <w:style w:type="character" w:styleId="Hyperlink">
    <w:name w:val="Hyperlink"/>
    <w:basedOn w:val="a0"/>
    <w:rsid w:val="004411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i" TargetMode="External"/><Relationship Id="rId21" Type="http://schemas.openxmlformats.org/officeDocument/2006/relationships/hyperlink" Target="http://www.nevo.co.il/law/4216/13" TargetMode="External"/><Relationship Id="rId42" Type="http://schemas.openxmlformats.org/officeDocument/2006/relationships/hyperlink" Target="http://www.nevo.co.il/case/5573417" TargetMode="External"/><Relationship Id="rId47" Type="http://schemas.openxmlformats.org/officeDocument/2006/relationships/hyperlink" Target="http://www.nevo.co.il/case/5726579" TargetMode="External"/><Relationship Id="rId63" Type="http://schemas.openxmlformats.org/officeDocument/2006/relationships/hyperlink" Target="http://www.nevo.co.il/law/70301/40g" TargetMode="External"/><Relationship Id="rId68" Type="http://schemas.openxmlformats.org/officeDocument/2006/relationships/hyperlink" Target="http://www.nevo.co.il/case/6190938" TargetMode="External"/><Relationship Id="rId16" Type="http://schemas.openxmlformats.org/officeDocument/2006/relationships/hyperlink" Target="http://www.nevo.co.il/law/70301/40f" TargetMode="External"/><Relationship Id="rId11" Type="http://schemas.openxmlformats.org/officeDocument/2006/relationships/hyperlink" Target="http://www.nevo.co.il/law/70301/40c"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40f" TargetMode="External"/><Relationship Id="rId37" Type="http://schemas.openxmlformats.org/officeDocument/2006/relationships/hyperlink" Target="http://www.nevo.co.il/case/6950458" TargetMode="External"/><Relationship Id="rId40" Type="http://schemas.openxmlformats.org/officeDocument/2006/relationships/hyperlink" Target="http://www.nevo.co.il/law/70301/40c.a" TargetMode="External"/><Relationship Id="rId45" Type="http://schemas.openxmlformats.org/officeDocument/2006/relationships/hyperlink" Target="http://www.nevo.co.il/case/5583030" TargetMode="External"/><Relationship Id="rId53" Type="http://schemas.openxmlformats.org/officeDocument/2006/relationships/hyperlink" Target="http://www.nevo.co.il/case/7803012" TargetMode="External"/><Relationship Id="rId58" Type="http://schemas.openxmlformats.org/officeDocument/2006/relationships/hyperlink" Target="http://www.nevo.co.il/law/70301" TargetMode="External"/><Relationship Id="rId66" Type="http://schemas.openxmlformats.org/officeDocument/2006/relationships/hyperlink" Target="http://www.nevo.co.il/law/70301" TargetMode="External"/><Relationship Id="rId74"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hyperlink" Target="http://www.nevo.co.il/law/70301" TargetMode="External"/><Relationship Id="rId19" Type="http://schemas.openxmlformats.org/officeDocument/2006/relationships/hyperlink" Target="http://www.nevo.co.il/law/70301/40ja" TargetMode="External"/><Relationship Id="rId14" Type="http://schemas.openxmlformats.org/officeDocument/2006/relationships/hyperlink" Target="http://www.nevo.co.il/law/70301/40d.b" TargetMode="External"/><Relationship Id="rId22" Type="http://schemas.openxmlformats.org/officeDocument/2006/relationships/hyperlink" Target="http://www.nevo.co.il/law/4216/19a"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40ja" TargetMode="External"/><Relationship Id="rId43" Type="http://schemas.openxmlformats.org/officeDocument/2006/relationships/hyperlink" Target="http://www.nevo.co.il/law/4216" TargetMode="External"/><Relationship Id="rId48" Type="http://schemas.openxmlformats.org/officeDocument/2006/relationships/hyperlink" Target="http://www.nevo.co.il/case/5726579" TargetMode="External"/><Relationship Id="rId56" Type="http://schemas.openxmlformats.org/officeDocument/2006/relationships/hyperlink" Target="http://www.nevo.co.il/law/70301" TargetMode="External"/><Relationship Id="rId64" Type="http://schemas.openxmlformats.org/officeDocument/2006/relationships/hyperlink" Target="http://www.nevo.co.il/law/70301" TargetMode="External"/><Relationship Id="rId69" Type="http://schemas.openxmlformats.org/officeDocument/2006/relationships/hyperlink" Target="http://www.nevo.co.il/case/5993616" TargetMode="External"/><Relationship Id="rId77" Type="http://schemas.openxmlformats.org/officeDocument/2006/relationships/theme" Target="theme/theme1.xml"/><Relationship Id="rId8" Type="http://schemas.openxmlformats.org/officeDocument/2006/relationships/hyperlink" Target="http://www.nevo.co.il/law/4216/19a" TargetMode="External"/><Relationship Id="rId51" Type="http://schemas.openxmlformats.org/officeDocument/2006/relationships/hyperlink" Target="http://www.nevo.co.il/case/6875181" TargetMode="External"/><Relationship Id="rId72"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hyperlink" Target="http://www.nevo.co.il/law/70301/40c.a" TargetMode="External"/><Relationship Id="rId17" Type="http://schemas.openxmlformats.org/officeDocument/2006/relationships/hyperlink" Target="http://www.nevo.co.il/law/70301/40g" TargetMode="External"/><Relationship Id="rId25" Type="http://schemas.openxmlformats.org/officeDocument/2006/relationships/hyperlink" Target="http://www.nevo.co.il/law/70301/40b"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6824952" TargetMode="External"/><Relationship Id="rId46" Type="http://schemas.openxmlformats.org/officeDocument/2006/relationships/hyperlink" Target="http://www.nevo.co.il/case/5786821" TargetMode="External"/><Relationship Id="rId59" Type="http://schemas.openxmlformats.org/officeDocument/2006/relationships/hyperlink" Target="http://www.nevo.co.il/law/70301/40e" TargetMode="External"/><Relationship Id="rId67" Type="http://schemas.openxmlformats.org/officeDocument/2006/relationships/hyperlink" Target="http://www.nevo.co.il/law/70301" TargetMode="External"/><Relationship Id="rId20" Type="http://schemas.openxmlformats.org/officeDocument/2006/relationships/hyperlink" Target="http://www.nevo.co.il/law/70301/40jb" TargetMode="External"/><Relationship Id="rId41" Type="http://schemas.openxmlformats.org/officeDocument/2006/relationships/hyperlink" Target="http://www.nevo.co.il/law/70301" TargetMode="External"/><Relationship Id="rId54" Type="http://schemas.openxmlformats.org/officeDocument/2006/relationships/hyperlink" Target="http://www.nevo.co.il/case/2831675" TargetMode="External"/><Relationship Id="rId62" Type="http://schemas.openxmlformats.org/officeDocument/2006/relationships/hyperlink" Target="http://www.nevo.co.il/law/70301/40f" TargetMode="External"/><Relationship Id="rId70" Type="http://schemas.openxmlformats.org/officeDocument/2006/relationships/hyperlink" Target="http://www.nevo.co.il/case/5880417" TargetMode="External"/><Relationship Id="rId75"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law/70301/40e" TargetMode="External"/><Relationship Id="rId23" Type="http://schemas.openxmlformats.org/officeDocument/2006/relationships/hyperlink" Target="http://www.nevo.co.il/law/4216" TargetMode="External"/><Relationship Id="rId28" Type="http://schemas.openxmlformats.org/officeDocument/2006/relationships/hyperlink" Target="http://www.nevo.co.il/law/70301/40c" TargetMode="External"/><Relationship Id="rId36" Type="http://schemas.openxmlformats.org/officeDocument/2006/relationships/hyperlink" Target="http://www.nevo.co.il/law/70301/40jb" TargetMode="External"/><Relationship Id="rId49" Type="http://schemas.openxmlformats.org/officeDocument/2006/relationships/hyperlink" Target="http://www.nevo.co.il/case/6196655" TargetMode="External"/><Relationship Id="rId57" Type="http://schemas.openxmlformats.org/officeDocument/2006/relationships/hyperlink" Target="http://www.nevo.co.il/law/70301/40d" TargetMode="External"/><Relationship Id="rId10" Type="http://schemas.openxmlformats.org/officeDocument/2006/relationships/hyperlink" Target="http://www.nevo.co.il/law/70301/40b" TargetMode="External"/><Relationship Id="rId31" Type="http://schemas.openxmlformats.org/officeDocument/2006/relationships/hyperlink" Target="http://www.nevo.co.il/law/70301/40e" TargetMode="External"/><Relationship Id="rId44" Type="http://schemas.openxmlformats.org/officeDocument/2006/relationships/hyperlink" Target="http://www.nevo.co.il/links/psika/?link=&#1506;&#1508;%20575/88&amp;Pvol=&#1502;&#1489;" TargetMode="External"/><Relationship Id="rId52" Type="http://schemas.openxmlformats.org/officeDocument/2006/relationships/hyperlink" Target="http://www.nevo.co.il/case/6731740" TargetMode="External"/><Relationship Id="rId60" Type="http://schemas.openxmlformats.org/officeDocument/2006/relationships/hyperlink" Target="http://www.nevo.co.il/law/70301/40d.b" TargetMode="External"/><Relationship Id="rId65" Type="http://schemas.openxmlformats.org/officeDocument/2006/relationships/hyperlink" Target="http://www.nevo.co.il/law/70301/40ja" TargetMode="External"/><Relationship Id="rId73"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 TargetMode="External"/><Relationship Id="rId13" Type="http://schemas.openxmlformats.org/officeDocument/2006/relationships/hyperlink" Target="http://www.nevo.co.il/law/70301/40d" TargetMode="External"/><Relationship Id="rId18" Type="http://schemas.openxmlformats.org/officeDocument/2006/relationships/hyperlink" Target="http://www.nevo.co.il/law/70301/40i" TargetMode="External"/><Relationship Id="rId39" Type="http://schemas.openxmlformats.org/officeDocument/2006/relationships/hyperlink" Target="http://www.nevo.co.il/case/6473037" TargetMode="External"/><Relationship Id="rId34" Type="http://schemas.openxmlformats.org/officeDocument/2006/relationships/hyperlink" Target="http://www.nevo.co.il/law/70301/40g" TargetMode="External"/><Relationship Id="rId50" Type="http://schemas.openxmlformats.org/officeDocument/2006/relationships/hyperlink" Target="http://www.nevo.co.il/case/5786821" TargetMode="External"/><Relationship Id="rId55" Type="http://schemas.openxmlformats.org/officeDocument/2006/relationships/hyperlink" Target="http://www.nevo.co.il/law/70301/40i" TargetMode="External"/><Relationship Id="rId76" Type="http://schemas.openxmlformats.org/officeDocument/2006/relationships/fontTable" Target="fontTable.xml"/><Relationship Id="rId7" Type="http://schemas.openxmlformats.org/officeDocument/2006/relationships/hyperlink" Target="http://www.nevo.co.il/law/4216/13" TargetMode="External"/><Relationship Id="rId71" Type="http://schemas.openxmlformats.org/officeDocument/2006/relationships/hyperlink" Target="http://www.nevo.co.il/advertisements/nevo-100.doc" TargetMode="External"/><Relationship Id="rId2" Type="http://schemas.openxmlformats.org/officeDocument/2006/relationships/settings" Target="settings.xml"/><Relationship Id="rId29" Type="http://schemas.openxmlformats.org/officeDocument/2006/relationships/hyperlink" Target="http://www.nevo.co.il/law/70301/40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3124</Words>
  <Characters>15623</Characters>
  <Application>Microsoft Office Word</Application>
  <DocSecurity>0</DocSecurity>
  <Lines>130</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18710</CharactersWithSpaces>
  <SharedDoc>false</SharedDoc>
  <HLinks>
    <vt:vector size="396" baseType="variant">
      <vt:variant>
        <vt:i4>393283</vt:i4>
      </vt:variant>
      <vt:variant>
        <vt:i4>195</vt:i4>
      </vt:variant>
      <vt:variant>
        <vt:i4>0</vt:i4>
      </vt:variant>
      <vt:variant>
        <vt:i4>5</vt:i4>
      </vt:variant>
      <vt:variant>
        <vt:lpwstr>http://www.nevo.co.il/advertisements/nevo-100.doc</vt:lpwstr>
      </vt:variant>
      <vt:variant>
        <vt:lpwstr/>
      </vt:variant>
      <vt:variant>
        <vt:i4>4063357</vt:i4>
      </vt:variant>
      <vt:variant>
        <vt:i4>192</vt:i4>
      </vt:variant>
      <vt:variant>
        <vt:i4>0</vt:i4>
      </vt:variant>
      <vt:variant>
        <vt:i4>5</vt:i4>
      </vt:variant>
      <vt:variant>
        <vt:lpwstr>http://www.nevo.co.il/case/5880417</vt:lpwstr>
      </vt:variant>
      <vt:variant>
        <vt:lpwstr/>
      </vt:variant>
      <vt:variant>
        <vt:i4>3932287</vt:i4>
      </vt:variant>
      <vt:variant>
        <vt:i4>189</vt:i4>
      </vt:variant>
      <vt:variant>
        <vt:i4>0</vt:i4>
      </vt:variant>
      <vt:variant>
        <vt:i4>5</vt:i4>
      </vt:variant>
      <vt:variant>
        <vt:lpwstr>http://www.nevo.co.il/case/5993616</vt:lpwstr>
      </vt:variant>
      <vt:variant>
        <vt:lpwstr/>
      </vt:variant>
      <vt:variant>
        <vt:i4>4063350</vt:i4>
      </vt:variant>
      <vt:variant>
        <vt:i4>186</vt:i4>
      </vt:variant>
      <vt:variant>
        <vt:i4>0</vt:i4>
      </vt:variant>
      <vt:variant>
        <vt:i4>5</vt:i4>
      </vt:variant>
      <vt:variant>
        <vt:lpwstr>http://www.nevo.co.il/case/6190938</vt:lpwstr>
      </vt:variant>
      <vt:variant>
        <vt:lpwstr/>
      </vt:variant>
      <vt:variant>
        <vt:i4>7995492</vt:i4>
      </vt:variant>
      <vt:variant>
        <vt:i4>183</vt:i4>
      </vt:variant>
      <vt:variant>
        <vt:i4>0</vt:i4>
      </vt:variant>
      <vt:variant>
        <vt:i4>5</vt:i4>
      </vt:variant>
      <vt:variant>
        <vt:lpwstr>http://www.nevo.co.il/law/70301</vt:lpwstr>
      </vt:variant>
      <vt:variant>
        <vt:lpwstr/>
      </vt:variant>
      <vt:variant>
        <vt:i4>7995492</vt:i4>
      </vt:variant>
      <vt:variant>
        <vt:i4>180</vt:i4>
      </vt:variant>
      <vt:variant>
        <vt:i4>0</vt:i4>
      </vt:variant>
      <vt:variant>
        <vt:i4>5</vt:i4>
      </vt:variant>
      <vt:variant>
        <vt:lpwstr>http://www.nevo.co.il/law/70301</vt:lpwstr>
      </vt:variant>
      <vt:variant>
        <vt:lpwstr/>
      </vt:variant>
      <vt:variant>
        <vt:i4>262155</vt:i4>
      </vt:variant>
      <vt:variant>
        <vt:i4>177</vt:i4>
      </vt:variant>
      <vt:variant>
        <vt:i4>0</vt:i4>
      </vt:variant>
      <vt:variant>
        <vt:i4>5</vt:i4>
      </vt:variant>
      <vt:variant>
        <vt:lpwstr>http://www.nevo.co.il/law/70301/40ja</vt:lpwstr>
      </vt:variant>
      <vt:variant>
        <vt:lpwstr/>
      </vt:variant>
      <vt:variant>
        <vt:i4>7995492</vt:i4>
      </vt:variant>
      <vt:variant>
        <vt:i4>174</vt:i4>
      </vt:variant>
      <vt:variant>
        <vt:i4>0</vt:i4>
      </vt:variant>
      <vt:variant>
        <vt:i4>5</vt:i4>
      </vt:variant>
      <vt:variant>
        <vt:lpwstr>http://www.nevo.co.il/law/70301</vt:lpwstr>
      </vt:variant>
      <vt:variant>
        <vt:lpwstr/>
      </vt:variant>
      <vt:variant>
        <vt:i4>6619233</vt:i4>
      </vt:variant>
      <vt:variant>
        <vt:i4>171</vt:i4>
      </vt:variant>
      <vt:variant>
        <vt:i4>0</vt:i4>
      </vt:variant>
      <vt:variant>
        <vt:i4>5</vt:i4>
      </vt:variant>
      <vt:variant>
        <vt:lpwstr>http://www.nevo.co.il/law/70301/40g</vt:lpwstr>
      </vt:variant>
      <vt:variant>
        <vt:lpwstr/>
      </vt:variant>
      <vt:variant>
        <vt:i4>6619233</vt:i4>
      </vt:variant>
      <vt:variant>
        <vt:i4>168</vt:i4>
      </vt:variant>
      <vt:variant>
        <vt:i4>0</vt:i4>
      </vt:variant>
      <vt:variant>
        <vt:i4>5</vt:i4>
      </vt:variant>
      <vt:variant>
        <vt:lpwstr>http://www.nevo.co.il/law/70301/40f</vt:lpwstr>
      </vt:variant>
      <vt:variant>
        <vt:lpwstr/>
      </vt:variant>
      <vt:variant>
        <vt:i4>7995492</vt:i4>
      </vt:variant>
      <vt:variant>
        <vt:i4>165</vt:i4>
      </vt:variant>
      <vt:variant>
        <vt:i4>0</vt:i4>
      </vt:variant>
      <vt:variant>
        <vt:i4>5</vt:i4>
      </vt:variant>
      <vt:variant>
        <vt:lpwstr>http://www.nevo.co.il/law/70301</vt:lpwstr>
      </vt:variant>
      <vt:variant>
        <vt:lpwstr/>
      </vt:variant>
      <vt:variant>
        <vt:i4>4915205</vt:i4>
      </vt:variant>
      <vt:variant>
        <vt:i4>162</vt:i4>
      </vt:variant>
      <vt:variant>
        <vt:i4>0</vt:i4>
      </vt:variant>
      <vt:variant>
        <vt:i4>5</vt:i4>
      </vt:variant>
      <vt:variant>
        <vt:lpwstr>http://www.nevo.co.il/law/70301/40d.b</vt:lpwstr>
      </vt:variant>
      <vt:variant>
        <vt:lpwstr/>
      </vt:variant>
      <vt:variant>
        <vt:i4>6619233</vt:i4>
      </vt:variant>
      <vt:variant>
        <vt:i4>159</vt:i4>
      </vt:variant>
      <vt:variant>
        <vt:i4>0</vt:i4>
      </vt:variant>
      <vt:variant>
        <vt:i4>5</vt:i4>
      </vt:variant>
      <vt:variant>
        <vt:lpwstr>http://www.nevo.co.il/law/70301/40e</vt:lpwstr>
      </vt:variant>
      <vt:variant>
        <vt:lpwstr/>
      </vt:variant>
      <vt:variant>
        <vt:i4>7995492</vt:i4>
      </vt:variant>
      <vt:variant>
        <vt:i4>156</vt:i4>
      </vt:variant>
      <vt:variant>
        <vt:i4>0</vt:i4>
      </vt:variant>
      <vt:variant>
        <vt:i4>5</vt:i4>
      </vt:variant>
      <vt:variant>
        <vt:lpwstr>http://www.nevo.co.il/law/70301</vt:lpwstr>
      </vt:variant>
      <vt:variant>
        <vt:lpwstr/>
      </vt:variant>
      <vt:variant>
        <vt:i4>6619233</vt:i4>
      </vt:variant>
      <vt:variant>
        <vt:i4>153</vt:i4>
      </vt:variant>
      <vt:variant>
        <vt:i4>0</vt:i4>
      </vt:variant>
      <vt:variant>
        <vt:i4>5</vt:i4>
      </vt:variant>
      <vt:variant>
        <vt:lpwstr>http://www.nevo.co.il/law/70301/40d</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6619233</vt:i4>
      </vt:variant>
      <vt:variant>
        <vt:i4>147</vt:i4>
      </vt:variant>
      <vt:variant>
        <vt:i4>0</vt:i4>
      </vt:variant>
      <vt:variant>
        <vt:i4>5</vt:i4>
      </vt:variant>
      <vt:variant>
        <vt:lpwstr>http://www.nevo.co.il/law/70301/40i</vt:lpwstr>
      </vt:variant>
      <vt:variant>
        <vt:lpwstr/>
      </vt:variant>
      <vt:variant>
        <vt:i4>3276922</vt:i4>
      </vt:variant>
      <vt:variant>
        <vt:i4>144</vt:i4>
      </vt:variant>
      <vt:variant>
        <vt:i4>0</vt:i4>
      </vt:variant>
      <vt:variant>
        <vt:i4>5</vt:i4>
      </vt:variant>
      <vt:variant>
        <vt:lpwstr>http://www.nevo.co.il/case/2831675</vt:lpwstr>
      </vt:variant>
      <vt:variant>
        <vt:lpwstr/>
      </vt:variant>
      <vt:variant>
        <vt:i4>3473534</vt:i4>
      </vt:variant>
      <vt:variant>
        <vt:i4>141</vt:i4>
      </vt:variant>
      <vt:variant>
        <vt:i4>0</vt:i4>
      </vt:variant>
      <vt:variant>
        <vt:i4>5</vt:i4>
      </vt:variant>
      <vt:variant>
        <vt:lpwstr>http://www.nevo.co.il/case/7803012</vt:lpwstr>
      </vt:variant>
      <vt:variant>
        <vt:lpwstr/>
      </vt:variant>
      <vt:variant>
        <vt:i4>3276918</vt:i4>
      </vt:variant>
      <vt:variant>
        <vt:i4>138</vt:i4>
      </vt:variant>
      <vt:variant>
        <vt:i4>0</vt:i4>
      </vt:variant>
      <vt:variant>
        <vt:i4>5</vt:i4>
      </vt:variant>
      <vt:variant>
        <vt:lpwstr>http://www.nevo.co.il/case/6731740</vt:lpwstr>
      </vt:variant>
      <vt:variant>
        <vt:lpwstr/>
      </vt:variant>
      <vt:variant>
        <vt:i4>3211377</vt:i4>
      </vt:variant>
      <vt:variant>
        <vt:i4>135</vt:i4>
      </vt:variant>
      <vt:variant>
        <vt:i4>0</vt:i4>
      </vt:variant>
      <vt:variant>
        <vt:i4>5</vt:i4>
      </vt:variant>
      <vt:variant>
        <vt:lpwstr>http://www.nevo.co.il/case/6875181</vt:lpwstr>
      </vt:variant>
      <vt:variant>
        <vt:lpwstr/>
      </vt:variant>
      <vt:variant>
        <vt:i4>3407991</vt:i4>
      </vt:variant>
      <vt:variant>
        <vt:i4>132</vt:i4>
      </vt:variant>
      <vt:variant>
        <vt:i4>0</vt:i4>
      </vt:variant>
      <vt:variant>
        <vt:i4>5</vt:i4>
      </vt:variant>
      <vt:variant>
        <vt:lpwstr>http://www.nevo.co.il/case/5786821</vt:lpwstr>
      </vt:variant>
      <vt:variant>
        <vt:lpwstr/>
      </vt:variant>
      <vt:variant>
        <vt:i4>3932278</vt:i4>
      </vt:variant>
      <vt:variant>
        <vt:i4>129</vt:i4>
      </vt:variant>
      <vt:variant>
        <vt:i4>0</vt:i4>
      </vt:variant>
      <vt:variant>
        <vt:i4>5</vt:i4>
      </vt:variant>
      <vt:variant>
        <vt:lpwstr>http://www.nevo.co.il/case/6196655</vt:lpwstr>
      </vt:variant>
      <vt:variant>
        <vt:lpwstr/>
      </vt:variant>
      <vt:variant>
        <vt:i4>3866738</vt:i4>
      </vt:variant>
      <vt:variant>
        <vt:i4>126</vt:i4>
      </vt:variant>
      <vt:variant>
        <vt:i4>0</vt:i4>
      </vt:variant>
      <vt:variant>
        <vt:i4>5</vt:i4>
      </vt:variant>
      <vt:variant>
        <vt:lpwstr>http://www.nevo.co.il/case/5726579</vt:lpwstr>
      </vt:variant>
      <vt:variant>
        <vt:lpwstr/>
      </vt:variant>
      <vt:variant>
        <vt:i4>3866738</vt:i4>
      </vt:variant>
      <vt:variant>
        <vt:i4>123</vt:i4>
      </vt:variant>
      <vt:variant>
        <vt:i4>0</vt:i4>
      </vt:variant>
      <vt:variant>
        <vt:i4>5</vt:i4>
      </vt:variant>
      <vt:variant>
        <vt:lpwstr>http://www.nevo.co.il/case/5726579</vt:lpwstr>
      </vt:variant>
      <vt:variant>
        <vt:lpwstr/>
      </vt:variant>
      <vt:variant>
        <vt:i4>3407991</vt:i4>
      </vt:variant>
      <vt:variant>
        <vt:i4>120</vt:i4>
      </vt:variant>
      <vt:variant>
        <vt:i4>0</vt:i4>
      </vt:variant>
      <vt:variant>
        <vt:i4>5</vt:i4>
      </vt:variant>
      <vt:variant>
        <vt:lpwstr>http://www.nevo.co.il/case/5786821</vt:lpwstr>
      </vt:variant>
      <vt:variant>
        <vt:lpwstr/>
      </vt:variant>
      <vt:variant>
        <vt:i4>3997809</vt:i4>
      </vt:variant>
      <vt:variant>
        <vt:i4>117</vt:i4>
      </vt:variant>
      <vt:variant>
        <vt:i4>0</vt:i4>
      </vt:variant>
      <vt:variant>
        <vt:i4>5</vt:i4>
      </vt:variant>
      <vt:variant>
        <vt:lpwstr>http://www.nevo.co.il/case/5583030</vt:lpwstr>
      </vt:variant>
      <vt:variant>
        <vt:lpwstr/>
      </vt:variant>
      <vt:variant>
        <vt:i4>3081615</vt:i4>
      </vt:variant>
      <vt:variant>
        <vt:i4>114</vt:i4>
      </vt:variant>
      <vt:variant>
        <vt:i4>0</vt:i4>
      </vt:variant>
      <vt:variant>
        <vt:i4>5</vt:i4>
      </vt:variant>
      <vt:variant>
        <vt:lpwstr>http://www.nevo.co.il/links/psika/?link=עפ 575/88&amp;Pvol=מב</vt:lpwstr>
      </vt:variant>
      <vt:variant>
        <vt:lpwstr/>
      </vt:variant>
      <vt:variant>
        <vt:i4>8257637</vt:i4>
      </vt:variant>
      <vt:variant>
        <vt:i4>111</vt:i4>
      </vt:variant>
      <vt:variant>
        <vt:i4>0</vt:i4>
      </vt:variant>
      <vt:variant>
        <vt:i4>5</vt:i4>
      </vt:variant>
      <vt:variant>
        <vt:lpwstr>http://www.nevo.co.il/law/4216</vt:lpwstr>
      </vt:variant>
      <vt:variant>
        <vt:lpwstr/>
      </vt:variant>
      <vt:variant>
        <vt:i4>3211379</vt:i4>
      </vt:variant>
      <vt:variant>
        <vt:i4>108</vt:i4>
      </vt:variant>
      <vt:variant>
        <vt:i4>0</vt:i4>
      </vt:variant>
      <vt:variant>
        <vt:i4>5</vt:i4>
      </vt:variant>
      <vt:variant>
        <vt:lpwstr>http://www.nevo.co.il/case/5573417</vt:lpwstr>
      </vt:variant>
      <vt:variant>
        <vt:lpwstr/>
      </vt:variant>
      <vt:variant>
        <vt:i4>7995492</vt:i4>
      </vt:variant>
      <vt:variant>
        <vt:i4>105</vt:i4>
      </vt:variant>
      <vt:variant>
        <vt:i4>0</vt:i4>
      </vt:variant>
      <vt:variant>
        <vt:i4>5</vt:i4>
      </vt:variant>
      <vt:variant>
        <vt:lpwstr>http://www.nevo.co.il/law/70301</vt:lpwstr>
      </vt:variant>
      <vt:variant>
        <vt:lpwstr/>
      </vt:variant>
      <vt:variant>
        <vt:i4>4915202</vt:i4>
      </vt:variant>
      <vt:variant>
        <vt:i4>102</vt:i4>
      </vt:variant>
      <vt:variant>
        <vt:i4>0</vt:i4>
      </vt:variant>
      <vt:variant>
        <vt:i4>5</vt:i4>
      </vt:variant>
      <vt:variant>
        <vt:lpwstr>http://www.nevo.co.il/law/70301/40c.a</vt:lpwstr>
      </vt:variant>
      <vt:variant>
        <vt:lpwstr/>
      </vt:variant>
      <vt:variant>
        <vt:i4>3539056</vt:i4>
      </vt:variant>
      <vt:variant>
        <vt:i4>99</vt:i4>
      </vt:variant>
      <vt:variant>
        <vt:i4>0</vt:i4>
      </vt:variant>
      <vt:variant>
        <vt:i4>5</vt:i4>
      </vt:variant>
      <vt:variant>
        <vt:lpwstr>http://www.nevo.co.il/case/6473037</vt:lpwstr>
      </vt:variant>
      <vt:variant>
        <vt:lpwstr/>
      </vt:variant>
      <vt:variant>
        <vt:i4>4128893</vt:i4>
      </vt:variant>
      <vt:variant>
        <vt:i4>96</vt:i4>
      </vt:variant>
      <vt:variant>
        <vt:i4>0</vt:i4>
      </vt:variant>
      <vt:variant>
        <vt:i4>5</vt:i4>
      </vt:variant>
      <vt:variant>
        <vt:lpwstr>http://www.nevo.co.il/case/6824952</vt:lpwstr>
      </vt:variant>
      <vt:variant>
        <vt:lpwstr/>
      </vt:variant>
      <vt:variant>
        <vt:i4>4128888</vt:i4>
      </vt:variant>
      <vt:variant>
        <vt:i4>93</vt:i4>
      </vt:variant>
      <vt:variant>
        <vt:i4>0</vt:i4>
      </vt:variant>
      <vt:variant>
        <vt:i4>5</vt:i4>
      </vt:variant>
      <vt:variant>
        <vt:lpwstr>http://www.nevo.co.il/case/6950458</vt:lpwstr>
      </vt:variant>
      <vt:variant>
        <vt:lpwstr/>
      </vt:variant>
      <vt:variant>
        <vt:i4>458763</vt:i4>
      </vt:variant>
      <vt:variant>
        <vt:i4>90</vt:i4>
      </vt:variant>
      <vt:variant>
        <vt:i4>0</vt:i4>
      </vt:variant>
      <vt:variant>
        <vt:i4>5</vt:i4>
      </vt:variant>
      <vt:variant>
        <vt:lpwstr>http://www.nevo.co.il/law/70301/40jb</vt:lpwstr>
      </vt:variant>
      <vt:variant>
        <vt:lpwstr/>
      </vt:variant>
      <vt:variant>
        <vt:i4>262155</vt:i4>
      </vt:variant>
      <vt:variant>
        <vt:i4>87</vt:i4>
      </vt:variant>
      <vt:variant>
        <vt:i4>0</vt:i4>
      </vt:variant>
      <vt:variant>
        <vt:i4>5</vt:i4>
      </vt:variant>
      <vt:variant>
        <vt:lpwstr>http://www.nevo.co.il/law/70301/40ja</vt:lpwstr>
      </vt:variant>
      <vt:variant>
        <vt:lpwstr/>
      </vt:variant>
      <vt:variant>
        <vt:i4>6619233</vt:i4>
      </vt:variant>
      <vt:variant>
        <vt:i4>84</vt:i4>
      </vt:variant>
      <vt:variant>
        <vt:i4>0</vt:i4>
      </vt:variant>
      <vt:variant>
        <vt:i4>5</vt:i4>
      </vt:variant>
      <vt:variant>
        <vt:lpwstr>http://www.nevo.co.il/law/70301/40g</vt:lpwstr>
      </vt:variant>
      <vt:variant>
        <vt:lpwstr/>
      </vt:variant>
      <vt:variant>
        <vt:i4>7995492</vt:i4>
      </vt:variant>
      <vt:variant>
        <vt:i4>81</vt:i4>
      </vt:variant>
      <vt:variant>
        <vt:i4>0</vt:i4>
      </vt:variant>
      <vt:variant>
        <vt:i4>5</vt:i4>
      </vt:variant>
      <vt:variant>
        <vt:lpwstr>http://www.nevo.co.il/law/70301</vt:lpwstr>
      </vt:variant>
      <vt:variant>
        <vt:lpwstr/>
      </vt:variant>
      <vt:variant>
        <vt:i4>6619233</vt:i4>
      </vt:variant>
      <vt:variant>
        <vt:i4>78</vt:i4>
      </vt:variant>
      <vt:variant>
        <vt:i4>0</vt:i4>
      </vt:variant>
      <vt:variant>
        <vt:i4>5</vt:i4>
      </vt:variant>
      <vt:variant>
        <vt:lpwstr>http://www.nevo.co.il/law/70301/40f</vt:lpwstr>
      </vt:variant>
      <vt:variant>
        <vt:lpwstr/>
      </vt:variant>
      <vt:variant>
        <vt:i4>6619233</vt:i4>
      </vt:variant>
      <vt:variant>
        <vt:i4>75</vt:i4>
      </vt:variant>
      <vt:variant>
        <vt:i4>0</vt:i4>
      </vt:variant>
      <vt:variant>
        <vt:i4>5</vt:i4>
      </vt:variant>
      <vt:variant>
        <vt:lpwstr>http://www.nevo.co.il/law/70301/40e</vt:lpwstr>
      </vt:variant>
      <vt:variant>
        <vt:lpwstr/>
      </vt:variant>
      <vt:variant>
        <vt:i4>7995492</vt:i4>
      </vt:variant>
      <vt:variant>
        <vt:i4>72</vt:i4>
      </vt:variant>
      <vt:variant>
        <vt:i4>0</vt:i4>
      </vt:variant>
      <vt:variant>
        <vt:i4>5</vt:i4>
      </vt:variant>
      <vt:variant>
        <vt:lpwstr>http://www.nevo.co.il/law/70301</vt:lpwstr>
      </vt:variant>
      <vt:variant>
        <vt:lpwstr/>
      </vt:variant>
      <vt:variant>
        <vt:i4>6619233</vt:i4>
      </vt:variant>
      <vt:variant>
        <vt:i4>69</vt:i4>
      </vt:variant>
      <vt:variant>
        <vt:i4>0</vt:i4>
      </vt:variant>
      <vt:variant>
        <vt:i4>5</vt:i4>
      </vt:variant>
      <vt:variant>
        <vt:lpwstr>http://www.nevo.co.il/law/70301/40d</vt:lpwstr>
      </vt:variant>
      <vt:variant>
        <vt:lpwstr/>
      </vt:variant>
      <vt:variant>
        <vt:i4>6619233</vt:i4>
      </vt:variant>
      <vt:variant>
        <vt:i4>66</vt:i4>
      </vt:variant>
      <vt:variant>
        <vt:i4>0</vt:i4>
      </vt:variant>
      <vt:variant>
        <vt:i4>5</vt:i4>
      </vt:variant>
      <vt:variant>
        <vt:lpwstr>http://www.nevo.co.il/law/70301/40c</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6619233</vt:i4>
      </vt:variant>
      <vt:variant>
        <vt:i4>60</vt:i4>
      </vt:variant>
      <vt:variant>
        <vt:i4>0</vt:i4>
      </vt:variant>
      <vt:variant>
        <vt:i4>5</vt:i4>
      </vt:variant>
      <vt:variant>
        <vt:lpwstr>http://www.nevo.co.il/law/70301/40i</vt:lpwstr>
      </vt:variant>
      <vt:variant>
        <vt:lpwstr/>
      </vt:variant>
      <vt:variant>
        <vt:i4>6619233</vt:i4>
      </vt:variant>
      <vt:variant>
        <vt:i4>57</vt:i4>
      </vt:variant>
      <vt:variant>
        <vt:i4>0</vt:i4>
      </vt:variant>
      <vt:variant>
        <vt:i4>5</vt:i4>
      </vt:variant>
      <vt:variant>
        <vt:lpwstr>http://www.nevo.co.il/law/70301/40b</vt:lpwstr>
      </vt:variant>
      <vt:variant>
        <vt:lpwstr/>
      </vt:variant>
      <vt:variant>
        <vt:i4>7995492</vt:i4>
      </vt:variant>
      <vt:variant>
        <vt:i4>54</vt:i4>
      </vt:variant>
      <vt:variant>
        <vt:i4>0</vt:i4>
      </vt:variant>
      <vt:variant>
        <vt:i4>5</vt:i4>
      </vt:variant>
      <vt:variant>
        <vt:lpwstr>http://www.nevo.co.il/law/70301</vt:lpwstr>
      </vt:variant>
      <vt:variant>
        <vt:lpwstr/>
      </vt:variant>
      <vt:variant>
        <vt:i4>8257637</vt:i4>
      </vt:variant>
      <vt:variant>
        <vt:i4>51</vt:i4>
      </vt:variant>
      <vt:variant>
        <vt:i4>0</vt:i4>
      </vt:variant>
      <vt:variant>
        <vt:i4>5</vt:i4>
      </vt:variant>
      <vt:variant>
        <vt:lpwstr>http://www.nevo.co.il/law/4216</vt:lpwstr>
      </vt:variant>
      <vt:variant>
        <vt:lpwstr/>
      </vt:variant>
      <vt:variant>
        <vt:i4>3014771</vt:i4>
      </vt:variant>
      <vt:variant>
        <vt:i4>48</vt:i4>
      </vt:variant>
      <vt:variant>
        <vt:i4>0</vt:i4>
      </vt:variant>
      <vt:variant>
        <vt:i4>5</vt:i4>
      </vt:variant>
      <vt:variant>
        <vt:lpwstr>http://www.nevo.co.il/law/4216/19a</vt:lpwstr>
      </vt:variant>
      <vt:variant>
        <vt:lpwstr/>
      </vt:variant>
      <vt:variant>
        <vt:i4>5177418</vt:i4>
      </vt:variant>
      <vt:variant>
        <vt:i4>45</vt:i4>
      </vt:variant>
      <vt:variant>
        <vt:i4>0</vt:i4>
      </vt:variant>
      <vt:variant>
        <vt:i4>5</vt:i4>
      </vt:variant>
      <vt:variant>
        <vt:lpwstr>http://www.nevo.co.il/law/4216/13</vt:lpwstr>
      </vt:variant>
      <vt:variant>
        <vt:lpwstr/>
      </vt:variant>
      <vt:variant>
        <vt:i4>458763</vt:i4>
      </vt:variant>
      <vt:variant>
        <vt:i4>42</vt:i4>
      </vt:variant>
      <vt:variant>
        <vt:i4>0</vt:i4>
      </vt:variant>
      <vt:variant>
        <vt:i4>5</vt:i4>
      </vt:variant>
      <vt:variant>
        <vt:lpwstr>http://www.nevo.co.il/law/70301/40jb</vt:lpwstr>
      </vt:variant>
      <vt:variant>
        <vt:lpwstr/>
      </vt:variant>
      <vt:variant>
        <vt:i4>262155</vt:i4>
      </vt:variant>
      <vt:variant>
        <vt:i4>39</vt:i4>
      </vt:variant>
      <vt:variant>
        <vt:i4>0</vt:i4>
      </vt:variant>
      <vt:variant>
        <vt:i4>5</vt:i4>
      </vt:variant>
      <vt:variant>
        <vt:lpwstr>http://www.nevo.co.il/law/70301/40ja</vt:lpwstr>
      </vt:variant>
      <vt:variant>
        <vt:lpwstr/>
      </vt:variant>
      <vt:variant>
        <vt:i4>6619233</vt:i4>
      </vt:variant>
      <vt:variant>
        <vt:i4>36</vt:i4>
      </vt:variant>
      <vt:variant>
        <vt:i4>0</vt:i4>
      </vt:variant>
      <vt:variant>
        <vt:i4>5</vt:i4>
      </vt:variant>
      <vt:variant>
        <vt:lpwstr>http://www.nevo.co.il/law/70301/40i</vt:lpwstr>
      </vt:variant>
      <vt:variant>
        <vt:lpwstr/>
      </vt:variant>
      <vt:variant>
        <vt:i4>6619233</vt:i4>
      </vt:variant>
      <vt:variant>
        <vt:i4>33</vt:i4>
      </vt:variant>
      <vt:variant>
        <vt:i4>0</vt:i4>
      </vt:variant>
      <vt:variant>
        <vt:i4>5</vt:i4>
      </vt:variant>
      <vt:variant>
        <vt:lpwstr>http://www.nevo.co.il/law/70301/40g</vt:lpwstr>
      </vt:variant>
      <vt:variant>
        <vt:lpwstr/>
      </vt:variant>
      <vt:variant>
        <vt:i4>6619233</vt:i4>
      </vt:variant>
      <vt:variant>
        <vt:i4>30</vt:i4>
      </vt:variant>
      <vt:variant>
        <vt:i4>0</vt:i4>
      </vt:variant>
      <vt:variant>
        <vt:i4>5</vt:i4>
      </vt:variant>
      <vt:variant>
        <vt:lpwstr>http://www.nevo.co.il/law/70301/40f</vt:lpwstr>
      </vt:variant>
      <vt:variant>
        <vt:lpwstr/>
      </vt:variant>
      <vt:variant>
        <vt:i4>6619233</vt:i4>
      </vt:variant>
      <vt:variant>
        <vt:i4>27</vt:i4>
      </vt:variant>
      <vt:variant>
        <vt:i4>0</vt:i4>
      </vt:variant>
      <vt:variant>
        <vt:i4>5</vt:i4>
      </vt:variant>
      <vt:variant>
        <vt:lpwstr>http://www.nevo.co.il/law/70301/40e</vt:lpwstr>
      </vt:variant>
      <vt:variant>
        <vt:lpwstr/>
      </vt:variant>
      <vt:variant>
        <vt:i4>4915205</vt:i4>
      </vt:variant>
      <vt:variant>
        <vt:i4>24</vt:i4>
      </vt:variant>
      <vt:variant>
        <vt:i4>0</vt:i4>
      </vt:variant>
      <vt:variant>
        <vt:i4>5</vt:i4>
      </vt:variant>
      <vt:variant>
        <vt:lpwstr>http://www.nevo.co.il/law/70301/40d.b</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4915202</vt:i4>
      </vt:variant>
      <vt:variant>
        <vt:i4>18</vt:i4>
      </vt:variant>
      <vt:variant>
        <vt:i4>0</vt:i4>
      </vt:variant>
      <vt:variant>
        <vt:i4>5</vt:i4>
      </vt:variant>
      <vt:variant>
        <vt:lpwstr>http://www.nevo.co.il/law/70301/40c.a</vt:lpwstr>
      </vt:variant>
      <vt:variant>
        <vt:lpwstr/>
      </vt:variant>
      <vt:variant>
        <vt:i4>6619233</vt:i4>
      </vt:variant>
      <vt:variant>
        <vt:i4>15</vt:i4>
      </vt:variant>
      <vt:variant>
        <vt:i4>0</vt:i4>
      </vt:variant>
      <vt:variant>
        <vt:i4>5</vt:i4>
      </vt:variant>
      <vt:variant>
        <vt:lpwstr>http://www.nevo.co.il/law/70301/40c</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2025-04-22T22:09:00Z</dcterms:created>
  <dcterms:modified xsi:type="dcterms:W3CDTF">2025-04-22T22:09:00Z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16389</vt:lpwstr>
  </property>
  <property fmtid="{D5CDD505-2E9C-101B-9397-08002B2CF9AE}" pid="6" name="NEWPARTB">
    <vt:lpwstr>10</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סבח מתתיה</vt:lpwstr>
  </property>
  <property fmtid="{D5CDD505-2E9C-101B-9397-08002B2CF9AE}" pid="10" name="JUDGE">
    <vt:lpwstr>יוסי טופף</vt:lpwstr>
  </property>
  <property fmtid="{D5CDD505-2E9C-101B-9397-08002B2CF9AE}" pid="11" name="CITY">
    <vt:lpwstr>אי'</vt:lpwstr>
  </property>
  <property fmtid="{D5CDD505-2E9C-101B-9397-08002B2CF9AE}" pid="12" name="DATE">
    <vt:lpwstr>20140617</vt:lpwstr>
  </property>
  <property fmtid="{D5CDD505-2E9C-101B-9397-08002B2CF9AE}" pid="13" name="TYPE_N_DATE">
    <vt:lpwstr>38020140617</vt:lpwstr>
  </property>
  <property fmtid="{D5CDD505-2E9C-101B-9397-08002B2CF9AE}" pid="14" name="CASESLISTTMP1">
    <vt:lpwstr>6950458;6824952;6473037;5573417;5583030;5786821:2;5726579:2;6196655;6875181;6731740;7803012;2831675;6190938;5993616;5880417</vt:lpwstr>
  </property>
  <property fmtid="{D5CDD505-2E9C-101B-9397-08002B2CF9AE}" pid="15" name="CASENOTES1">
    <vt:lpwstr>ProcID=133;209&amp;PartA=575&amp;PartC=88</vt:lpwstr>
  </property>
  <property fmtid="{D5CDD505-2E9C-101B-9397-08002B2CF9AE}" pid="16" name="WORDNUMPAGES">
    <vt:lpwstr>9</vt:lpwstr>
  </property>
  <property fmtid="{D5CDD505-2E9C-101B-9397-08002B2CF9AE}" pid="17" name="TYPE_ABS_DATE">
    <vt:lpwstr>380020140617</vt:lpwstr>
  </property>
  <property fmtid="{D5CDD505-2E9C-101B-9397-08002B2CF9AE}" pid="18" name="ISABSTRACT">
    <vt:lpwstr>Y</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4216/013;019a</vt:lpwstr>
  </property>
  <property fmtid="{D5CDD505-2E9C-101B-9397-08002B2CF9AE}" pid="38" name="LAWLISTTMP2">
    <vt:lpwstr>70301/040b;040i:2;040c;040d:2;040e:2;040f:2;040g:2;40ja:2;40jb;040c.a;040d.b</vt:lpwstr>
  </property>
</Properties>
</file>