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4150AF" w:rsidRPr="002169FB" w14:paraId="6A506F85" w14:textId="77777777">
        <w:trPr>
          <w:trHeight w:hRule="exact" w:val="418"/>
          <w:jc w:val="center"/>
        </w:trPr>
        <w:tc>
          <w:tcPr>
            <w:tcW w:w="8721" w:type="dxa"/>
            <w:gridSpan w:val="2"/>
          </w:tcPr>
          <w:p w14:paraId="394A1690" w14:textId="77777777" w:rsidR="004150AF" w:rsidRPr="002169FB" w:rsidRDefault="002169FB">
            <w:pPr>
              <w:pStyle w:val="a3"/>
              <w:jc w:val="center"/>
              <w:rPr>
                <w:rFonts w:ascii="Tahoma" w:hAnsi="Tahoma" w:cs="Tahoma"/>
                <w:color w:val="000080"/>
                <w:rtl/>
              </w:rPr>
            </w:pPr>
            <w:bookmarkStart w:id="0" w:name="LastJudge"/>
            <w:r w:rsidRPr="002169FB">
              <w:rPr>
                <w:rFonts w:ascii="Tahoma" w:hAnsi="Tahoma" w:cs="Tahoma"/>
                <w:b/>
                <w:bCs/>
                <w:color w:val="000080"/>
                <w:rtl/>
              </w:rPr>
              <w:t>בית משפט השלום בירושלים</w:t>
            </w:r>
          </w:p>
        </w:tc>
      </w:tr>
      <w:tr w:rsidR="004150AF" w:rsidRPr="002169FB" w14:paraId="4ACCE97C" w14:textId="77777777">
        <w:trPr>
          <w:trHeight w:val="337"/>
          <w:jc w:val="center"/>
        </w:trPr>
        <w:tc>
          <w:tcPr>
            <w:tcW w:w="5051" w:type="dxa"/>
          </w:tcPr>
          <w:p w14:paraId="2AD34006" w14:textId="77777777" w:rsidR="004150AF" w:rsidRPr="002169FB" w:rsidRDefault="002169FB">
            <w:pPr>
              <w:rPr>
                <w:rFonts w:cs="FrankRuehl"/>
                <w:sz w:val="28"/>
                <w:szCs w:val="28"/>
                <w:rtl/>
              </w:rPr>
            </w:pPr>
            <w:r w:rsidRPr="002169FB">
              <w:rPr>
                <w:rFonts w:cs="FrankRuehl"/>
                <w:sz w:val="28"/>
                <w:szCs w:val="28"/>
                <w:rtl/>
              </w:rPr>
              <w:t>ת"פ</w:t>
            </w:r>
            <w:r w:rsidRPr="002169FB">
              <w:rPr>
                <w:rFonts w:cs="FrankRuehl" w:hint="cs"/>
                <w:sz w:val="28"/>
                <w:szCs w:val="28"/>
                <w:rtl/>
              </w:rPr>
              <w:t xml:space="preserve"> </w:t>
            </w:r>
            <w:r w:rsidRPr="002169FB">
              <w:rPr>
                <w:rFonts w:cs="FrankRuehl"/>
                <w:sz w:val="28"/>
                <w:szCs w:val="28"/>
                <w:rtl/>
              </w:rPr>
              <w:t>23028-10-13</w:t>
            </w:r>
            <w:r w:rsidRPr="002169FB">
              <w:rPr>
                <w:rFonts w:cs="FrankRuehl" w:hint="cs"/>
                <w:sz w:val="28"/>
                <w:szCs w:val="28"/>
                <w:rtl/>
              </w:rPr>
              <w:t xml:space="preserve"> </w:t>
            </w:r>
            <w:r w:rsidRPr="002169FB">
              <w:rPr>
                <w:rFonts w:cs="FrankRuehl"/>
                <w:sz w:val="28"/>
                <w:szCs w:val="28"/>
                <w:rtl/>
              </w:rPr>
              <w:t>מדינת ישראל נ' וייט(עציר)</w:t>
            </w:r>
          </w:p>
        </w:tc>
        <w:tc>
          <w:tcPr>
            <w:tcW w:w="3670" w:type="dxa"/>
          </w:tcPr>
          <w:p w14:paraId="054BDF94" w14:textId="77777777" w:rsidR="004150AF" w:rsidRPr="002169FB" w:rsidRDefault="002169FB">
            <w:pPr>
              <w:pStyle w:val="a3"/>
              <w:jc w:val="right"/>
              <w:rPr>
                <w:rFonts w:cs="FrankRuehl"/>
                <w:sz w:val="28"/>
                <w:szCs w:val="28"/>
                <w:rtl/>
              </w:rPr>
            </w:pPr>
            <w:r w:rsidRPr="002169FB">
              <w:rPr>
                <w:rFonts w:cs="FrankRuehl"/>
                <w:sz w:val="28"/>
                <w:szCs w:val="28"/>
                <w:rtl/>
              </w:rPr>
              <w:t>08 אפריל 2014</w:t>
            </w:r>
          </w:p>
        </w:tc>
      </w:tr>
    </w:tbl>
    <w:p w14:paraId="32262725" w14:textId="77777777" w:rsidR="004150AF" w:rsidRPr="002169FB" w:rsidRDefault="002169FB">
      <w:pPr>
        <w:pStyle w:val="a3"/>
        <w:rPr>
          <w:rtl/>
        </w:rPr>
      </w:pPr>
      <w:r w:rsidRPr="002169FB">
        <w:rPr>
          <w:rFonts w:hint="cs"/>
          <w:rtl/>
        </w:rPr>
        <w:t xml:space="preserve"> </w:t>
      </w:r>
    </w:p>
    <w:p w14:paraId="7CB87BE6" w14:textId="77777777" w:rsidR="004150AF" w:rsidRPr="002169FB" w:rsidRDefault="002169FB">
      <w:pPr>
        <w:pStyle w:val="a3"/>
      </w:pPr>
      <w:r w:rsidRPr="002169FB">
        <w:rPr>
          <w:rFonts w:cs="Times New Roman" w:hint="cs"/>
          <w:b/>
          <w:bCs/>
          <w:sz w:val="26"/>
          <w:szCs w:val="28"/>
          <w:rtl/>
        </w:rPr>
        <w:t xml:space="preserve"> </w:t>
      </w:r>
    </w:p>
    <w:p w14:paraId="4C760F01" w14:textId="77777777" w:rsidR="004150AF" w:rsidRPr="002169FB" w:rsidRDefault="004150A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150AF" w:rsidRPr="002169FB" w14:paraId="510FF184" w14:textId="77777777">
        <w:trPr>
          <w:trHeight w:val="295"/>
          <w:jc w:val="center"/>
        </w:trPr>
        <w:tc>
          <w:tcPr>
            <w:tcW w:w="923" w:type="dxa"/>
            <w:tcBorders>
              <w:top w:val="nil"/>
              <w:left w:val="nil"/>
              <w:bottom w:val="nil"/>
              <w:right w:val="nil"/>
            </w:tcBorders>
          </w:tcPr>
          <w:p w14:paraId="682A7B4B" w14:textId="77777777" w:rsidR="004150AF" w:rsidRPr="002169FB" w:rsidRDefault="002169FB">
            <w:pPr>
              <w:jc w:val="both"/>
              <w:rPr>
                <w:rFonts w:ascii="Arial" w:hAnsi="Arial" w:cs="FrankRuehl"/>
                <w:sz w:val="28"/>
                <w:szCs w:val="28"/>
              </w:rPr>
            </w:pPr>
            <w:r w:rsidRPr="002169FB">
              <w:rPr>
                <w:rFonts w:ascii="Arial" w:hAnsi="Arial" w:cs="FrankRuehl" w:hint="cs"/>
                <w:sz w:val="28"/>
                <w:szCs w:val="28"/>
                <w:rtl/>
              </w:rPr>
              <w:t>ב</w:t>
            </w:r>
            <w:r w:rsidRPr="002169FB">
              <w:rPr>
                <w:rFonts w:ascii="Arial" w:hAnsi="Arial" w:cs="FrankRuehl"/>
                <w:sz w:val="28"/>
                <w:szCs w:val="28"/>
                <w:rtl/>
              </w:rPr>
              <w:t xml:space="preserve">פני </w:t>
            </w:r>
          </w:p>
        </w:tc>
        <w:tc>
          <w:tcPr>
            <w:tcW w:w="7897" w:type="dxa"/>
            <w:gridSpan w:val="2"/>
            <w:tcBorders>
              <w:top w:val="nil"/>
              <w:left w:val="nil"/>
              <w:bottom w:val="nil"/>
              <w:right w:val="nil"/>
            </w:tcBorders>
          </w:tcPr>
          <w:p w14:paraId="40C8D598" w14:textId="77777777" w:rsidR="004150AF" w:rsidRPr="002169FB" w:rsidRDefault="002169FB">
            <w:pPr>
              <w:rPr>
                <w:rFonts w:ascii="Arial" w:hAnsi="Arial" w:cs="FrankRuehl"/>
                <w:b/>
                <w:bCs/>
                <w:sz w:val="28"/>
                <w:szCs w:val="28"/>
                <w:rtl/>
              </w:rPr>
            </w:pPr>
            <w:r w:rsidRPr="002169FB">
              <w:rPr>
                <w:rFonts w:ascii="Arial" w:hAnsi="Arial" w:cs="FrankRuehl" w:hint="cs"/>
                <w:b/>
                <w:bCs/>
                <w:sz w:val="28"/>
                <w:szCs w:val="28"/>
                <w:rtl/>
              </w:rPr>
              <w:t>כב' ה</w:t>
            </w:r>
            <w:r w:rsidRPr="002169FB">
              <w:rPr>
                <w:rFonts w:cs="FrankRuehl" w:hint="cs"/>
                <w:sz w:val="28"/>
                <w:szCs w:val="28"/>
                <w:rtl/>
              </w:rPr>
              <w:t>שופטת</w:t>
            </w:r>
            <w:r w:rsidRPr="002169FB">
              <w:rPr>
                <w:rFonts w:ascii="Arial" w:hAnsi="Arial" w:cs="FrankRuehl" w:hint="cs"/>
                <w:b/>
                <w:bCs/>
                <w:sz w:val="28"/>
                <w:szCs w:val="28"/>
                <w:rtl/>
              </w:rPr>
              <w:t xml:space="preserve"> </w:t>
            </w:r>
            <w:r w:rsidRPr="002169FB">
              <w:rPr>
                <w:rFonts w:cs="FrankRuehl" w:hint="cs"/>
                <w:sz w:val="28"/>
                <w:szCs w:val="28"/>
                <w:rtl/>
              </w:rPr>
              <w:t>דנה כהן-לקח</w:t>
            </w:r>
          </w:p>
          <w:p w14:paraId="73B710E4" w14:textId="77777777" w:rsidR="004150AF" w:rsidRPr="002169FB" w:rsidRDefault="004150AF">
            <w:pPr>
              <w:jc w:val="both"/>
              <w:rPr>
                <w:rFonts w:ascii="Arial" w:hAnsi="Arial" w:cs="FrankRuehl"/>
                <w:sz w:val="28"/>
                <w:szCs w:val="28"/>
              </w:rPr>
            </w:pPr>
          </w:p>
        </w:tc>
      </w:tr>
      <w:tr w:rsidR="004150AF" w:rsidRPr="002169FB" w14:paraId="179B601C" w14:textId="77777777">
        <w:trPr>
          <w:trHeight w:val="355"/>
          <w:jc w:val="center"/>
        </w:trPr>
        <w:tc>
          <w:tcPr>
            <w:tcW w:w="923" w:type="dxa"/>
            <w:tcBorders>
              <w:top w:val="nil"/>
              <w:left w:val="nil"/>
              <w:bottom w:val="nil"/>
              <w:right w:val="nil"/>
            </w:tcBorders>
          </w:tcPr>
          <w:p w14:paraId="6BB12400" w14:textId="77777777" w:rsidR="004150AF" w:rsidRPr="002169FB" w:rsidRDefault="002169FB">
            <w:pPr>
              <w:jc w:val="both"/>
              <w:rPr>
                <w:rFonts w:ascii="Arial" w:hAnsi="Arial" w:cs="FrankRuehl"/>
                <w:sz w:val="28"/>
                <w:szCs w:val="28"/>
              </w:rPr>
            </w:pPr>
            <w:bookmarkStart w:id="1" w:name="FirstAppellant"/>
            <w:r w:rsidRPr="002169FB">
              <w:rPr>
                <w:rFonts w:ascii="Arial" w:hAnsi="Arial" w:cs="FrankRuehl" w:hint="cs"/>
                <w:sz w:val="28"/>
                <w:szCs w:val="28"/>
                <w:rtl/>
              </w:rPr>
              <w:t>בעניין:</w:t>
            </w:r>
          </w:p>
        </w:tc>
        <w:tc>
          <w:tcPr>
            <w:tcW w:w="4126" w:type="dxa"/>
            <w:tcBorders>
              <w:top w:val="nil"/>
              <w:left w:val="nil"/>
              <w:bottom w:val="nil"/>
              <w:right w:val="nil"/>
            </w:tcBorders>
          </w:tcPr>
          <w:p w14:paraId="05BF060B" w14:textId="77777777" w:rsidR="004150AF" w:rsidRPr="002169FB" w:rsidRDefault="002169FB">
            <w:r w:rsidRPr="002169FB">
              <w:rPr>
                <w:rFonts w:hint="cs"/>
                <w:rtl/>
              </w:rPr>
              <w:t>מדינת ישראל</w:t>
            </w:r>
          </w:p>
        </w:tc>
        <w:tc>
          <w:tcPr>
            <w:tcW w:w="3771" w:type="dxa"/>
            <w:tcBorders>
              <w:top w:val="nil"/>
              <w:left w:val="nil"/>
              <w:bottom w:val="nil"/>
              <w:right w:val="nil"/>
            </w:tcBorders>
          </w:tcPr>
          <w:p w14:paraId="0C579929" w14:textId="77777777" w:rsidR="004150AF" w:rsidRPr="002169FB" w:rsidRDefault="004150AF">
            <w:pPr>
              <w:jc w:val="both"/>
              <w:rPr>
                <w:rFonts w:ascii="Arial" w:hAnsi="Arial" w:cs="FrankRuehl"/>
                <w:sz w:val="28"/>
                <w:szCs w:val="28"/>
              </w:rPr>
            </w:pPr>
          </w:p>
        </w:tc>
      </w:tr>
      <w:bookmarkEnd w:id="1"/>
      <w:tr w:rsidR="004150AF" w:rsidRPr="002169FB" w14:paraId="1D64E9F2" w14:textId="77777777">
        <w:trPr>
          <w:trHeight w:val="355"/>
          <w:jc w:val="center"/>
        </w:trPr>
        <w:tc>
          <w:tcPr>
            <w:tcW w:w="923" w:type="dxa"/>
            <w:tcBorders>
              <w:top w:val="nil"/>
              <w:left w:val="nil"/>
              <w:bottom w:val="nil"/>
              <w:right w:val="nil"/>
            </w:tcBorders>
          </w:tcPr>
          <w:p w14:paraId="3EC2DE13" w14:textId="77777777" w:rsidR="004150AF" w:rsidRPr="002169FB" w:rsidRDefault="004150AF">
            <w:pPr>
              <w:jc w:val="both"/>
              <w:rPr>
                <w:rFonts w:ascii="Arial" w:hAnsi="Arial" w:cs="FrankRuehl"/>
                <w:sz w:val="28"/>
                <w:szCs w:val="28"/>
                <w:rtl/>
              </w:rPr>
            </w:pPr>
          </w:p>
        </w:tc>
        <w:tc>
          <w:tcPr>
            <w:tcW w:w="4126" w:type="dxa"/>
            <w:tcBorders>
              <w:top w:val="nil"/>
              <w:left w:val="nil"/>
              <w:bottom w:val="nil"/>
              <w:right w:val="nil"/>
            </w:tcBorders>
          </w:tcPr>
          <w:p w14:paraId="54CE58D1" w14:textId="77777777" w:rsidR="004150AF" w:rsidRPr="002169FB" w:rsidRDefault="004150AF">
            <w:pPr>
              <w:jc w:val="both"/>
              <w:rPr>
                <w:rtl/>
              </w:rPr>
            </w:pPr>
          </w:p>
        </w:tc>
        <w:tc>
          <w:tcPr>
            <w:tcW w:w="3771" w:type="dxa"/>
            <w:tcBorders>
              <w:top w:val="nil"/>
              <w:left w:val="nil"/>
              <w:bottom w:val="nil"/>
              <w:right w:val="nil"/>
            </w:tcBorders>
          </w:tcPr>
          <w:p w14:paraId="0B322292" w14:textId="77777777" w:rsidR="004150AF" w:rsidRPr="002169FB" w:rsidRDefault="002169FB">
            <w:pPr>
              <w:jc w:val="right"/>
              <w:rPr>
                <w:rFonts w:ascii="Arial" w:hAnsi="Arial" w:cs="FrankRuehl"/>
                <w:sz w:val="28"/>
                <w:szCs w:val="28"/>
                <w:rtl/>
              </w:rPr>
            </w:pPr>
            <w:r w:rsidRPr="002169FB">
              <w:rPr>
                <w:rFonts w:ascii="Arial" w:hAnsi="Arial" w:cs="FrankRuehl" w:hint="cs"/>
                <w:sz w:val="28"/>
                <w:szCs w:val="28"/>
                <w:rtl/>
              </w:rPr>
              <w:t>ה</w:t>
            </w:r>
            <w:r w:rsidRPr="002169FB">
              <w:rPr>
                <w:rFonts w:hint="cs"/>
                <w:rtl/>
              </w:rPr>
              <w:t>מאשימה</w:t>
            </w:r>
          </w:p>
        </w:tc>
      </w:tr>
      <w:tr w:rsidR="004150AF" w:rsidRPr="002169FB" w14:paraId="144FC3EB" w14:textId="77777777">
        <w:trPr>
          <w:trHeight w:val="355"/>
          <w:jc w:val="center"/>
        </w:trPr>
        <w:tc>
          <w:tcPr>
            <w:tcW w:w="923" w:type="dxa"/>
            <w:tcBorders>
              <w:top w:val="nil"/>
              <w:left w:val="nil"/>
              <w:bottom w:val="nil"/>
              <w:right w:val="nil"/>
            </w:tcBorders>
          </w:tcPr>
          <w:p w14:paraId="436FB784" w14:textId="77777777" w:rsidR="004150AF" w:rsidRPr="002169FB" w:rsidRDefault="004150AF">
            <w:pPr>
              <w:jc w:val="both"/>
              <w:rPr>
                <w:rFonts w:ascii="Arial" w:hAnsi="Arial" w:cs="FrankRuehl"/>
                <w:sz w:val="28"/>
                <w:szCs w:val="28"/>
                <w:rtl/>
              </w:rPr>
            </w:pPr>
          </w:p>
        </w:tc>
        <w:tc>
          <w:tcPr>
            <w:tcW w:w="7897" w:type="dxa"/>
            <w:gridSpan w:val="2"/>
            <w:tcBorders>
              <w:top w:val="nil"/>
              <w:left w:val="nil"/>
              <w:bottom w:val="nil"/>
              <w:right w:val="nil"/>
            </w:tcBorders>
          </w:tcPr>
          <w:p w14:paraId="2FE00B2F" w14:textId="77777777" w:rsidR="004150AF" w:rsidRPr="002169FB" w:rsidRDefault="004150AF">
            <w:pPr>
              <w:jc w:val="center"/>
              <w:rPr>
                <w:rFonts w:ascii="Arial" w:hAnsi="Arial" w:cs="FrankRuehl"/>
                <w:b/>
                <w:bCs/>
                <w:sz w:val="28"/>
                <w:szCs w:val="28"/>
                <w:rtl/>
              </w:rPr>
            </w:pPr>
          </w:p>
          <w:p w14:paraId="4119E7CF" w14:textId="77777777" w:rsidR="004150AF" w:rsidRPr="002169FB" w:rsidRDefault="002169FB">
            <w:pPr>
              <w:jc w:val="center"/>
              <w:rPr>
                <w:rFonts w:ascii="Arial" w:hAnsi="Arial" w:cs="FrankRuehl"/>
                <w:b/>
                <w:bCs/>
                <w:sz w:val="28"/>
                <w:szCs w:val="28"/>
                <w:rtl/>
              </w:rPr>
            </w:pPr>
            <w:r w:rsidRPr="002169FB">
              <w:rPr>
                <w:rFonts w:ascii="Arial" w:hAnsi="Arial" w:cs="FrankRuehl"/>
                <w:b/>
                <w:bCs/>
                <w:sz w:val="28"/>
                <w:szCs w:val="28"/>
                <w:rtl/>
              </w:rPr>
              <w:t>נגד</w:t>
            </w:r>
          </w:p>
          <w:p w14:paraId="19DED2F5" w14:textId="77777777" w:rsidR="004150AF" w:rsidRPr="002169FB" w:rsidRDefault="004150AF">
            <w:pPr>
              <w:jc w:val="both"/>
              <w:rPr>
                <w:rFonts w:ascii="Arial" w:hAnsi="Arial" w:cs="FrankRuehl"/>
                <w:sz w:val="28"/>
                <w:szCs w:val="28"/>
              </w:rPr>
            </w:pPr>
          </w:p>
        </w:tc>
      </w:tr>
      <w:tr w:rsidR="004150AF" w:rsidRPr="002169FB" w14:paraId="71517247" w14:textId="77777777">
        <w:trPr>
          <w:trHeight w:val="355"/>
          <w:jc w:val="center"/>
        </w:trPr>
        <w:tc>
          <w:tcPr>
            <w:tcW w:w="923" w:type="dxa"/>
            <w:tcBorders>
              <w:top w:val="nil"/>
              <w:left w:val="nil"/>
              <w:bottom w:val="nil"/>
              <w:right w:val="nil"/>
            </w:tcBorders>
          </w:tcPr>
          <w:p w14:paraId="531BC9B7" w14:textId="77777777" w:rsidR="004150AF" w:rsidRPr="002169FB" w:rsidRDefault="004150AF">
            <w:pPr>
              <w:jc w:val="both"/>
              <w:rPr>
                <w:rFonts w:ascii="Arial" w:hAnsi="Arial" w:cs="FrankRuehl"/>
                <w:sz w:val="28"/>
                <w:szCs w:val="28"/>
                <w:rtl/>
              </w:rPr>
            </w:pPr>
          </w:p>
        </w:tc>
        <w:tc>
          <w:tcPr>
            <w:tcW w:w="4126" w:type="dxa"/>
            <w:tcBorders>
              <w:top w:val="nil"/>
              <w:left w:val="nil"/>
              <w:bottom w:val="nil"/>
              <w:right w:val="nil"/>
            </w:tcBorders>
          </w:tcPr>
          <w:p w14:paraId="6C1645EC" w14:textId="77777777" w:rsidR="004150AF" w:rsidRPr="002169FB" w:rsidRDefault="002169FB">
            <w:pPr>
              <w:jc w:val="both"/>
              <w:rPr>
                <w:rtl/>
              </w:rPr>
            </w:pPr>
            <w:r w:rsidRPr="002169FB">
              <w:rPr>
                <w:rFonts w:hint="cs"/>
                <w:rtl/>
              </w:rPr>
              <w:t>אלי תומס וייט (עציר)</w:t>
            </w:r>
          </w:p>
        </w:tc>
        <w:tc>
          <w:tcPr>
            <w:tcW w:w="3771" w:type="dxa"/>
            <w:tcBorders>
              <w:top w:val="nil"/>
              <w:left w:val="nil"/>
              <w:bottom w:val="nil"/>
              <w:right w:val="nil"/>
            </w:tcBorders>
          </w:tcPr>
          <w:p w14:paraId="2D8563C6" w14:textId="77777777" w:rsidR="004150AF" w:rsidRPr="002169FB" w:rsidRDefault="004150AF">
            <w:pPr>
              <w:jc w:val="right"/>
              <w:rPr>
                <w:rFonts w:ascii="Arial" w:hAnsi="Arial" w:cs="FrankRuehl"/>
                <w:sz w:val="28"/>
                <w:szCs w:val="28"/>
              </w:rPr>
            </w:pPr>
          </w:p>
        </w:tc>
      </w:tr>
      <w:tr w:rsidR="004150AF" w:rsidRPr="002169FB" w14:paraId="1CC57AA7" w14:textId="77777777">
        <w:trPr>
          <w:trHeight w:val="355"/>
          <w:jc w:val="center"/>
        </w:trPr>
        <w:tc>
          <w:tcPr>
            <w:tcW w:w="923" w:type="dxa"/>
            <w:tcBorders>
              <w:top w:val="nil"/>
              <w:left w:val="nil"/>
              <w:bottom w:val="nil"/>
              <w:right w:val="nil"/>
            </w:tcBorders>
          </w:tcPr>
          <w:p w14:paraId="5C99F558" w14:textId="77777777" w:rsidR="004150AF" w:rsidRPr="002169FB" w:rsidRDefault="004150AF">
            <w:pPr>
              <w:jc w:val="both"/>
              <w:rPr>
                <w:rFonts w:ascii="Arial" w:hAnsi="Arial" w:cs="FrankRuehl"/>
                <w:sz w:val="28"/>
                <w:szCs w:val="28"/>
                <w:rtl/>
              </w:rPr>
            </w:pPr>
          </w:p>
        </w:tc>
        <w:tc>
          <w:tcPr>
            <w:tcW w:w="4126" w:type="dxa"/>
            <w:tcBorders>
              <w:top w:val="nil"/>
              <w:left w:val="nil"/>
              <w:bottom w:val="nil"/>
              <w:right w:val="nil"/>
            </w:tcBorders>
          </w:tcPr>
          <w:p w14:paraId="19660C02" w14:textId="77777777" w:rsidR="004150AF" w:rsidRPr="002169FB" w:rsidRDefault="004150AF">
            <w:pPr>
              <w:jc w:val="both"/>
              <w:rPr>
                <w:rtl/>
              </w:rPr>
            </w:pPr>
          </w:p>
        </w:tc>
        <w:tc>
          <w:tcPr>
            <w:tcW w:w="3771" w:type="dxa"/>
            <w:tcBorders>
              <w:top w:val="nil"/>
              <w:left w:val="nil"/>
              <w:bottom w:val="nil"/>
              <w:right w:val="nil"/>
            </w:tcBorders>
          </w:tcPr>
          <w:p w14:paraId="7AE776CC" w14:textId="77777777" w:rsidR="004150AF" w:rsidRPr="002169FB" w:rsidRDefault="002169FB">
            <w:pPr>
              <w:jc w:val="right"/>
              <w:rPr>
                <w:rFonts w:ascii="Arial" w:hAnsi="Arial" w:cs="FrankRuehl"/>
                <w:sz w:val="28"/>
                <w:szCs w:val="28"/>
              </w:rPr>
            </w:pPr>
            <w:r w:rsidRPr="002169FB">
              <w:rPr>
                <w:rFonts w:ascii="Arial" w:hAnsi="Arial" w:cs="FrankRuehl" w:hint="cs"/>
                <w:sz w:val="28"/>
                <w:szCs w:val="28"/>
                <w:rtl/>
              </w:rPr>
              <w:t>ה</w:t>
            </w:r>
            <w:r w:rsidRPr="002169FB">
              <w:rPr>
                <w:rFonts w:hint="cs"/>
                <w:rtl/>
              </w:rPr>
              <w:t>נאשם</w:t>
            </w:r>
          </w:p>
        </w:tc>
      </w:tr>
    </w:tbl>
    <w:p w14:paraId="5EFF2CF6" w14:textId="77777777" w:rsidR="004150AF" w:rsidRPr="002169FB" w:rsidRDefault="004150AF"/>
    <w:p w14:paraId="7E6CC077" w14:textId="77777777" w:rsidR="002E6D6A" w:rsidRPr="002E6D6A" w:rsidRDefault="002E6D6A" w:rsidP="002E6D6A">
      <w:pPr>
        <w:spacing w:after="120" w:line="240" w:lineRule="exact"/>
        <w:ind w:left="283" w:hanging="283"/>
        <w:jc w:val="both"/>
        <w:rPr>
          <w:rFonts w:ascii="FrankRuehl" w:hAnsi="FrankRuehl" w:cs="FrankRuehl"/>
          <w:rtl/>
        </w:rPr>
      </w:pPr>
      <w:bookmarkStart w:id="2" w:name="LawTable"/>
      <w:bookmarkEnd w:id="2"/>
      <w:r w:rsidRPr="002E6D6A">
        <w:rPr>
          <w:rFonts w:ascii="FrankRuehl" w:hAnsi="FrankRuehl" w:cs="FrankRuehl"/>
          <w:rtl/>
        </w:rPr>
        <w:t xml:space="preserve">חקיקה שאוזכרה: </w:t>
      </w:r>
    </w:p>
    <w:p w14:paraId="2D209309" w14:textId="77777777" w:rsidR="002E6D6A" w:rsidRPr="002E6D6A" w:rsidRDefault="002E6D6A" w:rsidP="002E6D6A">
      <w:pPr>
        <w:spacing w:after="120" w:line="240" w:lineRule="exact"/>
        <w:ind w:left="283" w:hanging="283"/>
        <w:jc w:val="both"/>
        <w:rPr>
          <w:rFonts w:ascii="FrankRuehl" w:hAnsi="FrankRuehl" w:cs="FrankRuehl"/>
          <w:color w:val="0000FF"/>
          <w:u w:val="single"/>
          <w:rtl/>
        </w:rPr>
      </w:pPr>
      <w:hyperlink r:id="rId6" w:history="1">
        <w:r w:rsidRPr="002E6D6A">
          <w:rPr>
            <w:rStyle w:val="Hyperlink"/>
            <w:rFonts w:ascii="FrankRuehl" w:hAnsi="FrankRuehl" w:cs="FrankRuehl"/>
            <w:rtl/>
          </w:rPr>
          <w:t>פקודת הסמים המסוכנים [נוסח חדש], תשל"ג-1973</w:t>
        </w:r>
      </w:hyperlink>
      <w:r w:rsidRPr="002E6D6A">
        <w:rPr>
          <w:rFonts w:ascii="FrankRuehl" w:hAnsi="FrankRuehl" w:cs="FrankRuehl"/>
          <w:color w:val="0000FF"/>
          <w:u w:val="single"/>
          <w:rtl/>
        </w:rPr>
        <w:t xml:space="preserve">: סע'  </w:t>
      </w:r>
      <w:hyperlink r:id="rId7" w:history="1">
        <w:r w:rsidRPr="002E6D6A">
          <w:rPr>
            <w:rStyle w:val="Hyperlink"/>
            <w:rFonts w:ascii="FrankRuehl" w:hAnsi="FrankRuehl" w:cs="FrankRuehl"/>
          </w:rPr>
          <w:t>7(</w:t>
        </w:r>
        <w:r w:rsidRPr="002E6D6A">
          <w:rPr>
            <w:rStyle w:val="Hyperlink"/>
            <w:rFonts w:ascii="FrankRuehl" w:hAnsi="FrankRuehl" w:cs="FrankRuehl"/>
            <w:rtl/>
          </w:rPr>
          <w:t>א</w:t>
        </w:r>
        <w:r w:rsidRPr="002E6D6A">
          <w:rPr>
            <w:rStyle w:val="Hyperlink"/>
            <w:rFonts w:ascii="FrankRuehl" w:hAnsi="FrankRuehl" w:cs="FrankRuehl"/>
          </w:rPr>
          <w:t>)</w:t>
        </w:r>
      </w:hyperlink>
      <w:r w:rsidRPr="002E6D6A">
        <w:rPr>
          <w:rFonts w:ascii="FrankRuehl" w:hAnsi="FrankRuehl" w:cs="FrankRuehl"/>
          <w:color w:val="0000FF"/>
          <w:u w:val="single"/>
          <w:rtl/>
        </w:rPr>
        <w:t xml:space="preserve">, </w:t>
      </w:r>
      <w:hyperlink r:id="rId8" w:history="1">
        <w:r w:rsidRPr="002E6D6A">
          <w:rPr>
            <w:rStyle w:val="Hyperlink"/>
            <w:rFonts w:ascii="FrankRuehl" w:hAnsi="FrankRuehl" w:cs="FrankRuehl"/>
          </w:rPr>
          <w:t>(</w:t>
        </w:r>
        <w:r w:rsidRPr="002E6D6A">
          <w:rPr>
            <w:rStyle w:val="Hyperlink"/>
            <w:rFonts w:ascii="FrankRuehl" w:hAnsi="FrankRuehl" w:cs="FrankRuehl"/>
            <w:rtl/>
          </w:rPr>
          <w:t>ג</w:t>
        </w:r>
        <w:r w:rsidRPr="002E6D6A">
          <w:rPr>
            <w:rStyle w:val="Hyperlink"/>
            <w:rFonts w:ascii="FrankRuehl" w:hAnsi="FrankRuehl" w:cs="FrankRuehl"/>
          </w:rPr>
          <w:t>)</w:t>
        </w:r>
      </w:hyperlink>
      <w:r w:rsidRPr="002E6D6A">
        <w:rPr>
          <w:rFonts w:ascii="FrankRuehl" w:hAnsi="FrankRuehl" w:cs="FrankRuehl"/>
          <w:color w:val="0000FF"/>
          <w:u w:val="single"/>
          <w:rtl/>
        </w:rPr>
        <w:t xml:space="preserve">, </w:t>
      </w:r>
      <w:hyperlink r:id="rId9" w:history="1">
        <w:r w:rsidRPr="002E6D6A">
          <w:rPr>
            <w:rStyle w:val="Hyperlink"/>
            <w:rFonts w:ascii="FrankRuehl" w:hAnsi="FrankRuehl" w:cs="FrankRuehl"/>
          </w:rPr>
          <w:t>36</w:t>
        </w:r>
        <w:r w:rsidRPr="002E6D6A">
          <w:rPr>
            <w:rStyle w:val="Hyperlink"/>
            <w:rFonts w:ascii="FrankRuehl" w:hAnsi="FrankRuehl" w:cs="FrankRuehl"/>
            <w:rtl/>
          </w:rPr>
          <w:t>א</w:t>
        </w:r>
      </w:hyperlink>
      <w:r w:rsidRPr="002E6D6A">
        <w:rPr>
          <w:rFonts w:ascii="FrankRuehl" w:hAnsi="FrankRuehl" w:cs="FrankRuehl"/>
          <w:color w:val="0000FF"/>
          <w:u w:val="single"/>
          <w:rtl/>
        </w:rPr>
        <w:t xml:space="preserve">, </w:t>
      </w:r>
      <w:hyperlink r:id="rId10" w:history="1">
        <w:r w:rsidRPr="002E6D6A">
          <w:rPr>
            <w:rStyle w:val="Hyperlink"/>
            <w:rFonts w:ascii="FrankRuehl" w:hAnsi="FrankRuehl" w:cs="FrankRuehl"/>
          </w:rPr>
          <w:t>36</w:t>
        </w:r>
        <w:r w:rsidRPr="002E6D6A">
          <w:rPr>
            <w:rStyle w:val="Hyperlink"/>
            <w:rFonts w:ascii="FrankRuehl" w:hAnsi="FrankRuehl" w:cs="FrankRuehl"/>
            <w:rtl/>
          </w:rPr>
          <w:t>א(ה</w:t>
        </w:r>
        <w:r w:rsidRPr="002E6D6A">
          <w:rPr>
            <w:rStyle w:val="Hyperlink"/>
            <w:rFonts w:ascii="FrankRuehl" w:hAnsi="FrankRuehl" w:cs="FrankRuehl"/>
          </w:rPr>
          <w:t>)</w:t>
        </w:r>
      </w:hyperlink>
    </w:p>
    <w:p w14:paraId="55B59935" w14:textId="77777777" w:rsidR="002E6D6A" w:rsidRPr="002E6D6A" w:rsidRDefault="002E6D6A" w:rsidP="002E6D6A">
      <w:pPr>
        <w:spacing w:after="120" w:line="240" w:lineRule="exact"/>
        <w:ind w:left="283" w:hanging="283"/>
        <w:jc w:val="both"/>
        <w:rPr>
          <w:rFonts w:ascii="FrankRuehl" w:hAnsi="FrankRuehl" w:cs="FrankRuehl"/>
          <w:color w:val="0000FF"/>
          <w:u w:val="single"/>
          <w:rtl/>
        </w:rPr>
      </w:pPr>
      <w:hyperlink r:id="rId11" w:history="1">
        <w:r w:rsidRPr="002E6D6A">
          <w:rPr>
            <w:rStyle w:val="Hyperlink"/>
            <w:rFonts w:ascii="FrankRuehl" w:hAnsi="FrankRuehl" w:cs="FrankRuehl"/>
            <w:rtl/>
          </w:rPr>
          <w:t>חוק העונשין, תשל"ז-1977</w:t>
        </w:r>
      </w:hyperlink>
      <w:r w:rsidRPr="002E6D6A">
        <w:rPr>
          <w:rFonts w:ascii="FrankRuehl" w:hAnsi="FrankRuehl" w:cs="FrankRuehl"/>
          <w:color w:val="0000FF"/>
          <w:u w:val="single"/>
          <w:rtl/>
        </w:rPr>
        <w:t xml:space="preserve">: סע'  </w:t>
      </w:r>
      <w:hyperlink r:id="rId12" w:history="1">
        <w:r w:rsidRPr="002E6D6A">
          <w:rPr>
            <w:rStyle w:val="Hyperlink"/>
            <w:rFonts w:ascii="FrankRuehl" w:hAnsi="FrankRuehl" w:cs="FrankRuehl"/>
          </w:rPr>
          <w:t>58</w:t>
        </w:r>
      </w:hyperlink>
      <w:r w:rsidRPr="002E6D6A">
        <w:rPr>
          <w:rFonts w:ascii="FrankRuehl" w:hAnsi="FrankRuehl" w:cs="FrankRuehl"/>
          <w:color w:val="0000FF"/>
          <w:u w:val="single"/>
          <w:rtl/>
        </w:rPr>
        <w:t xml:space="preserve">, </w:t>
      </w:r>
      <w:hyperlink r:id="rId13" w:history="1">
        <w:r w:rsidRPr="002E6D6A">
          <w:rPr>
            <w:rStyle w:val="Hyperlink"/>
            <w:rFonts w:ascii="FrankRuehl" w:hAnsi="FrankRuehl" w:cs="FrankRuehl"/>
          </w:rPr>
          <w:t>40</w:t>
        </w:r>
        <w:r w:rsidRPr="002E6D6A">
          <w:rPr>
            <w:rStyle w:val="Hyperlink"/>
            <w:rFonts w:ascii="FrankRuehl" w:hAnsi="FrankRuehl" w:cs="FrankRuehl"/>
            <w:rtl/>
          </w:rPr>
          <w:t>יג(ב</w:t>
        </w:r>
        <w:r w:rsidRPr="002E6D6A">
          <w:rPr>
            <w:rStyle w:val="Hyperlink"/>
            <w:rFonts w:ascii="FrankRuehl" w:hAnsi="FrankRuehl" w:cs="FrankRuehl"/>
          </w:rPr>
          <w:t>)</w:t>
        </w:r>
      </w:hyperlink>
    </w:p>
    <w:p w14:paraId="32C37766" w14:textId="77777777" w:rsidR="002E6D6A" w:rsidRPr="002E6D6A" w:rsidRDefault="002E6D6A" w:rsidP="002E6D6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150AF" w:rsidRPr="002169FB" w14:paraId="09E50E0E" w14:textId="77777777">
        <w:trPr>
          <w:trHeight w:val="355"/>
          <w:jc w:val="center"/>
        </w:trPr>
        <w:tc>
          <w:tcPr>
            <w:tcW w:w="8820" w:type="dxa"/>
            <w:tcBorders>
              <w:top w:val="nil"/>
              <w:left w:val="nil"/>
              <w:bottom w:val="nil"/>
              <w:right w:val="nil"/>
            </w:tcBorders>
          </w:tcPr>
          <w:p w14:paraId="0FC8422C" w14:textId="77777777" w:rsidR="002169FB" w:rsidRPr="002169FB" w:rsidRDefault="002169FB" w:rsidP="002169FB">
            <w:pPr>
              <w:jc w:val="center"/>
              <w:rPr>
                <w:rFonts w:ascii="Arial" w:hAnsi="Arial" w:cs="FrankRuehl"/>
                <w:b/>
                <w:bCs/>
                <w:sz w:val="34"/>
                <w:szCs w:val="34"/>
                <w:rtl/>
              </w:rPr>
            </w:pPr>
            <w:bookmarkStart w:id="3" w:name="LawTable_End"/>
            <w:bookmarkStart w:id="4" w:name="PsakDin" w:colFirst="0" w:colLast="0"/>
            <w:bookmarkEnd w:id="0"/>
            <w:bookmarkEnd w:id="3"/>
          </w:p>
          <w:p w14:paraId="109F5BB8" w14:textId="77777777" w:rsidR="002169FB" w:rsidRPr="002169FB" w:rsidRDefault="002169FB" w:rsidP="002169FB">
            <w:pPr>
              <w:jc w:val="center"/>
              <w:rPr>
                <w:rFonts w:ascii="Arial" w:hAnsi="Arial" w:cs="FrankRuehl"/>
                <w:b/>
                <w:bCs/>
                <w:sz w:val="34"/>
                <w:szCs w:val="34"/>
                <w:rtl/>
              </w:rPr>
            </w:pPr>
            <w:r w:rsidRPr="002169FB">
              <w:rPr>
                <w:rFonts w:ascii="Arial" w:hAnsi="Arial" w:cs="FrankRuehl"/>
                <w:b/>
                <w:bCs/>
                <w:sz w:val="34"/>
                <w:szCs w:val="34"/>
                <w:rtl/>
              </w:rPr>
              <w:t>גזר-דין</w:t>
            </w:r>
          </w:p>
          <w:p w14:paraId="4C8E4B21" w14:textId="77777777" w:rsidR="004150AF" w:rsidRPr="002169FB" w:rsidRDefault="004150AF" w:rsidP="002169FB">
            <w:pPr>
              <w:jc w:val="center"/>
              <w:rPr>
                <w:rFonts w:ascii="Arial" w:hAnsi="Arial" w:cs="FrankRuehl"/>
                <w:bCs/>
                <w:sz w:val="34"/>
                <w:szCs w:val="34"/>
                <w:rtl/>
              </w:rPr>
            </w:pPr>
          </w:p>
        </w:tc>
      </w:tr>
      <w:bookmarkEnd w:id="4"/>
    </w:tbl>
    <w:p w14:paraId="3358D321" w14:textId="77777777" w:rsidR="004150AF" w:rsidRDefault="004150AF">
      <w:pPr>
        <w:pStyle w:val="David"/>
        <w:spacing w:line="480" w:lineRule="auto"/>
        <w:rPr>
          <w:rFonts w:cs="FrankRuehl"/>
          <w:sz w:val="28"/>
          <w:szCs w:val="28"/>
          <w:u w:val="single"/>
          <w:rtl/>
        </w:rPr>
      </w:pPr>
    </w:p>
    <w:p w14:paraId="71A85A9F" w14:textId="77777777" w:rsidR="004150AF" w:rsidRDefault="002169FB">
      <w:pPr>
        <w:pStyle w:val="David"/>
        <w:rPr>
          <w:rFonts w:cs="FrankRuehl"/>
          <w:sz w:val="28"/>
          <w:szCs w:val="28"/>
          <w:u w:val="single"/>
          <w:rtl/>
        </w:rPr>
      </w:pPr>
      <w:r>
        <w:rPr>
          <w:rFonts w:cs="FrankRuehl" w:hint="cs"/>
          <w:sz w:val="28"/>
          <w:szCs w:val="28"/>
          <w:u w:val="single"/>
          <w:rtl/>
        </w:rPr>
        <w:t>רקע</w:t>
      </w:r>
    </w:p>
    <w:p w14:paraId="62A98A75" w14:textId="77777777" w:rsidR="004150AF" w:rsidRDefault="002169FB">
      <w:pPr>
        <w:spacing w:after="120" w:line="360" w:lineRule="auto"/>
        <w:jc w:val="both"/>
        <w:rPr>
          <w:rFonts w:cs="FrankRuehl"/>
          <w:sz w:val="28"/>
          <w:szCs w:val="28"/>
          <w:rtl/>
        </w:rPr>
      </w:pPr>
      <w:r>
        <w:rPr>
          <w:rFonts w:hint="cs"/>
          <w:rtl/>
        </w:rPr>
        <w:t xml:space="preserve"> </w:t>
      </w:r>
      <w:r>
        <w:rPr>
          <w:rFonts w:cs="FrankRuehl" w:hint="cs"/>
          <w:sz w:val="28"/>
          <w:szCs w:val="28"/>
          <w:rtl/>
        </w:rPr>
        <w:t>1.</w:t>
      </w:r>
      <w:r>
        <w:rPr>
          <w:rFonts w:cs="FrankRuehl" w:hint="cs"/>
          <w:sz w:val="28"/>
          <w:szCs w:val="28"/>
          <w:rtl/>
        </w:rPr>
        <w:tab/>
      </w:r>
      <w:bookmarkStart w:id="5" w:name="ABSTRACT_START"/>
      <w:bookmarkEnd w:id="5"/>
      <w:r>
        <w:rPr>
          <w:rFonts w:cs="FrankRuehl" w:hint="cs"/>
          <w:sz w:val="28"/>
          <w:szCs w:val="28"/>
          <w:rtl/>
        </w:rPr>
        <w:t xml:space="preserve">ביום 8.1.2014 הורשע הנאשם על-יסוד הודאתו שניתנה במסגרת הסדר טיעון, בעבירה של החזקת סם שלא לצריכה עצמית לפי </w:t>
      </w:r>
      <w:hyperlink r:id="rId14" w:history="1">
        <w:r w:rsidR="002E6D6A" w:rsidRPr="002E6D6A">
          <w:rPr>
            <w:rStyle w:val="Hyperlink"/>
            <w:rFonts w:cs="FrankRuehl" w:hint="eastAsia"/>
            <w:sz w:val="28"/>
            <w:szCs w:val="28"/>
            <w:rtl/>
          </w:rPr>
          <w:t>סעיף</w:t>
        </w:r>
        <w:r w:rsidR="002E6D6A" w:rsidRPr="002E6D6A">
          <w:rPr>
            <w:rStyle w:val="Hyperlink"/>
            <w:rFonts w:cs="FrankRuehl"/>
            <w:sz w:val="28"/>
            <w:szCs w:val="28"/>
            <w:rtl/>
          </w:rPr>
          <w:t xml:space="preserve"> 7(א)</w:t>
        </w:r>
      </w:hyperlink>
      <w:r>
        <w:rPr>
          <w:rFonts w:cs="FrankRuehl" w:hint="cs"/>
          <w:sz w:val="28"/>
          <w:szCs w:val="28"/>
          <w:rtl/>
        </w:rPr>
        <w:t xml:space="preserve"> ו- </w:t>
      </w:r>
      <w:hyperlink r:id="rId15" w:history="1">
        <w:r w:rsidR="002E6D6A" w:rsidRPr="002E6D6A">
          <w:rPr>
            <w:rStyle w:val="Hyperlink"/>
            <w:rFonts w:cs="FrankRuehl"/>
            <w:sz w:val="28"/>
            <w:szCs w:val="28"/>
            <w:rtl/>
          </w:rPr>
          <w:t>(ג)</w:t>
        </w:r>
      </w:hyperlink>
      <w:r>
        <w:rPr>
          <w:rFonts w:cs="FrankRuehl" w:hint="cs"/>
          <w:sz w:val="28"/>
          <w:szCs w:val="28"/>
          <w:rtl/>
        </w:rPr>
        <w:t xml:space="preserve"> רישא ל</w:t>
      </w:r>
      <w:hyperlink r:id="rId16" w:history="1">
        <w:r w:rsidRPr="002169FB">
          <w:rPr>
            <w:rFonts w:cs="FrankRuehl"/>
            <w:color w:val="0000FF"/>
            <w:sz w:val="28"/>
            <w:szCs w:val="28"/>
            <w:u w:val="single"/>
            <w:rtl/>
          </w:rPr>
          <w:t>פקודת הסמים המסוכנים</w:t>
        </w:r>
      </w:hyperlink>
      <w:r>
        <w:rPr>
          <w:rFonts w:cs="FrankRuehl" w:hint="cs"/>
          <w:sz w:val="28"/>
          <w:szCs w:val="28"/>
          <w:rtl/>
        </w:rPr>
        <w:t xml:space="preserve">, התשל"ג-1973 (להלן: </w:t>
      </w:r>
      <w:r>
        <w:rPr>
          <w:rFonts w:cs="Miriam" w:hint="cs"/>
          <w:rtl/>
        </w:rPr>
        <w:t>פקודת הסמים</w:t>
      </w:r>
      <w:r>
        <w:rPr>
          <w:rFonts w:cs="FrankRuehl" w:hint="cs"/>
          <w:sz w:val="28"/>
          <w:szCs w:val="28"/>
          <w:rtl/>
        </w:rPr>
        <w:t xml:space="preserve"> או </w:t>
      </w:r>
      <w:r>
        <w:rPr>
          <w:rFonts w:cs="Miriam" w:hint="cs"/>
          <w:rtl/>
        </w:rPr>
        <w:t>הפקודה</w:t>
      </w:r>
      <w:r>
        <w:rPr>
          <w:rFonts w:cs="FrankRuehl" w:hint="cs"/>
          <w:sz w:val="28"/>
          <w:szCs w:val="28"/>
          <w:rtl/>
        </w:rPr>
        <w:t xml:space="preserve">). בהתאם למתואר בעובדות כתב-האישום המתוקן בהן הודה הנאשם, ביום 2.10.2013 בסמוך לשעה 20:00, ברחוב בוליביה בירושלים, החזיק הנאשם שלא לצריכתו העצמית בסם מסוכן מסוג חשיש, כשהוא מחולק למנות כדלקמן: 2 פלטות במשקל נטו של </w:t>
      </w:r>
      <w:smartTag w:uri="urn:schemas-microsoft-com:office:smarttags" w:element="metricconverter">
        <w:smartTagPr>
          <w:attr w:name="ProductID" w:val="194.74 גרם"/>
        </w:smartTagPr>
        <w:r>
          <w:rPr>
            <w:rFonts w:cs="FrankRuehl" w:hint="cs"/>
            <w:sz w:val="28"/>
            <w:szCs w:val="28"/>
            <w:rtl/>
          </w:rPr>
          <w:t>194.74 גרם</w:t>
        </w:r>
      </w:smartTag>
      <w:r>
        <w:rPr>
          <w:rFonts w:cs="FrankRuehl" w:hint="cs"/>
          <w:sz w:val="28"/>
          <w:szCs w:val="28"/>
          <w:rtl/>
        </w:rPr>
        <w:t xml:space="preserve">; וכן 10 פלטות כאשר הן מחולקות לשתי חבילות של 5 פלטות, במשקל ברוטו של </w:t>
      </w:r>
      <w:smartTag w:uri="urn:schemas-microsoft-com:office:smarttags" w:element="metricconverter">
        <w:smartTagPr>
          <w:attr w:name="ProductID" w:val="976.64 גרם"/>
        </w:smartTagPr>
        <w:r>
          <w:rPr>
            <w:rFonts w:cs="FrankRuehl" w:hint="cs"/>
            <w:sz w:val="28"/>
            <w:szCs w:val="28"/>
            <w:rtl/>
          </w:rPr>
          <w:t>976.64 גרם</w:t>
        </w:r>
      </w:smartTag>
      <w:r>
        <w:rPr>
          <w:rFonts w:cs="FrankRuehl" w:hint="cs"/>
          <w:sz w:val="28"/>
          <w:szCs w:val="28"/>
          <w:rtl/>
        </w:rPr>
        <w:t xml:space="preserve">. כל זאת, מבלי שהדבר הותר לו בפקודה או בתקנות לפיה ובלא רישיון מאת המנהל. באותן נסיבות, ירד הנאשם מרכב מסוג מאזדה, כאשר הוא מחזיק את הסם מתחת לקפוצ'ון אותו לבש, וניגש לעבר מעבר לבניין ברחוב בוליביה. </w:t>
      </w:r>
      <w:bookmarkStart w:id="6" w:name="ABSTRACT_END"/>
      <w:bookmarkEnd w:id="6"/>
    </w:p>
    <w:p w14:paraId="1D319EB8" w14:textId="77777777" w:rsidR="004150AF" w:rsidRDefault="004150AF">
      <w:pPr>
        <w:spacing w:after="120" w:line="360" w:lineRule="auto"/>
        <w:jc w:val="both"/>
        <w:rPr>
          <w:rFonts w:cs="FrankRuehl"/>
          <w:sz w:val="28"/>
          <w:szCs w:val="28"/>
          <w:rtl/>
        </w:rPr>
      </w:pPr>
    </w:p>
    <w:p w14:paraId="13A2C81F" w14:textId="77777777" w:rsidR="004150AF" w:rsidRDefault="002169FB">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 xml:space="preserve">בישיבה שהתקיימה לפניי ביום 20.3.2014, צירף הנאשם תיק נוסף - </w:t>
      </w:r>
      <w:hyperlink r:id="rId17" w:history="1">
        <w:r w:rsidRPr="002169FB">
          <w:rPr>
            <w:rFonts w:cs="FrankRuehl"/>
            <w:color w:val="0000FF"/>
            <w:sz w:val="28"/>
            <w:szCs w:val="28"/>
            <w:u w:val="single"/>
            <w:rtl/>
          </w:rPr>
          <w:t>ת"פ 54790-07-13</w:t>
        </w:r>
      </w:hyperlink>
      <w:r>
        <w:rPr>
          <w:rFonts w:cs="FrankRuehl" w:hint="cs"/>
          <w:sz w:val="28"/>
          <w:szCs w:val="28"/>
          <w:rtl/>
        </w:rPr>
        <w:t xml:space="preserve">, והורשע לפי הודאתו בעבירה של החזקת סם לצריכה עצמית לפי </w:t>
      </w:r>
      <w:hyperlink r:id="rId18" w:history="1">
        <w:r w:rsidR="002E6D6A" w:rsidRPr="002E6D6A">
          <w:rPr>
            <w:rStyle w:val="Hyperlink"/>
            <w:rFonts w:cs="FrankRuehl" w:hint="eastAsia"/>
            <w:sz w:val="28"/>
            <w:szCs w:val="28"/>
            <w:rtl/>
          </w:rPr>
          <w:t>סעיף</w:t>
        </w:r>
        <w:r w:rsidR="002E6D6A" w:rsidRPr="002E6D6A">
          <w:rPr>
            <w:rStyle w:val="Hyperlink"/>
            <w:rFonts w:cs="FrankRuehl"/>
            <w:sz w:val="28"/>
            <w:szCs w:val="28"/>
            <w:rtl/>
          </w:rPr>
          <w:t xml:space="preserve"> 7(א)</w:t>
        </w:r>
      </w:hyperlink>
      <w:r>
        <w:rPr>
          <w:rFonts w:cs="FrankRuehl" w:hint="cs"/>
          <w:sz w:val="28"/>
          <w:szCs w:val="28"/>
          <w:rtl/>
        </w:rPr>
        <w:t xml:space="preserve"> ו- </w:t>
      </w:r>
      <w:hyperlink r:id="rId19" w:history="1">
        <w:r w:rsidR="002E6D6A" w:rsidRPr="002E6D6A">
          <w:rPr>
            <w:rStyle w:val="Hyperlink"/>
            <w:rFonts w:cs="FrankRuehl"/>
            <w:sz w:val="28"/>
            <w:szCs w:val="28"/>
            <w:rtl/>
          </w:rPr>
          <w:t>(ג)</w:t>
        </w:r>
      </w:hyperlink>
      <w:r>
        <w:rPr>
          <w:rFonts w:cs="FrankRuehl" w:hint="cs"/>
          <w:sz w:val="28"/>
          <w:szCs w:val="28"/>
          <w:rtl/>
        </w:rPr>
        <w:t xml:space="preserve"> סיפא ל</w:t>
      </w:r>
      <w:hyperlink r:id="rId20" w:history="1">
        <w:r w:rsidRPr="002169FB">
          <w:rPr>
            <w:rFonts w:cs="FrankRuehl"/>
            <w:color w:val="0000FF"/>
            <w:sz w:val="28"/>
            <w:szCs w:val="28"/>
            <w:u w:val="single"/>
            <w:rtl/>
          </w:rPr>
          <w:t>פקודת הסמים המסוכנים</w:t>
        </w:r>
      </w:hyperlink>
      <w:r>
        <w:rPr>
          <w:rFonts w:cs="FrankRuehl" w:hint="cs"/>
          <w:sz w:val="28"/>
          <w:szCs w:val="28"/>
          <w:rtl/>
        </w:rPr>
        <w:t xml:space="preserve">. בהתאם לעובדות כתב-האישום בהן הודה הנאשם, ביום 2.4.2013 בשעות </w:t>
      </w:r>
      <w:r>
        <w:rPr>
          <w:rFonts w:cs="FrankRuehl" w:hint="cs"/>
          <w:sz w:val="28"/>
          <w:szCs w:val="28"/>
          <w:rtl/>
        </w:rPr>
        <w:lastRenderedPageBreak/>
        <w:t xml:space="preserve">הבוקר בביתו בירושלים, החזיק הנאשם סם מסוכן מסוג חשיש במשקל נטו כולל של </w:t>
      </w:r>
      <w:smartTag w:uri="urn:schemas-microsoft-com:office:smarttags" w:element="metricconverter">
        <w:smartTagPr>
          <w:attr w:name="ProductID" w:val="8.6 גרם"/>
        </w:smartTagPr>
        <w:r>
          <w:rPr>
            <w:rFonts w:cs="FrankRuehl" w:hint="cs"/>
            <w:sz w:val="28"/>
            <w:szCs w:val="28"/>
            <w:rtl/>
          </w:rPr>
          <w:t>8.6 גרם</w:t>
        </w:r>
      </w:smartTag>
      <w:r>
        <w:rPr>
          <w:rFonts w:cs="FrankRuehl" w:hint="cs"/>
          <w:sz w:val="28"/>
          <w:szCs w:val="28"/>
          <w:rtl/>
        </w:rPr>
        <w:t>, ללא היתר כדין, וזאת כאשר הסם מוסתר בין בגדים בארון.</w:t>
      </w:r>
    </w:p>
    <w:p w14:paraId="66E4077B" w14:textId="77777777" w:rsidR="004150AF" w:rsidRDefault="004150AF">
      <w:pPr>
        <w:spacing w:after="120" w:line="360" w:lineRule="auto"/>
        <w:jc w:val="both"/>
        <w:rPr>
          <w:rFonts w:cs="FrankRuehl"/>
          <w:sz w:val="28"/>
          <w:szCs w:val="28"/>
          <w:rtl/>
        </w:rPr>
      </w:pPr>
    </w:p>
    <w:p w14:paraId="54FFD8B1" w14:textId="77777777" w:rsidR="004150AF" w:rsidRDefault="002169FB">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הסדר-הטיעון בין הצדדים לא כלל הסכמה לעניין העונש, וכל צד היה חופשי בטיעוניו.</w:t>
      </w:r>
    </w:p>
    <w:p w14:paraId="7628E46D" w14:textId="77777777" w:rsidR="004150AF" w:rsidRDefault="002169FB">
      <w:pPr>
        <w:spacing w:after="120" w:line="360" w:lineRule="auto"/>
        <w:jc w:val="both"/>
        <w:rPr>
          <w:rFonts w:cs="FrankRuehl"/>
          <w:sz w:val="28"/>
          <w:szCs w:val="28"/>
          <w:rtl/>
        </w:rPr>
      </w:pPr>
      <w:r>
        <w:rPr>
          <w:rFonts w:cs="FrankRuehl" w:hint="cs"/>
          <w:sz w:val="28"/>
          <w:szCs w:val="28"/>
          <w:rtl/>
        </w:rPr>
        <w:t xml:space="preserve"> </w:t>
      </w:r>
    </w:p>
    <w:p w14:paraId="19D0198B" w14:textId="77777777" w:rsidR="004150AF" w:rsidRDefault="002169FB">
      <w:pPr>
        <w:spacing w:after="120" w:line="360" w:lineRule="auto"/>
        <w:jc w:val="both"/>
        <w:rPr>
          <w:rFonts w:cs="FrankRuehl"/>
          <w:sz w:val="28"/>
          <w:szCs w:val="28"/>
          <w:u w:val="single"/>
          <w:rtl/>
        </w:rPr>
      </w:pPr>
      <w:r>
        <w:rPr>
          <w:rFonts w:cs="FrankRuehl" w:hint="cs"/>
          <w:sz w:val="28"/>
          <w:szCs w:val="28"/>
          <w:u w:val="single"/>
          <w:rtl/>
        </w:rPr>
        <w:t xml:space="preserve">טיעוני הצדדים לעונש </w:t>
      </w:r>
    </w:p>
    <w:p w14:paraId="5F70AB5B" w14:textId="77777777" w:rsidR="004150AF" w:rsidRDefault="002169FB">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באת-כוח המאשימה עמדה על חומרת המעשים בגינם הורשע הנאשם ועל הערכים המוגנים שנפגעו עקב כך. לגישת המאשימה, מתחם העונש ההולם לעבירה של החזקת סמים שלא לצריכה עצמית מהסוג והכמות שהחזיק הנאשם, נע בין 12 ל- 24 חודשי מאסר בפועל. אשר לעבירה של החזקת סמים לצריכה עצמית, טענה המאשימה למתחם שבין מאסר על-תנאי ושל"צ לבין מספר חודשי מאסר בפועל שיכול וירוצו בעבודות שירות. נוכח עברו הפלילי של הנאשם הכולל הרשעות בעבירות סמים, ובשים לב לקיומם של מאסרים מותנים תלויים ועומדים כנגדו, עתרה המאשימה להשית על הנאשם 18 חודשי מאסר בפועל בגין שתי העבירות בגינן הורשע לפניי, וכן הפעלה במצטבר של שני המאסרים המותנים בני 6 חודשים וחודש נוסף התלויים ועומדים כנגדו, סך הכל- 25 חודשי מאסר בפועל. עוד עתרה המאשימה להטלת מאסר על-תנאי וכן לחילוט הכספים שנתפסו ברשות הנאשם בת"פ 23028-10-13 (סכום של כ- 2,350 ₪).</w:t>
      </w:r>
    </w:p>
    <w:p w14:paraId="006AB54D" w14:textId="77777777" w:rsidR="004150AF" w:rsidRDefault="004150AF">
      <w:pPr>
        <w:spacing w:after="120" w:line="360" w:lineRule="auto"/>
        <w:jc w:val="both"/>
        <w:rPr>
          <w:rFonts w:cs="FrankRuehl"/>
          <w:sz w:val="28"/>
          <w:szCs w:val="28"/>
          <w:u w:val="single"/>
          <w:rtl/>
        </w:rPr>
      </w:pPr>
    </w:p>
    <w:p w14:paraId="18BA0C63" w14:textId="77777777" w:rsidR="004150AF" w:rsidRDefault="002169FB">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הסנגור הגיש כראיות לעונש מכתב המלצה וכן תלושי שכר מבית-קפה בירושלים בו עבד הנאשם כטבח בשמונת החודשים טרם מעצרו. במכתב ההמלצה צוין כי הנאשם היה עובד מצוין, חרוץ ומקצועי שהגיע מדי יום לעבודה בזמן, ללא כל בעיות משמעת, וכי הנאשם גילה אכפתיות כלפי המקום וכלפי תפקידו במטבח. בנוסף, השמיעה לפניי דברים אימו של הנאשם אשר תיארה את אהבתה לבנה שתומך בה ומסייע לה רבות עקב נכותה ומצב בריאותה. אוסיף כי לאחר הדיון, העביר הסנגור לעיוני מסמך מקצינת אסירים בבית-המעצר בירושלים, הגב' אסולין, ממנו עולה כי הנאשם משמש כאסיר תומך לאסירים הנתונים בהשגחה, ללא שנרשמו לחובתו עבירות משמעת. עוד צוין כי בדיקות שתן שנערכו לנאשם נמצאו תקינות, וכי לאחר מתן גזר-הדין תיבדק המשך העסקתו של הנאשם בבית-המעצר בירושלים. </w:t>
      </w:r>
    </w:p>
    <w:p w14:paraId="3479FB66" w14:textId="77777777" w:rsidR="004150AF" w:rsidRDefault="004150AF">
      <w:pPr>
        <w:spacing w:after="120" w:line="360" w:lineRule="auto"/>
        <w:jc w:val="both"/>
        <w:rPr>
          <w:rFonts w:cs="FrankRuehl"/>
          <w:sz w:val="28"/>
          <w:szCs w:val="28"/>
          <w:u w:val="single"/>
          <w:rtl/>
        </w:rPr>
      </w:pPr>
    </w:p>
    <w:p w14:paraId="46AE3755" w14:textId="77777777" w:rsidR="004150AF" w:rsidRDefault="002169FB">
      <w:pPr>
        <w:spacing w:after="120" w:line="360" w:lineRule="auto"/>
        <w:jc w:val="both"/>
        <w:rPr>
          <w:rFonts w:cs="FrankRuehl"/>
          <w:sz w:val="28"/>
          <w:szCs w:val="28"/>
          <w:rtl/>
        </w:rPr>
      </w:pPr>
      <w:r>
        <w:rPr>
          <w:rFonts w:cs="FrankRuehl" w:hint="cs"/>
          <w:sz w:val="28"/>
          <w:szCs w:val="28"/>
          <w:rtl/>
        </w:rPr>
        <w:tab/>
        <w:t xml:space="preserve">בטיעוניו לעונש עמד הסנגור על כך שהנאשם הצטרף לרכב המתואר בכתב-האישום בת"פ 23028-10-13, וזאת בעקבות בקשתו של מעורב אחר. כאשר הנאשם ירד מהרכב כשעל גופו הסמים, החליטו אנשי יחידת העיקוב לעוצרו, בעוד הרכב בו ישב האחר עזב את המקום. </w:t>
      </w:r>
      <w:r>
        <w:rPr>
          <w:rFonts w:cs="FrankRuehl" w:hint="cs"/>
          <w:sz w:val="28"/>
          <w:szCs w:val="28"/>
          <w:rtl/>
        </w:rPr>
        <w:lastRenderedPageBreak/>
        <w:t>כנגד אותו אחר לא הוגש כתב-אישום, על-אף שלטענת הסנגור הוא אשר היווה מלכתחילה את היעד המרכזי לעיקוב. לגישת הסנגור, יש ליתן לכך משקל במסגרת גזירת העונש של מרשו.</w:t>
      </w:r>
    </w:p>
    <w:p w14:paraId="248D8DB6" w14:textId="77777777" w:rsidR="004150AF" w:rsidRDefault="004150AF">
      <w:pPr>
        <w:spacing w:after="120" w:line="360" w:lineRule="auto"/>
        <w:jc w:val="both"/>
        <w:rPr>
          <w:rFonts w:cs="FrankRuehl"/>
          <w:sz w:val="28"/>
          <w:szCs w:val="28"/>
          <w:rtl/>
        </w:rPr>
      </w:pPr>
    </w:p>
    <w:p w14:paraId="65824865" w14:textId="77777777" w:rsidR="004150AF" w:rsidRDefault="002169FB">
      <w:pPr>
        <w:spacing w:after="120" w:line="360" w:lineRule="auto"/>
        <w:jc w:val="both"/>
        <w:rPr>
          <w:rFonts w:cs="FrankRuehl"/>
          <w:sz w:val="28"/>
          <w:szCs w:val="28"/>
          <w:u w:val="single"/>
          <w:rtl/>
        </w:rPr>
      </w:pPr>
      <w:r>
        <w:rPr>
          <w:rFonts w:cs="FrankRuehl" w:hint="cs"/>
          <w:sz w:val="28"/>
          <w:szCs w:val="28"/>
          <w:rtl/>
        </w:rPr>
        <w:tab/>
        <w:t>אשר למתחם הענישה ההולמת - הסנגור הגיש לעיוני פסיקה וטען כי המתחם בגין החזקת סמים שלא לצריכה עצמית נע בין מאסר על-תנאי לבין מספר בודד של חודשי מאסר בפועל. בהתחשב במכלול הנסיבות לקולא ובהן הודאת הנאשם ונסיבותיו האישיות כפי שעלו מהראיות לעונש; אך גם בשים לב לעבר הפלילי ולמאסרים המותנים התלויים ועומדים כנגד הנאשם; טען הסנגור כי יש להטיל על מרשו עונש שאינו עולה על שנת מאסר בפועל, כולל הפעלה בחופף של המאסרים המותנים. נוכח עבודתו של הנאשם טרם מעצרו בבית-הקפה ותלושי השכר שהוצגו במסגרת ראיות ההגנה לעונש, עתר הסנגור להימנע מחילוט הכספים שנתפסו ברשות מרשו.</w:t>
      </w:r>
    </w:p>
    <w:p w14:paraId="52203D42" w14:textId="77777777" w:rsidR="004150AF" w:rsidRDefault="004150AF">
      <w:pPr>
        <w:spacing w:after="120" w:line="360" w:lineRule="auto"/>
        <w:jc w:val="both"/>
        <w:rPr>
          <w:rFonts w:cs="FrankRuehl"/>
          <w:sz w:val="28"/>
          <w:szCs w:val="28"/>
          <w:rtl/>
        </w:rPr>
      </w:pPr>
    </w:p>
    <w:p w14:paraId="39DADC67" w14:textId="77777777" w:rsidR="004150AF" w:rsidRDefault="002169FB">
      <w:pPr>
        <w:spacing w:after="120" w:line="360" w:lineRule="auto"/>
        <w:jc w:val="both"/>
        <w:rPr>
          <w:rFonts w:cs="FrankRuehl"/>
          <w:sz w:val="28"/>
          <w:szCs w:val="28"/>
          <w:rtl/>
        </w:rPr>
      </w:pPr>
      <w:r>
        <w:rPr>
          <w:rFonts w:cs="FrankRuehl" w:hint="cs"/>
          <w:sz w:val="28"/>
          <w:szCs w:val="28"/>
          <w:rtl/>
        </w:rPr>
        <w:tab/>
        <w:t>הנאשם עצמו הביע לפניי חרטה על מעשי העבירות שביצע, וטען כי הוא נוטל חלק בטיפול קבוצתי בבית המעצר, וכן מסייע ותומך בעצורים אחרים.</w:t>
      </w:r>
    </w:p>
    <w:p w14:paraId="1C462394" w14:textId="77777777" w:rsidR="004150AF" w:rsidRDefault="004150AF">
      <w:pPr>
        <w:spacing w:after="120" w:line="360" w:lineRule="auto"/>
        <w:jc w:val="both"/>
        <w:rPr>
          <w:rFonts w:cs="FrankRuehl"/>
          <w:sz w:val="28"/>
          <w:szCs w:val="28"/>
          <w:u w:val="single"/>
          <w:rtl/>
        </w:rPr>
      </w:pPr>
    </w:p>
    <w:p w14:paraId="49CF952B" w14:textId="77777777" w:rsidR="004150AF" w:rsidRDefault="002169FB">
      <w:pPr>
        <w:spacing w:after="120" w:line="360" w:lineRule="auto"/>
        <w:jc w:val="both"/>
        <w:rPr>
          <w:rFonts w:cs="FrankRuehl"/>
          <w:sz w:val="28"/>
          <w:szCs w:val="28"/>
          <w:u w:val="single"/>
          <w:rtl/>
        </w:rPr>
      </w:pPr>
      <w:r>
        <w:rPr>
          <w:rFonts w:cs="FrankRuehl" w:hint="cs"/>
          <w:sz w:val="28"/>
          <w:szCs w:val="28"/>
          <w:u w:val="single"/>
          <w:rtl/>
        </w:rPr>
        <w:t>מתחם העונש ההולם</w:t>
      </w:r>
    </w:p>
    <w:p w14:paraId="3B9A7980" w14:textId="77777777" w:rsidR="004150AF" w:rsidRDefault="002169FB">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 xml:space="preserve">כאמור, הנאשם הורשע בשתי עבירות במסגרת שני כתבי-אישום נפרדים. כל עבירה מהווה אירוע עצמאי, שיש לקבוע מתחם עונש הולם נפרד בעניינו. לאחר מכן, אגזור עונש כולל בגין שתי העבירות, כאמור </w:t>
      </w:r>
      <w:hyperlink r:id="rId21" w:history="1">
        <w:r w:rsidR="002E6D6A" w:rsidRPr="002E6D6A">
          <w:rPr>
            <w:rStyle w:val="Hyperlink"/>
            <w:rFonts w:cs="FrankRuehl" w:hint="eastAsia"/>
            <w:sz w:val="28"/>
            <w:szCs w:val="28"/>
            <w:rtl/>
          </w:rPr>
          <w:t>בסעיף</w:t>
        </w:r>
        <w:r w:rsidR="002E6D6A" w:rsidRPr="002E6D6A">
          <w:rPr>
            <w:rStyle w:val="Hyperlink"/>
            <w:rFonts w:cs="FrankRuehl"/>
            <w:sz w:val="28"/>
            <w:szCs w:val="28"/>
            <w:rtl/>
          </w:rPr>
          <w:t xml:space="preserve"> 40יג(ב)</w:t>
        </w:r>
      </w:hyperlink>
      <w:r>
        <w:rPr>
          <w:rFonts w:cs="FrankRuehl" w:hint="cs"/>
          <w:sz w:val="28"/>
          <w:szCs w:val="28"/>
          <w:rtl/>
        </w:rPr>
        <w:t xml:space="preserve"> ל</w:t>
      </w:r>
      <w:hyperlink r:id="rId22" w:history="1">
        <w:r w:rsidRPr="002169FB">
          <w:rPr>
            <w:rFonts w:cs="FrankRuehl"/>
            <w:color w:val="0000FF"/>
            <w:sz w:val="28"/>
            <w:szCs w:val="28"/>
            <w:u w:val="single"/>
            <w:rtl/>
          </w:rPr>
          <w:t>חוק העונשין</w:t>
        </w:r>
      </w:hyperlink>
      <w:r>
        <w:rPr>
          <w:rFonts w:cs="FrankRuehl" w:hint="cs"/>
          <w:sz w:val="28"/>
          <w:szCs w:val="28"/>
          <w:rtl/>
        </w:rPr>
        <w:t>.</w:t>
      </w:r>
    </w:p>
    <w:p w14:paraId="3033E60A" w14:textId="77777777" w:rsidR="004150AF" w:rsidRDefault="004150AF">
      <w:pPr>
        <w:spacing w:after="120" w:line="360" w:lineRule="auto"/>
        <w:jc w:val="both"/>
        <w:rPr>
          <w:rFonts w:cs="Miriam"/>
          <w:u w:val="single"/>
          <w:rtl/>
        </w:rPr>
      </w:pPr>
    </w:p>
    <w:p w14:paraId="520CCC7F" w14:textId="77777777" w:rsidR="004150AF" w:rsidRDefault="002169FB">
      <w:pPr>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r>
      <w:r>
        <w:rPr>
          <w:rFonts w:cs="Miriam" w:hint="cs"/>
          <w:u w:val="single"/>
          <w:rtl/>
        </w:rPr>
        <w:t>בכל הנוגע לעבירה של החזקת סמים שלא לצריכה עצמית</w:t>
      </w:r>
      <w:r>
        <w:rPr>
          <w:rFonts w:cs="FrankRuehl" w:hint="cs"/>
          <w:sz w:val="28"/>
          <w:szCs w:val="28"/>
          <w:u w:val="single"/>
          <w:rtl/>
        </w:rPr>
        <w:t xml:space="preserve"> </w:t>
      </w:r>
      <w:r>
        <w:rPr>
          <w:rFonts w:cs="FrankRuehl" w:hint="cs"/>
          <w:sz w:val="28"/>
          <w:szCs w:val="28"/>
          <w:rtl/>
        </w:rPr>
        <w:t xml:space="preserve">- המחוקק נתן דעתו לחומרתה של עבירה זו והעמיד את העונש המקסימאלי בגינה על 20 שנות מאסר בפועל, בדומה לעונש המקסימאלי הקבוע בחוק בגין עבירה של סחר בסמים מסוכנים. העבירה הנדונה פוגעת </w:t>
      </w:r>
      <w:r>
        <w:rPr>
          <w:rFonts w:cs="FrankRuehl" w:hint="cs"/>
          <w:b/>
          <w:bCs/>
          <w:sz w:val="28"/>
          <w:szCs w:val="28"/>
          <w:rtl/>
        </w:rPr>
        <w:t>בערכים החברתיים</w:t>
      </w:r>
      <w:r>
        <w:rPr>
          <w:rFonts w:cs="FrankRuehl" w:hint="cs"/>
          <w:sz w:val="28"/>
          <w:szCs w:val="28"/>
          <w:rtl/>
        </w:rPr>
        <w:t xml:space="preserve"> שעניינם שמירה על שלטון החוק ועל שלום הציבור. היא מובילה לפגיעה בהגנה על חוסנה של החברה מפני נזקים הנגרמים עקב שימוש בסמים, הן לאוכלוסיית המשתמשים עצמם והן לציבור בכללותו עקב ביצוען של עבירות רכוש ואלימות הנלוות פעמים רבות לשימוש בסמים. בתי-המשפט עמדו שוב ושוב בפסיקותיהם על הצורך להיאבק בנגע הסמים, בין היתר על-ידי השתת ענישה מחמירה ומרתיעה על הנוטלים חלק במערך החזקת הסם והפצתו.</w:t>
      </w:r>
    </w:p>
    <w:p w14:paraId="500E0D2F" w14:textId="77777777" w:rsidR="004150AF" w:rsidRDefault="004150AF">
      <w:pPr>
        <w:spacing w:after="120" w:line="360" w:lineRule="auto"/>
        <w:jc w:val="both"/>
        <w:rPr>
          <w:rFonts w:cs="FrankRuehl"/>
          <w:sz w:val="28"/>
          <w:szCs w:val="28"/>
          <w:rtl/>
        </w:rPr>
      </w:pPr>
    </w:p>
    <w:p w14:paraId="461CB73D" w14:textId="77777777" w:rsidR="004150AF" w:rsidRDefault="002169FB">
      <w:pPr>
        <w:spacing w:after="120" w:line="360" w:lineRule="auto"/>
        <w:ind w:firstLine="720"/>
        <w:jc w:val="both"/>
        <w:rPr>
          <w:rFonts w:cs="FrankRuehl"/>
          <w:sz w:val="28"/>
          <w:szCs w:val="28"/>
          <w:rtl/>
        </w:rPr>
      </w:pPr>
      <w:r>
        <w:rPr>
          <w:rFonts w:cs="FrankRuehl" w:hint="cs"/>
          <w:sz w:val="28"/>
          <w:szCs w:val="28"/>
          <w:rtl/>
        </w:rPr>
        <w:t xml:space="preserve">בחינת </w:t>
      </w:r>
      <w:r>
        <w:rPr>
          <w:rFonts w:cs="FrankRuehl" w:hint="cs"/>
          <w:b/>
          <w:bCs/>
          <w:sz w:val="28"/>
          <w:szCs w:val="28"/>
          <w:rtl/>
        </w:rPr>
        <w:t>נסיבות ביצוע העבירה</w:t>
      </w:r>
      <w:r>
        <w:rPr>
          <w:rFonts w:cs="FrankRuehl" w:hint="cs"/>
          <w:sz w:val="28"/>
          <w:szCs w:val="28"/>
          <w:rtl/>
        </w:rPr>
        <w:t xml:space="preserve"> של החזקת סם שלא לצריכה עצמית במקרה דנן, מעלה כי מידת הפגיעה בערכים המוגנים היתה משמעותית. הנאשם נתפס כאשר הוא מחזיק חשיש במשקל כולל (ברוטו) של מעל </w:t>
      </w:r>
      <w:smartTag w:uri="urn:schemas-microsoft-com:office:smarttags" w:element="metricconverter">
        <w:smartTagPr>
          <w:attr w:name="ProductID" w:val="1 קילוגרם"/>
        </w:smartTagPr>
        <w:r>
          <w:rPr>
            <w:rFonts w:cs="FrankRuehl" w:hint="cs"/>
            <w:sz w:val="28"/>
            <w:szCs w:val="28"/>
            <w:rtl/>
          </w:rPr>
          <w:t>1 קילוגרם</w:t>
        </w:r>
      </w:smartTag>
      <w:r>
        <w:rPr>
          <w:rFonts w:cs="FrankRuehl" w:hint="cs"/>
          <w:sz w:val="28"/>
          <w:szCs w:val="28"/>
          <w:rtl/>
        </w:rPr>
        <w:t xml:space="preserve">. אמת, מבחינת סוג הסם (חשיש), המדובר בסם שאינו מוגדר מן הקשים. עם זאת, עסקינן בכמות סם גדולה, המחולקת לפלטות, באופן היכול להצביע על כך שחבילות הסם לא נועדו לצריכה עצמית גרידא אלא להפצה. בכל הנוגע לחלקו היחסי של הנאשם בביצוע העבירה - הסנגור טען לפניי כי אדם אחר ביקש מהנאשם להצטרף לנסיעה ברכב, וכי אותו מעורב אחר היווה דמות מרכזית על-אף שבסופו של יום לא הועמד לדין. בעניין זה אומר כי לא הוכח לפניי חלקו של אותו אחר בפרשה ומידת מרכזיותו ביחס לנאשם. ממילא, אין בידיי לקבוע ממצאים עובדתיים בעניין. מכל מקום, לא ניתן להתעלם מכך שהנאשם ירד מהרכב והחזיק את הסמים מתחת לקפוצ'ון אותו לבש. בהתחשב בכך, ניתן לקבוע כי בכל הנוגע לעבירה של </w:t>
      </w:r>
      <w:r>
        <w:rPr>
          <w:rFonts w:cs="FrankRuehl" w:hint="cs"/>
          <w:sz w:val="28"/>
          <w:szCs w:val="28"/>
          <w:u w:val="single"/>
          <w:rtl/>
        </w:rPr>
        <w:t>החזקת</w:t>
      </w:r>
      <w:r>
        <w:rPr>
          <w:rFonts w:cs="FrankRuehl" w:hint="cs"/>
          <w:sz w:val="28"/>
          <w:szCs w:val="28"/>
          <w:rtl/>
        </w:rPr>
        <w:t xml:space="preserve"> סם שלא לצריכה עצמית, חלקו היחסי של הנאשם לא היה פעוט או זניח כלל ועיקר, כי אם משמעותי. </w:t>
      </w:r>
    </w:p>
    <w:p w14:paraId="56AE7FF7" w14:textId="77777777" w:rsidR="004150AF" w:rsidRDefault="004150AF">
      <w:pPr>
        <w:spacing w:after="120" w:line="360" w:lineRule="auto"/>
        <w:ind w:firstLine="720"/>
        <w:jc w:val="both"/>
        <w:rPr>
          <w:rFonts w:cs="FrankRuehl"/>
          <w:sz w:val="28"/>
          <w:szCs w:val="28"/>
          <w:rtl/>
        </w:rPr>
      </w:pPr>
    </w:p>
    <w:p w14:paraId="7F701AA4" w14:textId="77777777" w:rsidR="004150AF" w:rsidRDefault="002169FB">
      <w:pPr>
        <w:spacing w:after="120" w:line="360" w:lineRule="auto"/>
        <w:ind w:firstLine="720"/>
        <w:jc w:val="both"/>
        <w:rPr>
          <w:rFonts w:cs="FrankRuehl"/>
          <w:sz w:val="28"/>
          <w:szCs w:val="28"/>
          <w:rtl/>
        </w:rPr>
      </w:pPr>
      <w:r>
        <w:rPr>
          <w:rFonts w:cs="FrankRuehl" w:hint="cs"/>
          <w:sz w:val="28"/>
          <w:szCs w:val="28"/>
          <w:rtl/>
        </w:rPr>
        <w:t xml:space="preserve">בחינת </w:t>
      </w:r>
      <w:r>
        <w:rPr>
          <w:rFonts w:cs="FrankRuehl" w:hint="cs"/>
          <w:b/>
          <w:bCs/>
          <w:sz w:val="28"/>
          <w:szCs w:val="28"/>
          <w:rtl/>
        </w:rPr>
        <w:t>הענישה הנוהגת</w:t>
      </w:r>
      <w:r>
        <w:rPr>
          <w:rFonts w:cs="FrankRuehl" w:hint="cs"/>
          <w:sz w:val="28"/>
          <w:szCs w:val="28"/>
          <w:rtl/>
        </w:rPr>
        <w:t xml:space="preserve"> בעבירה של החזקת סמים שלא לצריכה עצמית, מעלה כי בתי-המשפט נוהגים להטיל במקרים אלה עונשי מאסר בפועל אשר נעים ממספר חודשים ועד מספר שנים - הכל בהתאם לסוג הסם, כמותו, ויתר נסיבותיו של המעשה ושל העושה.</w:t>
      </w:r>
    </w:p>
    <w:p w14:paraId="0ABB05B6" w14:textId="77777777" w:rsidR="004150AF" w:rsidRDefault="004150AF">
      <w:pPr>
        <w:spacing w:after="120" w:line="360" w:lineRule="auto"/>
        <w:ind w:firstLine="720"/>
        <w:jc w:val="both"/>
        <w:rPr>
          <w:rFonts w:cs="FrankRuehl"/>
          <w:sz w:val="28"/>
          <w:szCs w:val="28"/>
          <w:rtl/>
        </w:rPr>
      </w:pPr>
    </w:p>
    <w:p w14:paraId="43D6BB9B" w14:textId="77777777" w:rsidR="004150AF" w:rsidRDefault="002169FB">
      <w:pPr>
        <w:spacing w:after="120" w:line="360" w:lineRule="auto"/>
        <w:jc w:val="both"/>
        <w:rPr>
          <w:rFonts w:cs="FrankRuehl"/>
          <w:b/>
          <w:bCs/>
          <w:sz w:val="28"/>
          <w:szCs w:val="28"/>
          <w:rtl/>
        </w:rPr>
      </w:pPr>
      <w:r>
        <w:rPr>
          <w:rFonts w:cs="FrankRuehl" w:hint="cs"/>
          <w:sz w:val="28"/>
          <w:szCs w:val="28"/>
          <w:rtl/>
        </w:rPr>
        <w:tab/>
        <w:t xml:space="preserve">בהתחשב בעקרון ההלימה המהווה עקרון מנחה בענישה; בשים לב לפגיעה בערכים המוגנים ועוצמתה; בהתחשב בחומרת העבירה ונסיבות ביצועה, ובכלל זה כמות הסם (למעלה מקילוגרם חשיש) והיותו מחולק לפלטות; ובהתחשב במדיניות הענישה הנוהגת במקרים דומים; אני סבורה כי </w:t>
      </w:r>
      <w:r>
        <w:rPr>
          <w:rFonts w:cs="FrankRuehl" w:hint="cs"/>
          <w:b/>
          <w:bCs/>
          <w:sz w:val="28"/>
          <w:szCs w:val="28"/>
          <w:rtl/>
        </w:rPr>
        <w:t>מתחם העונש ההולם נע ממספר חודשי מאסר בפועל שלא בעבודות שירות ועד 24 חודשי מאסר בפועל.</w:t>
      </w:r>
    </w:p>
    <w:p w14:paraId="1FE814C2" w14:textId="77777777" w:rsidR="004150AF" w:rsidRDefault="004150AF">
      <w:pPr>
        <w:spacing w:after="120" w:line="360" w:lineRule="auto"/>
        <w:jc w:val="both"/>
        <w:rPr>
          <w:rFonts w:cs="FrankRuehl"/>
          <w:sz w:val="28"/>
          <w:szCs w:val="28"/>
          <w:rtl/>
        </w:rPr>
      </w:pPr>
    </w:p>
    <w:p w14:paraId="25711C16" w14:textId="77777777" w:rsidR="004150AF" w:rsidRDefault="002169FB">
      <w:pPr>
        <w:spacing w:after="120" w:line="360" w:lineRule="auto"/>
        <w:jc w:val="both"/>
        <w:rPr>
          <w:rFonts w:cs="FrankRuehl"/>
          <w:sz w:val="28"/>
          <w:szCs w:val="28"/>
          <w:rtl/>
        </w:rPr>
      </w:pPr>
      <w:r>
        <w:rPr>
          <w:rFonts w:cs="FrankRuehl" w:hint="cs"/>
          <w:sz w:val="28"/>
          <w:szCs w:val="28"/>
          <w:rtl/>
        </w:rPr>
        <w:t>8.</w:t>
      </w:r>
      <w:r>
        <w:rPr>
          <w:rFonts w:cs="FrankRuehl" w:hint="cs"/>
          <w:sz w:val="28"/>
          <w:szCs w:val="28"/>
          <w:rtl/>
        </w:rPr>
        <w:tab/>
      </w:r>
      <w:r>
        <w:rPr>
          <w:rFonts w:cs="Miriam" w:hint="cs"/>
          <w:u w:val="single"/>
          <w:rtl/>
        </w:rPr>
        <w:t>אשר לעבירה של החזקת סמים לצריכה עצמית</w:t>
      </w:r>
      <w:r>
        <w:rPr>
          <w:rFonts w:cs="FrankRuehl" w:hint="cs"/>
          <w:sz w:val="28"/>
          <w:szCs w:val="28"/>
          <w:u w:val="single"/>
          <w:rtl/>
        </w:rPr>
        <w:t xml:space="preserve"> </w:t>
      </w:r>
      <w:r>
        <w:rPr>
          <w:rFonts w:cs="FrankRuehl" w:hint="cs"/>
          <w:sz w:val="28"/>
          <w:szCs w:val="28"/>
          <w:rtl/>
        </w:rPr>
        <w:t xml:space="preserve">– נסיבות ביצוע העבירה מלמדות כי בביתו של הנאשם נתפס חשיש במשקל נטו כולל של </w:t>
      </w:r>
      <w:smartTag w:uri="urn:schemas-microsoft-com:office:smarttags" w:element="metricconverter">
        <w:smartTagPr>
          <w:attr w:name="ProductID" w:val="8.6 גרם"/>
        </w:smartTagPr>
        <w:r>
          <w:rPr>
            <w:rFonts w:cs="FrankRuehl" w:hint="cs"/>
            <w:sz w:val="28"/>
            <w:szCs w:val="28"/>
            <w:rtl/>
          </w:rPr>
          <w:t>8.6 גרם</w:t>
        </w:r>
      </w:smartTag>
      <w:r>
        <w:rPr>
          <w:rFonts w:cs="FrankRuehl" w:hint="cs"/>
          <w:sz w:val="28"/>
          <w:szCs w:val="28"/>
          <w:rtl/>
        </w:rPr>
        <w:t xml:space="preserve">, כאשר הוא מוסתר בין בגדים שבארון. בנסיבות אלה, ובשים לב לעקרון ההלימה, אני סבורה כי </w:t>
      </w:r>
      <w:r>
        <w:rPr>
          <w:rFonts w:cs="FrankRuehl" w:hint="cs"/>
          <w:b/>
          <w:bCs/>
          <w:sz w:val="28"/>
          <w:szCs w:val="28"/>
          <w:rtl/>
        </w:rPr>
        <w:t>מתחם העונש ההולם נע מענישה מוחשית שאינה כוללת רכיב של מאסר בפועל ועד מספר בודד של חודשי מאסר בפועל הניתנים לריצוי בדרך של עבודות שירות.</w:t>
      </w:r>
    </w:p>
    <w:p w14:paraId="7F4F4803" w14:textId="77777777" w:rsidR="004150AF" w:rsidRDefault="004150AF">
      <w:pPr>
        <w:spacing w:after="120" w:line="360" w:lineRule="auto"/>
        <w:jc w:val="both"/>
        <w:rPr>
          <w:rFonts w:cs="FrankRuehl"/>
          <w:sz w:val="28"/>
          <w:szCs w:val="28"/>
          <w:rtl/>
        </w:rPr>
      </w:pPr>
    </w:p>
    <w:p w14:paraId="1F8A9AFF" w14:textId="77777777" w:rsidR="004150AF" w:rsidRDefault="002169FB">
      <w:pPr>
        <w:spacing w:after="120" w:line="360" w:lineRule="auto"/>
        <w:jc w:val="both"/>
        <w:rPr>
          <w:rFonts w:cs="FrankRuehl"/>
          <w:sz w:val="28"/>
          <w:szCs w:val="28"/>
          <w:rtl/>
        </w:rPr>
      </w:pPr>
      <w:r>
        <w:rPr>
          <w:rFonts w:cs="FrankRuehl" w:hint="cs"/>
          <w:sz w:val="28"/>
          <w:szCs w:val="28"/>
          <w:rtl/>
        </w:rPr>
        <w:t>9.</w:t>
      </w:r>
      <w:r>
        <w:rPr>
          <w:rFonts w:cs="FrankRuehl" w:hint="cs"/>
          <w:sz w:val="28"/>
          <w:szCs w:val="28"/>
          <w:rtl/>
        </w:rPr>
        <w:tab/>
        <w:t>יובהר כי במקרה דנן לא התבקשתי, ואף לא ראיתי, לסטות ממתחמי הענישה שנקבעו - לא לקוּלא משיקולי שיקום, ולא לחוּמרה משיקולי הגנה על שלום הציבור.</w:t>
      </w:r>
    </w:p>
    <w:p w14:paraId="2368DE83" w14:textId="77777777" w:rsidR="004150AF" w:rsidRDefault="004150AF">
      <w:pPr>
        <w:spacing w:after="120" w:line="360" w:lineRule="auto"/>
        <w:jc w:val="both"/>
        <w:rPr>
          <w:rFonts w:cs="FrankRuehl"/>
          <w:sz w:val="28"/>
          <w:szCs w:val="28"/>
          <w:rtl/>
        </w:rPr>
      </w:pPr>
    </w:p>
    <w:p w14:paraId="092D1212" w14:textId="77777777" w:rsidR="004150AF" w:rsidRDefault="002169FB">
      <w:pPr>
        <w:spacing w:after="120" w:line="360" w:lineRule="auto"/>
        <w:jc w:val="both"/>
        <w:rPr>
          <w:rFonts w:cs="FrankRuehl"/>
          <w:sz w:val="28"/>
          <w:szCs w:val="28"/>
          <w:u w:val="single"/>
          <w:rtl/>
        </w:rPr>
      </w:pPr>
      <w:r>
        <w:rPr>
          <w:rFonts w:cs="FrankRuehl" w:hint="cs"/>
          <w:sz w:val="28"/>
          <w:szCs w:val="28"/>
          <w:u w:val="single"/>
          <w:rtl/>
        </w:rPr>
        <w:t>העונש המתאים</w:t>
      </w:r>
    </w:p>
    <w:p w14:paraId="211B0526" w14:textId="77777777" w:rsidR="004150AF" w:rsidRDefault="002169FB">
      <w:pPr>
        <w:spacing w:after="120" w:line="360" w:lineRule="auto"/>
        <w:jc w:val="both"/>
        <w:rPr>
          <w:rFonts w:cs="FrankRuehl"/>
          <w:sz w:val="28"/>
          <w:szCs w:val="28"/>
          <w:rtl/>
        </w:rPr>
      </w:pPr>
      <w:r>
        <w:rPr>
          <w:rFonts w:cs="FrankRuehl" w:hint="cs"/>
          <w:sz w:val="28"/>
          <w:szCs w:val="28"/>
          <w:rtl/>
        </w:rPr>
        <w:t>10.</w:t>
      </w:r>
      <w:r>
        <w:rPr>
          <w:rFonts w:cs="FrankRuehl" w:hint="cs"/>
          <w:sz w:val="28"/>
          <w:szCs w:val="28"/>
          <w:rtl/>
        </w:rPr>
        <w:tab/>
      </w:r>
      <w:r>
        <w:rPr>
          <w:rFonts w:cs="FrankRuehl" w:hint="cs"/>
          <w:b/>
          <w:bCs/>
          <w:sz w:val="28"/>
          <w:szCs w:val="28"/>
          <w:rtl/>
        </w:rPr>
        <w:t>לקולא</w:t>
      </w:r>
      <w:r>
        <w:rPr>
          <w:rFonts w:cs="FrankRuehl" w:hint="cs"/>
          <w:sz w:val="28"/>
          <w:szCs w:val="28"/>
          <w:rtl/>
        </w:rPr>
        <w:t>, שקלתי את הודאת הנאשם, את נטילת האחריות ואת החרטה שהביע הנאשם בדבריו לפניי. עוד התחשבתי בנסיבות האישיות של הנאשם כפי שעלו מהמסמכים שהגיש הסנגור לעיוני ומדברי אמו של הנאשם (ראו: פיסקה 5 לעיל). יש להניח כי הטלת עונש מאסר בפועל על הנאשם, יקשה על האם המסתייעת בבנה בשל מצבה הבריאותי. מהמסמכים ומהדברים שנשמעו באולם עלתה תמונה של נאשם שטמונה בו יכולת לתרום לזולת (בין לאמו, בין לבית-הקפה בו עבד טרם המעצר, ובין לעצורים אחרים שהוא תומך בהם בבית המעצר בירושלים). למרבה הצער, יכולת חיובית זו של הנאשם אינה מונעת ממנו לשוב ולבצע עבירות סמים כפי שיפורט להלן.</w:t>
      </w:r>
    </w:p>
    <w:p w14:paraId="24A136A8" w14:textId="77777777" w:rsidR="004150AF" w:rsidRDefault="004150AF">
      <w:pPr>
        <w:spacing w:after="120" w:line="360" w:lineRule="auto"/>
        <w:jc w:val="both"/>
        <w:rPr>
          <w:rFonts w:cs="FrankRuehl"/>
          <w:sz w:val="28"/>
          <w:szCs w:val="28"/>
          <w:rtl/>
        </w:rPr>
      </w:pPr>
    </w:p>
    <w:p w14:paraId="57BA992E" w14:textId="77777777" w:rsidR="004150AF" w:rsidRDefault="002169FB">
      <w:pPr>
        <w:spacing w:after="120" w:line="360" w:lineRule="auto"/>
        <w:jc w:val="both"/>
        <w:rPr>
          <w:rFonts w:cs="FrankRuehl"/>
          <w:sz w:val="28"/>
          <w:szCs w:val="28"/>
          <w:rtl/>
        </w:rPr>
      </w:pPr>
      <w:r>
        <w:rPr>
          <w:rFonts w:cs="FrankRuehl" w:hint="cs"/>
          <w:sz w:val="28"/>
          <w:szCs w:val="28"/>
          <w:rtl/>
        </w:rPr>
        <w:t>11.</w:t>
      </w:r>
      <w:r>
        <w:rPr>
          <w:rFonts w:cs="FrankRuehl" w:hint="cs"/>
          <w:sz w:val="28"/>
          <w:szCs w:val="28"/>
          <w:rtl/>
        </w:rPr>
        <w:tab/>
      </w:r>
      <w:r>
        <w:rPr>
          <w:rFonts w:cs="FrankRuehl" w:hint="cs"/>
          <w:b/>
          <w:bCs/>
          <w:sz w:val="28"/>
          <w:szCs w:val="28"/>
          <w:rtl/>
        </w:rPr>
        <w:t>לחומרה</w:t>
      </w:r>
      <w:r>
        <w:rPr>
          <w:rFonts w:cs="FrankRuehl" w:hint="cs"/>
          <w:sz w:val="28"/>
          <w:szCs w:val="28"/>
          <w:rtl/>
        </w:rPr>
        <w:t>, שקלתי את עברו הפלילי המכביד של הנאשם, הכולל הרשעות קודמות בעבירות של החזקת סמים שלא לצריכה עצמית וכן סחר בסמים, ולצדן הרשעות בעבירות של החזקת סמים לצריכה עצמית, הפרעה לשוטר במילוי תפקידו, שיבוש מהלכי משפט והדחה בחקירה. בגין כל אלה, ריצה הנאשם עד היום מספר חודשי מאסר בפועל מאחורי סורג ובריח, חלקם לתקופות משמעותיות. אוסיף ואומר כי הנאשם ביצע את העבירות בגינן הורשע לפניי, שעה שהיו תלויים ועומדים כנגדו שני מאסרים מותנים שהוטלו עליו ב</w:t>
      </w:r>
      <w:hyperlink r:id="rId23" w:history="1">
        <w:r w:rsidRPr="002169FB">
          <w:rPr>
            <w:rFonts w:cs="FrankRuehl"/>
            <w:color w:val="0000FF"/>
            <w:sz w:val="28"/>
            <w:szCs w:val="28"/>
            <w:u w:val="single"/>
            <w:rtl/>
          </w:rPr>
          <w:t>ת"פ (שלום ירושלים) 16745-12-11</w:t>
        </w:r>
      </w:hyperlink>
      <w:r>
        <w:rPr>
          <w:rFonts w:cs="FrankRuehl" w:hint="cs"/>
          <w:sz w:val="28"/>
          <w:szCs w:val="28"/>
          <w:rtl/>
        </w:rPr>
        <w:t xml:space="preserve">: </w:t>
      </w:r>
      <w:r>
        <w:rPr>
          <w:rFonts w:cs="Miriam" w:hint="cs"/>
          <w:rtl/>
        </w:rPr>
        <w:t>האחד</w:t>
      </w:r>
      <w:r>
        <w:rPr>
          <w:rFonts w:cs="FrankRuehl" w:hint="cs"/>
          <w:sz w:val="28"/>
          <w:szCs w:val="28"/>
          <w:rtl/>
        </w:rPr>
        <w:t xml:space="preserve">, עונש מאסר על-תנאי בן 6 חודשים בגין כל עבירה לפי </w:t>
      </w:r>
      <w:hyperlink r:id="rId24" w:history="1">
        <w:r w:rsidRPr="002169FB">
          <w:rPr>
            <w:rFonts w:cs="FrankRuehl"/>
            <w:color w:val="0000FF"/>
            <w:sz w:val="28"/>
            <w:szCs w:val="28"/>
            <w:u w:val="single"/>
            <w:rtl/>
          </w:rPr>
          <w:t>פקודת הסמים המסוכנים</w:t>
        </w:r>
      </w:hyperlink>
      <w:r>
        <w:rPr>
          <w:rFonts w:cs="FrankRuehl" w:hint="cs"/>
          <w:sz w:val="28"/>
          <w:szCs w:val="28"/>
          <w:rtl/>
        </w:rPr>
        <w:t xml:space="preserve">, למעט עבירה של החזקת סם לשימוש עצמי; </w:t>
      </w:r>
      <w:r>
        <w:rPr>
          <w:rFonts w:cs="Miriam" w:hint="cs"/>
          <w:rtl/>
        </w:rPr>
        <w:t>והשני</w:t>
      </w:r>
      <w:r>
        <w:rPr>
          <w:rFonts w:cs="FrankRuehl" w:hint="cs"/>
          <w:sz w:val="28"/>
          <w:szCs w:val="28"/>
          <w:rtl/>
        </w:rPr>
        <w:t>, עונש מאסר על-תנאי בן חודש בגין עבירה של החזקת סם לשימוש עצמי. אף-על-פי-כן, הדבר לא הניא את הנאשם מביצוע העבירות בגינן הורשע. בהתחשב בכל אלה, ראיתי לתת משקל לצורך להרתיע את הנאשם - כמו גם את הרבים - מפני הישנות העבירות. על הנאשם להפנים כי עיסוק בעבירות סמים אינו משתלם, וכי ראוי שיגייס את יכולותיו על-מנת לזנוח את דרך הפשע ולהועיל לעצמו ולסביבתו.</w:t>
      </w:r>
    </w:p>
    <w:p w14:paraId="2C9364DC" w14:textId="77777777" w:rsidR="004150AF" w:rsidRDefault="004150AF">
      <w:pPr>
        <w:spacing w:after="120" w:line="360" w:lineRule="auto"/>
        <w:jc w:val="both"/>
        <w:rPr>
          <w:rFonts w:cs="FrankRuehl"/>
          <w:sz w:val="28"/>
          <w:szCs w:val="28"/>
          <w:rtl/>
        </w:rPr>
      </w:pPr>
    </w:p>
    <w:p w14:paraId="2D911C06" w14:textId="77777777" w:rsidR="004150AF" w:rsidRDefault="002169FB">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בטרם סיום, אני רואה להוסיף שתי הערות: </w:t>
      </w:r>
      <w:r>
        <w:rPr>
          <w:rFonts w:cs="Miriam" w:hint="cs"/>
          <w:rtl/>
        </w:rPr>
        <w:t>ראשית</w:t>
      </w:r>
      <w:r>
        <w:rPr>
          <w:rFonts w:cs="FrankRuehl" w:hint="cs"/>
          <w:sz w:val="28"/>
          <w:szCs w:val="28"/>
          <w:rtl/>
        </w:rPr>
        <w:t xml:space="preserve">, עיינתי בפסיקה שהגיש הסנגור. בחלק מהאסמכתאות אליהן הפנה הסנגור, הוטלו עונשי מאסר בפועל לתקופה משמעותית. חלק אחר מהאסמכתאות ניתן לאבחון מנסיבות המקרה דנן, אם במישור כמות הסם ושאלת חלוקתו לפלטות או למנות, ואם במישור מהוּת העבר הפלילי של מבצע העבירה. אעיר כי לגבי חלק מגזרי-הדין אליהם הפנה הסנגור, הגישה המדינה ערעור לבית-המשפט המחוזי כנגד קולת העונש. הערעור התקבל והענישה הוחמרה (ראו למשל: </w:t>
      </w:r>
      <w:hyperlink r:id="rId25" w:history="1">
        <w:r w:rsidRPr="002169FB">
          <w:rPr>
            <w:rFonts w:cs="FrankRuehl"/>
            <w:color w:val="0000FF"/>
            <w:sz w:val="28"/>
            <w:szCs w:val="28"/>
            <w:u w:val="single"/>
            <w:rtl/>
          </w:rPr>
          <w:t>ת"פ (ת"א) 8085-11-11</w:t>
        </w:r>
      </w:hyperlink>
      <w:r>
        <w:rPr>
          <w:rFonts w:cs="FrankRuehl" w:hint="cs"/>
          <w:sz w:val="28"/>
          <w:szCs w:val="28"/>
          <w:rtl/>
        </w:rPr>
        <w:t xml:space="preserve"> </w:t>
      </w:r>
      <w:r>
        <w:rPr>
          <w:rFonts w:cs="Miriam" w:hint="cs"/>
          <w:rtl/>
        </w:rPr>
        <w:t>מדינת ישראל נ' הבר</w:t>
      </w:r>
      <w:r>
        <w:rPr>
          <w:rFonts w:cs="FrankRuehl" w:hint="cs"/>
          <w:sz w:val="28"/>
          <w:szCs w:val="28"/>
          <w:rtl/>
        </w:rPr>
        <w:t xml:space="preserve"> (3.10.2013) אליו הפנה הסנגור, אל מול פסק-הדין בערעור: </w:t>
      </w:r>
      <w:hyperlink r:id="rId26" w:history="1">
        <w:r w:rsidRPr="002169FB">
          <w:rPr>
            <w:rFonts w:cs="FrankRuehl"/>
            <w:color w:val="0000FF"/>
            <w:sz w:val="28"/>
            <w:szCs w:val="28"/>
            <w:u w:val="single"/>
            <w:rtl/>
          </w:rPr>
          <w:t>עפ"ג (מחוזי ת"א) 28219-11-13</w:t>
        </w:r>
      </w:hyperlink>
      <w:r>
        <w:rPr>
          <w:rFonts w:cs="FrankRuehl" w:hint="cs"/>
          <w:sz w:val="28"/>
          <w:szCs w:val="28"/>
          <w:rtl/>
        </w:rPr>
        <w:t xml:space="preserve"> </w:t>
      </w:r>
      <w:r>
        <w:rPr>
          <w:rFonts w:cs="Miriam" w:hint="cs"/>
          <w:rtl/>
        </w:rPr>
        <w:t>מדינת ישראל נ' הבר</w:t>
      </w:r>
      <w:r>
        <w:rPr>
          <w:rFonts w:cs="FrankRuehl" w:hint="cs"/>
          <w:sz w:val="28"/>
          <w:szCs w:val="28"/>
          <w:rtl/>
        </w:rPr>
        <w:t xml:space="preserve"> (2.1.2014)).</w:t>
      </w:r>
    </w:p>
    <w:p w14:paraId="32ECCC53" w14:textId="77777777" w:rsidR="004150AF" w:rsidRDefault="004150AF">
      <w:pPr>
        <w:spacing w:after="120" w:line="360" w:lineRule="auto"/>
        <w:ind w:firstLine="720"/>
        <w:jc w:val="both"/>
        <w:rPr>
          <w:rFonts w:cs="Miriam"/>
          <w:rtl/>
        </w:rPr>
      </w:pPr>
    </w:p>
    <w:p w14:paraId="41676431" w14:textId="77777777" w:rsidR="004150AF" w:rsidRDefault="002169FB">
      <w:pPr>
        <w:spacing w:after="120" w:line="360" w:lineRule="auto"/>
        <w:ind w:firstLine="720"/>
        <w:jc w:val="both"/>
        <w:rPr>
          <w:rFonts w:cs="FrankRuehl"/>
          <w:sz w:val="28"/>
          <w:szCs w:val="28"/>
          <w:rtl/>
        </w:rPr>
      </w:pPr>
      <w:r>
        <w:rPr>
          <w:rFonts w:cs="Miriam" w:hint="cs"/>
          <w:rtl/>
        </w:rPr>
        <w:t>שנית</w:t>
      </w:r>
      <w:r>
        <w:rPr>
          <w:rFonts w:cs="FrankRuehl" w:hint="cs"/>
          <w:sz w:val="28"/>
          <w:szCs w:val="28"/>
          <w:rtl/>
        </w:rPr>
        <w:t xml:space="preserve">, לא נעלמה מעיניי טענת הסנגור לפיה במסגרת גזירת עונשו של הנאשם יש להתחשב בכך שהמעורב האחר בפרשה לא הועמד לדין. מנגד, המאשימה טענה כי אותו מעורב אחר לא הועמד לדין, שכן לא היו ראיות מספיקות כנגדו, להבדיל מהנאשם. ברי כי הליך זה אינו ההליך המתאים על-מנת להכריע בטענות הנוגעות להחלטת הרשויות להימנע מהעמדה לדין של אותו אחר. הסנגור הוסיף וטען כנגד כך שהמשטרה החליטה לחשוף את משימת העיקוב רק לאחר שהנאשם ירד מהרכב, באופן שהוביל לכך שהנאשם נתפס כשהסם עליו, בעוד מעורבותו של האדם האחר שנותר ברכב לא נחשפה עד תוּמה. טענות אלה לא הוכחו לפניי במישור העובדתי. עם זאת, אף אם אניח לצורך הדיון כי הן נכונות, אזכיר כי הסנגור לא טען במפורש, ובוודאי לא הוכיח, כי התזמון של חשיפת משימת העיקוב נבע משיקולים לא ענייניים או לא מקצועיים של הכוחות בשטח. בהתחשב בכך, אני סבורה כי אין בטענותיו האמורות של הסנגור כדי להשפיע דרמטית על העונש שייגזר על הנאשם. זאת, בשים לב לחלקו המשמעותי של הנאשם בביצוע העבירה של החזקת סם שלא לצריכה עצמית, כמפורט פיסקה 7 לעיל. </w:t>
      </w:r>
    </w:p>
    <w:p w14:paraId="367B960D" w14:textId="77777777" w:rsidR="004150AF" w:rsidRDefault="004150AF">
      <w:pPr>
        <w:spacing w:after="120" w:line="360" w:lineRule="auto"/>
        <w:jc w:val="both"/>
        <w:rPr>
          <w:rFonts w:cs="FrankRuehl"/>
          <w:sz w:val="28"/>
          <w:szCs w:val="28"/>
          <w:rtl/>
        </w:rPr>
      </w:pPr>
    </w:p>
    <w:p w14:paraId="3E3839EE" w14:textId="77777777" w:rsidR="004150AF" w:rsidRDefault="002169FB">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בסופה של שקילה, ולאחר איזון בין מכלול השיקולים לקולא ולחומרה, ראיתי להטיל על הנאשם עונש המצוי בטווח הבינוני של מתחמי הענישה שנקבעו. בנסיבות העניין, ונוכח עברו הפלילי המכביד של הנאשם בעבירות סמים, לא ראיתי לסטות מהכלל הקבוע </w:t>
      </w:r>
      <w:hyperlink r:id="rId27" w:history="1">
        <w:r w:rsidR="002E6D6A" w:rsidRPr="002E6D6A">
          <w:rPr>
            <w:rStyle w:val="Hyperlink"/>
            <w:rFonts w:cs="FrankRuehl" w:hint="eastAsia"/>
            <w:sz w:val="28"/>
            <w:szCs w:val="28"/>
            <w:rtl/>
          </w:rPr>
          <w:t>בסעיף</w:t>
        </w:r>
        <w:r w:rsidR="002E6D6A" w:rsidRPr="002E6D6A">
          <w:rPr>
            <w:rStyle w:val="Hyperlink"/>
            <w:rFonts w:cs="FrankRuehl"/>
            <w:sz w:val="28"/>
            <w:szCs w:val="28"/>
            <w:rtl/>
          </w:rPr>
          <w:t xml:space="preserve"> 58</w:t>
        </w:r>
      </w:hyperlink>
      <w:r>
        <w:rPr>
          <w:rFonts w:cs="FrankRuehl" w:hint="cs"/>
          <w:sz w:val="28"/>
          <w:szCs w:val="28"/>
          <w:rtl/>
        </w:rPr>
        <w:t xml:space="preserve"> ל</w:t>
      </w:r>
      <w:hyperlink r:id="rId28" w:history="1">
        <w:r w:rsidRPr="002169FB">
          <w:rPr>
            <w:rFonts w:cs="FrankRuehl"/>
            <w:color w:val="0000FF"/>
            <w:sz w:val="28"/>
            <w:szCs w:val="28"/>
            <w:u w:val="single"/>
            <w:rtl/>
          </w:rPr>
          <w:t>חוק העונשין</w:t>
        </w:r>
      </w:hyperlink>
      <w:r>
        <w:rPr>
          <w:rFonts w:cs="FrankRuehl" w:hint="cs"/>
          <w:sz w:val="28"/>
          <w:szCs w:val="28"/>
          <w:rtl/>
        </w:rPr>
        <w:t>. לפיכך, ראיתי להפעיל את שני המאסרים המותנים בחופף זה לזה, אך במצטבר לעונש שייגזר בגין העבירות בהן הורשע הנאשם לפניי. אוסיף כי המאשימה לא עתרה להטלת קנס כספי על הנאשם, ולפיכך נמנעתי מהטלת קנס כאמור.</w:t>
      </w:r>
    </w:p>
    <w:p w14:paraId="0E1324B3" w14:textId="77777777" w:rsidR="004150AF" w:rsidRDefault="004150AF">
      <w:pPr>
        <w:spacing w:after="120" w:line="360" w:lineRule="auto"/>
        <w:jc w:val="both"/>
        <w:rPr>
          <w:rFonts w:cs="FrankRuehl"/>
          <w:sz w:val="28"/>
          <w:szCs w:val="28"/>
          <w:rtl/>
        </w:rPr>
      </w:pPr>
    </w:p>
    <w:p w14:paraId="0F739436" w14:textId="77777777" w:rsidR="004150AF" w:rsidRDefault="002169FB">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אשר לבקשת המדינה לחלט את הכסף המזומן שנתפס ברשות הנאשם (2,350 ₪) - דין הבקשה להידחות. </w:t>
      </w:r>
      <w:r>
        <w:rPr>
          <w:rFonts w:cs="Miriam" w:hint="cs"/>
          <w:rtl/>
        </w:rPr>
        <w:t>ראשית</w:t>
      </w:r>
      <w:r>
        <w:rPr>
          <w:rFonts w:cs="FrankRuehl" w:hint="cs"/>
          <w:sz w:val="28"/>
          <w:szCs w:val="28"/>
          <w:rtl/>
        </w:rPr>
        <w:t xml:space="preserve">, לפי </w:t>
      </w:r>
      <w:hyperlink r:id="rId29" w:history="1">
        <w:r w:rsidR="002E6D6A" w:rsidRPr="002E6D6A">
          <w:rPr>
            <w:rStyle w:val="Hyperlink"/>
            <w:rFonts w:cs="FrankRuehl" w:hint="eastAsia"/>
            <w:sz w:val="28"/>
            <w:szCs w:val="28"/>
            <w:rtl/>
          </w:rPr>
          <w:t>סעיף</w:t>
        </w:r>
        <w:r w:rsidR="002E6D6A" w:rsidRPr="002E6D6A">
          <w:rPr>
            <w:rStyle w:val="Hyperlink"/>
            <w:rFonts w:cs="FrankRuehl"/>
            <w:sz w:val="28"/>
            <w:szCs w:val="28"/>
            <w:rtl/>
          </w:rPr>
          <w:t xml:space="preserve"> 36א(ה)</w:t>
        </w:r>
      </w:hyperlink>
      <w:r>
        <w:rPr>
          <w:rFonts w:cs="FrankRuehl" w:hint="cs"/>
          <w:sz w:val="28"/>
          <w:szCs w:val="28"/>
          <w:rtl/>
        </w:rPr>
        <w:t xml:space="preserve"> ל</w:t>
      </w:r>
      <w:hyperlink r:id="rId30" w:history="1">
        <w:r w:rsidRPr="002169FB">
          <w:rPr>
            <w:rFonts w:cs="FrankRuehl"/>
            <w:color w:val="0000FF"/>
            <w:sz w:val="28"/>
            <w:szCs w:val="28"/>
            <w:u w:val="single"/>
            <w:rtl/>
          </w:rPr>
          <w:t>פקודת הסמים המסוכנים</w:t>
        </w:r>
      </w:hyperlink>
      <w:r>
        <w:rPr>
          <w:rFonts w:cs="FrankRuehl" w:hint="cs"/>
          <w:sz w:val="28"/>
          <w:szCs w:val="28"/>
          <w:rtl/>
        </w:rPr>
        <w:t xml:space="preserve">, היה על המדינה לפרט במסגרת כתב האישום את הרכוש שחילוטו מבוקש. כזאת לא נעשה, והדבר מצדד בדחיית הבקשה. </w:t>
      </w:r>
      <w:r>
        <w:rPr>
          <w:rFonts w:cs="Miriam" w:hint="cs"/>
          <w:rtl/>
        </w:rPr>
        <w:t>שנית</w:t>
      </w:r>
      <w:r>
        <w:rPr>
          <w:rFonts w:cs="FrankRuehl" w:hint="cs"/>
          <w:sz w:val="28"/>
          <w:szCs w:val="28"/>
          <w:rtl/>
        </w:rPr>
        <w:t xml:space="preserve">, הנאשם הוכיח כי עבר כטבח בבית קפה בחודשים שקדמו למעצרו, ואף צירף תלושי שכר מהם עלה שהרוויח משכורת ששיעורה השתנה מדי חודש, אך בממוצע עמד על כ- 6,000 ₪. המדינה לא טענה ולא הגישה לעיוני חומר ראייתי כלשהוא, כדי להתמודד עם טענת ההגנה לפיה מקור הכסף שנתפס אצל הנאשם (ששיעורו אינו גבוה יחסית) הוא בעבודת הנאשם בבית-קפה (כאמור, עבודה זו הוּכחה על-ידי ההגנה באמצעות מסמכים ותלושי שכר). בנסיבות אלה, אני סבורה כי הנאשם עמד בנטל המונח על כתפיו ברמה של הטיית מאזן הסתברויות. אשר על כן, אני דוחה את בקשת המדינה לחילוט הכסף לפי </w:t>
      </w:r>
      <w:hyperlink r:id="rId31" w:history="1">
        <w:r w:rsidR="002E6D6A" w:rsidRPr="002E6D6A">
          <w:rPr>
            <w:rStyle w:val="Hyperlink"/>
            <w:rFonts w:cs="FrankRuehl" w:hint="eastAsia"/>
            <w:sz w:val="28"/>
            <w:szCs w:val="28"/>
            <w:rtl/>
          </w:rPr>
          <w:t>סעיף</w:t>
        </w:r>
        <w:r w:rsidR="002E6D6A" w:rsidRPr="002E6D6A">
          <w:rPr>
            <w:rStyle w:val="Hyperlink"/>
            <w:rFonts w:cs="FrankRuehl"/>
            <w:sz w:val="28"/>
            <w:szCs w:val="28"/>
            <w:rtl/>
          </w:rPr>
          <w:t xml:space="preserve"> 36א</w:t>
        </w:r>
      </w:hyperlink>
      <w:r>
        <w:rPr>
          <w:rFonts w:cs="FrankRuehl" w:hint="cs"/>
          <w:sz w:val="28"/>
          <w:szCs w:val="28"/>
          <w:rtl/>
        </w:rPr>
        <w:t xml:space="preserve"> ל</w:t>
      </w:r>
      <w:hyperlink r:id="rId32" w:history="1">
        <w:r w:rsidRPr="002169FB">
          <w:rPr>
            <w:rFonts w:cs="FrankRuehl"/>
            <w:color w:val="0000FF"/>
            <w:sz w:val="28"/>
            <w:szCs w:val="28"/>
            <w:u w:val="single"/>
            <w:rtl/>
          </w:rPr>
          <w:t>פקודת הסמים המסוכנים</w:t>
        </w:r>
      </w:hyperlink>
      <w:r>
        <w:rPr>
          <w:rFonts w:cs="FrankRuehl" w:hint="cs"/>
          <w:sz w:val="28"/>
          <w:szCs w:val="28"/>
          <w:rtl/>
        </w:rPr>
        <w:t>.</w:t>
      </w:r>
    </w:p>
    <w:p w14:paraId="6009A366" w14:textId="77777777" w:rsidR="004150AF" w:rsidRDefault="004150AF">
      <w:pPr>
        <w:spacing w:after="120" w:line="360" w:lineRule="auto"/>
        <w:jc w:val="both"/>
        <w:rPr>
          <w:rFonts w:cs="FrankRuehl"/>
          <w:sz w:val="28"/>
          <w:szCs w:val="28"/>
          <w:u w:val="single"/>
          <w:rtl/>
        </w:rPr>
      </w:pPr>
    </w:p>
    <w:p w14:paraId="6CCE5A57" w14:textId="77777777" w:rsidR="004150AF" w:rsidRDefault="002169FB">
      <w:pPr>
        <w:spacing w:after="120" w:line="360" w:lineRule="auto"/>
        <w:jc w:val="both"/>
        <w:rPr>
          <w:rFonts w:cs="FrankRuehl"/>
          <w:sz w:val="28"/>
          <w:szCs w:val="28"/>
          <w:u w:val="single"/>
          <w:rtl/>
        </w:rPr>
      </w:pPr>
      <w:r>
        <w:rPr>
          <w:rFonts w:cs="FrankRuehl" w:hint="cs"/>
          <w:sz w:val="28"/>
          <w:szCs w:val="28"/>
          <w:u w:val="single"/>
          <w:rtl/>
        </w:rPr>
        <w:t>סוף דבר</w:t>
      </w:r>
    </w:p>
    <w:p w14:paraId="436CB716" w14:textId="77777777" w:rsidR="004150AF" w:rsidRDefault="002169FB">
      <w:pPr>
        <w:spacing w:after="120" w:line="360" w:lineRule="auto"/>
        <w:jc w:val="both"/>
        <w:rPr>
          <w:rFonts w:cs="FrankRuehl"/>
          <w:sz w:val="28"/>
          <w:szCs w:val="28"/>
          <w:rtl/>
        </w:rPr>
      </w:pPr>
      <w:r>
        <w:rPr>
          <w:rFonts w:cs="FrankRuehl" w:hint="cs"/>
          <w:sz w:val="28"/>
          <w:szCs w:val="28"/>
          <w:rtl/>
        </w:rPr>
        <w:t>15.</w:t>
      </w:r>
      <w:r>
        <w:rPr>
          <w:rFonts w:cs="FrankRuehl" w:hint="cs"/>
          <w:sz w:val="28"/>
          <w:szCs w:val="28"/>
          <w:rtl/>
        </w:rPr>
        <w:tab/>
        <w:t>נוכח מכלול הטעמים שפורטו, אני רואה לגזור על הנאשם את העונשים הבאים:</w:t>
      </w:r>
    </w:p>
    <w:p w14:paraId="3CB8AE05" w14:textId="77777777" w:rsidR="004150AF" w:rsidRDefault="002169FB">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16 חודשי מאסר בפועל, החל מיום מעצרו.</w:t>
      </w:r>
    </w:p>
    <w:p w14:paraId="13F8C64B" w14:textId="77777777" w:rsidR="004150AF" w:rsidRDefault="002169FB">
      <w:pPr>
        <w:spacing w:after="120" w:line="360" w:lineRule="auto"/>
        <w:jc w:val="both"/>
        <w:rPr>
          <w:rFonts w:cs="FrankRuehl"/>
          <w:b/>
          <w:bCs/>
          <w:sz w:val="28"/>
          <w:szCs w:val="28"/>
          <w:rtl/>
        </w:rPr>
      </w:pPr>
      <w:r>
        <w:rPr>
          <w:rFonts w:cs="FrankRuehl" w:hint="cs"/>
          <w:sz w:val="28"/>
          <w:szCs w:val="28"/>
          <w:rtl/>
        </w:rPr>
        <w:t>ב.</w:t>
      </w:r>
      <w:r>
        <w:rPr>
          <w:rFonts w:cs="FrankRuehl" w:hint="cs"/>
          <w:sz w:val="28"/>
          <w:szCs w:val="28"/>
          <w:rtl/>
        </w:rPr>
        <w:tab/>
        <w:t xml:space="preserve">הפעלת שני המאסרים המותנים שהוטלו על הנאשם במסגרת </w:t>
      </w:r>
      <w:hyperlink r:id="rId33" w:history="1">
        <w:r w:rsidRPr="002169FB">
          <w:rPr>
            <w:rFonts w:cs="FrankRuehl"/>
            <w:color w:val="0000FF"/>
            <w:sz w:val="28"/>
            <w:szCs w:val="28"/>
            <w:u w:val="single"/>
            <w:rtl/>
          </w:rPr>
          <w:t>ת"פ (שלום ירושלים) 16745-12-11</w:t>
        </w:r>
      </w:hyperlink>
      <w:r>
        <w:rPr>
          <w:rFonts w:cs="FrankRuehl" w:hint="cs"/>
          <w:sz w:val="28"/>
          <w:szCs w:val="28"/>
          <w:rtl/>
        </w:rPr>
        <w:t xml:space="preserve"> - האחד בן 6 חודשים והשני בן חודש אחד - בחופף זה לזה, ובמצטבר לעונש המאסר אשר הוטל בפיסקה א' לעיל, </w:t>
      </w:r>
      <w:r>
        <w:rPr>
          <w:rFonts w:cs="FrankRuehl" w:hint="cs"/>
          <w:b/>
          <w:bCs/>
          <w:sz w:val="28"/>
          <w:szCs w:val="28"/>
          <w:rtl/>
        </w:rPr>
        <w:t xml:space="preserve">כך שבסך-הכל ירצה הנאשם 22 חודשי מאסר בפועל החל מיום מעצרו.  </w:t>
      </w:r>
    </w:p>
    <w:p w14:paraId="49DBE1DE" w14:textId="77777777" w:rsidR="004150AF" w:rsidRDefault="002169FB">
      <w:pPr>
        <w:spacing w:after="120" w:line="360" w:lineRule="auto"/>
        <w:jc w:val="both"/>
        <w:rPr>
          <w:rFonts w:cs="FrankRuehl"/>
          <w:sz w:val="28"/>
          <w:szCs w:val="28"/>
          <w:rtl/>
        </w:rPr>
      </w:pPr>
      <w:r>
        <w:rPr>
          <w:rFonts w:cs="FrankRuehl" w:hint="cs"/>
          <w:sz w:val="28"/>
          <w:szCs w:val="28"/>
          <w:rtl/>
        </w:rPr>
        <w:t>ג.</w:t>
      </w:r>
      <w:r>
        <w:rPr>
          <w:rFonts w:cs="FrankRuehl" w:hint="cs"/>
          <w:sz w:val="28"/>
          <w:szCs w:val="28"/>
          <w:rtl/>
        </w:rPr>
        <w:tab/>
        <w:t>מאסר על תנאי לתקופה של 7 חודשים למשך שלוש שנים מיום שחרורו של הנאשם ממאסר. התנאי הוא שהנאשם לא יעבור כל עבירת סמים מסוג פשע.</w:t>
      </w:r>
    </w:p>
    <w:p w14:paraId="1374EB73" w14:textId="77777777" w:rsidR="004150AF" w:rsidRDefault="002169FB">
      <w:pPr>
        <w:spacing w:after="120" w:line="360" w:lineRule="auto"/>
        <w:jc w:val="both"/>
        <w:rPr>
          <w:rFonts w:cs="FrankRuehl"/>
          <w:sz w:val="28"/>
          <w:szCs w:val="28"/>
          <w:rtl/>
        </w:rPr>
      </w:pPr>
      <w:r>
        <w:rPr>
          <w:rFonts w:cs="FrankRuehl" w:hint="cs"/>
          <w:sz w:val="28"/>
          <w:szCs w:val="28"/>
          <w:rtl/>
        </w:rPr>
        <w:t>ד.</w:t>
      </w:r>
      <w:r>
        <w:rPr>
          <w:rFonts w:cs="FrankRuehl" w:hint="cs"/>
          <w:sz w:val="28"/>
          <w:szCs w:val="28"/>
          <w:rtl/>
        </w:rPr>
        <w:tab/>
        <w:t xml:space="preserve">מאסר על תנאי לתקופה של 3 חודשים למשך שלוש שנים מיום שחרורו של הנאשם ממאסר. התנאי הוא שהנאשם לא יעבור כל עבירת סמים מסוג עוון. </w:t>
      </w:r>
    </w:p>
    <w:p w14:paraId="0779608A" w14:textId="77777777" w:rsidR="004150AF" w:rsidRDefault="002169FB">
      <w:pPr>
        <w:spacing w:after="120" w:line="360" w:lineRule="auto"/>
        <w:jc w:val="both"/>
        <w:rPr>
          <w:rFonts w:cs="FrankRuehl"/>
          <w:sz w:val="28"/>
          <w:szCs w:val="28"/>
          <w:rtl/>
        </w:rPr>
      </w:pPr>
      <w:r>
        <w:rPr>
          <w:rFonts w:cs="FrankRuehl" w:hint="cs"/>
          <w:sz w:val="28"/>
          <w:szCs w:val="28"/>
          <w:rtl/>
        </w:rPr>
        <w:t>ה.</w:t>
      </w:r>
      <w:r>
        <w:rPr>
          <w:rFonts w:cs="FrankRuehl" w:hint="cs"/>
          <w:sz w:val="28"/>
          <w:szCs w:val="28"/>
          <w:rtl/>
        </w:rPr>
        <w:tab/>
        <w:t>הסמים שנתפסו יושמדו.</w:t>
      </w:r>
    </w:p>
    <w:p w14:paraId="567945BB" w14:textId="77777777" w:rsidR="004150AF" w:rsidRDefault="002169FB">
      <w:pPr>
        <w:spacing w:after="120" w:line="360" w:lineRule="auto"/>
        <w:jc w:val="both"/>
        <w:rPr>
          <w:rFonts w:cs="FrankRuehl"/>
          <w:sz w:val="28"/>
          <w:szCs w:val="28"/>
          <w:rtl/>
        </w:rPr>
      </w:pPr>
      <w:r>
        <w:rPr>
          <w:rFonts w:cs="FrankRuehl" w:hint="cs"/>
          <w:sz w:val="28"/>
          <w:szCs w:val="28"/>
          <w:rtl/>
        </w:rPr>
        <w:t>ו.</w:t>
      </w:r>
      <w:r>
        <w:rPr>
          <w:rFonts w:cs="FrankRuehl" w:hint="cs"/>
          <w:sz w:val="28"/>
          <w:szCs w:val="28"/>
          <w:rtl/>
        </w:rPr>
        <w:tab/>
        <w:t>הסכום בסך 2,350 ₪ שנתפס ברשות הנאשם במסגרת ת"פ 23028-10-13 לא יחולט ויוחזר לנאשם או למי מטעמו.</w:t>
      </w:r>
    </w:p>
    <w:p w14:paraId="0574E83C" w14:textId="77777777" w:rsidR="004150AF" w:rsidRPr="002169FB" w:rsidRDefault="002169FB">
      <w:pPr>
        <w:spacing w:after="120" w:line="360" w:lineRule="auto"/>
        <w:jc w:val="both"/>
        <w:rPr>
          <w:rFonts w:cs="FrankRuehl"/>
          <w:color w:val="FFFFFF"/>
          <w:sz w:val="2"/>
          <w:szCs w:val="2"/>
          <w:rtl/>
        </w:rPr>
      </w:pPr>
      <w:r w:rsidRPr="002169FB">
        <w:rPr>
          <w:rFonts w:cs="FrankRuehl"/>
          <w:color w:val="FFFFFF"/>
          <w:sz w:val="2"/>
          <w:szCs w:val="2"/>
          <w:rtl/>
        </w:rPr>
        <w:t>5129371</w:t>
      </w:r>
    </w:p>
    <w:p w14:paraId="70FDFC58" w14:textId="77777777" w:rsidR="004150AF" w:rsidRDefault="002169FB">
      <w:pPr>
        <w:spacing w:after="120" w:line="360" w:lineRule="auto"/>
        <w:ind w:firstLine="720"/>
        <w:jc w:val="both"/>
        <w:rPr>
          <w:rFonts w:cs="FrankRuehl"/>
          <w:b/>
          <w:bCs/>
          <w:sz w:val="28"/>
          <w:szCs w:val="28"/>
          <w:rtl/>
        </w:rPr>
      </w:pPr>
      <w:r w:rsidRPr="002169FB">
        <w:rPr>
          <w:rFonts w:cs="FrankRuehl"/>
          <w:b/>
          <w:bCs/>
          <w:color w:val="FFFFFF"/>
          <w:sz w:val="2"/>
          <w:szCs w:val="2"/>
          <w:rtl/>
        </w:rPr>
        <w:t>54678313</w:t>
      </w:r>
      <w:r>
        <w:rPr>
          <w:rFonts w:cs="FrankRuehl" w:hint="cs"/>
          <w:b/>
          <w:bCs/>
          <w:sz w:val="28"/>
          <w:szCs w:val="28"/>
          <w:rtl/>
        </w:rPr>
        <w:t>זכות ערעור לבית המשפט המחוזי תוך 45 ימים מהיום.</w:t>
      </w:r>
    </w:p>
    <w:p w14:paraId="5AC69ECC" w14:textId="77777777" w:rsidR="004150AF" w:rsidRDefault="004150AF">
      <w:pPr>
        <w:spacing w:line="360" w:lineRule="auto"/>
        <w:rPr>
          <w:rFonts w:cs="FrankRuehl"/>
          <w:sz w:val="28"/>
          <w:szCs w:val="28"/>
          <w:rtl/>
        </w:rPr>
      </w:pPr>
    </w:p>
    <w:p w14:paraId="10C6E86E" w14:textId="77777777" w:rsidR="004150AF" w:rsidRDefault="002169FB">
      <w:pPr>
        <w:rPr>
          <w:rFonts w:cs="FrankRuehl"/>
          <w:sz w:val="28"/>
          <w:szCs w:val="28"/>
          <w:rtl/>
        </w:rPr>
      </w:pPr>
      <w:bookmarkStart w:id="7" w:name="_GoBack"/>
      <w:bookmarkEnd w:id="7"/>
      <w:r>
        <w:rPr>
          <w:rFonts w:ascii="Arial" w:hAnsi="Arial" w:cs="FrankRuehl"/>
          <w:sz w:val="28"/>
          <w:szCs w:val="28"/>
          <w:rtl/>
        </w:rPr>
        <w:t xml:space="preserve">ניתן היום,  ח' ניסן תשע"ד, 08 אפריל 2014, במעמד הצדדים. </w:t>
      </w:r>
    </w:p>
    <w:p w14:paraId="39CF8227" w14:textId="77777777" w:rsidR="004150AF" w:rsidRDefault="004150AF">
      <w:pPr>
        <w:jc w:val="right"/>
      </w:pPr>
    </w:p>
    <w:p w14:paraId="68C0E2DD" w14:textId="77777777" w:rsidR="004150AF" w:rsidRDefault="004150AF">
      <w:pPr>
        <w:jc w:val="right"/>
        <w:rPr>
          <w:rFonts w:ascii="Arial" w:hAnsi="Arial" w:cs="FrankRuehl"/>
          <w:sz w:val="28"/>
          <w:szCs w:val="28"/>
          <w:rtl/>
        </w:rPr>
      </w:pPr>
    </w:p>
    <w:p w14:paraId="4ACC2A2D" w14:textId="77777777" w:rsidR="002169FB" w:rsidRPr="002169FB" w:rsidRDefault="002169FB" w:rsidP="002169FB">
      <w:pPr>
        <w:keepNext/>
        <w:rPr>
          <w:rFonts w:ascii="David" w:hAnsi="David"/>
          <w:color w:val="000000"/>
          <w:sz w:val="22"/>
          <w:szCs w:val="22"/>
          <w:rtl/>
        </w:rPr>
      </w:pPr>
    </w:p>
    <w:p w14:paraId="157ADDC9" w14:textId="77777777" w:rsidR="002169FB" w:rsidRPr="002169FB" w:rsidRDefault="002169FB" w:rsidP="002169FB">
      <w:pPr>
        <w:keepNext/>
        <w:rPr>
          <w:rFonts w:ascii="David" w:hAnsi="David"/>
          <w:color w:val="000000"/>
          <w:sz w:val="22"/>
          <w:szCs w:val="22"/>
          <w:rtl/>
        </w:rPr>
      </w:pPr>
      <w:r w:rsidRPr="002169FB">
        <w:rPr>
          <w:rFonts w:ascii="David" w:hAnsi="David"/>
          <w:color w:val="000000"/>
          <w:sz w:val="22"/>
          <w:szCs w:val="22"/>
          <w:rtl/>
        </w:rPr>
        <w:t>דנה כהן לקח 54678313</w:t>
      </w:r>
    </w:p>
    <w:p w14:paraId="259B2EE7" w14:textId="77777777" w:rsidR="002169FB" w:rsidRDefault="002169FB" w:rsidP="002169FB">
      <w:r w:rsidRPr="002169FB">
        <w:rPr>
          <w:color w:val="000000"/>
          <w:rtl/>
        </w:rPr>
        <w:t>נוסח מסמך זה כפוף לשינויי ניסוח ועריכה</w:t>
      </w:r>
    </w:p>
    <w:p w14:paraId="4D632750" w14:textId="77777777" w:rsidR="002169FB" w:rsidRDefault="002169FB" w:rsidP="002169FB">
      <w:pPr>
        <w:rPr>
          <w:rtl/>
        </w:rPr>
      </w:pPr>
    </w:p>
    <w:p w14:paraId="6FE80845" w14:textId="77777777" w:rsidR="002169FB" w:rsidRDefault="002169FB" w:rsidP="002169F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3922199" w14:textId="77777777" w:rsidR="004150AF" w:rsidRPr="002169FB" w:rsidRDefault="004150AF" w:rsidP="002169FB">
      <w:pPr>
        <w:jc w:val="center"/>
        <w:rPr>
          <w:color w:val="0000FF"/>
          <w:u w:val="single"/>
        </w:rPr>
      </w:pPr>
    </w:p>
    <w:sectPr w:rsidR="004150AF" w:rsidRPr="002169FB" w:rsidSect="002169FB">
      <w:headerReference w:type="even" r:id="rId35"/>
      <w:headerReference w:type="default" r:id="rId36"/>
      <w:footerReference w:type="even" r:id="rId37"/>
      <w:footerReference w:type="default" r:id="rId3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94BBA" w14:textId="77777777" w:rsidR="00786A24" w:rsidRPr="00057515" w:rsidRDefault="00786A24">
      <w:pPr>
        <w:rPr>
          <w:rFonts w:cs="Arial"/>
          <w:szCs w:val="20"/>
        </w:rPr>
      </w:pPr>
      <w:r>
        <w:separator/>
      </w:r>
    </w:p>
  </w:endnote>
  <w:endnote w:type="continuationSeparator" w:id="0">
    <w:p w14:paraId="37BFFBCD" w14:textId="77777777" w:rsidR="00786A24" w:rsidRPr="00057515" w:rsidRDefault="00786A2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62017" w14:textId="77777777" w:rsidR="002169FB" w:rsidRDefault="002169FB" w:rsidP="002169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19FCD4" w14:textId="77777777" w:rsidR="004150AF" w:rsidRPr="002169FB" w:rsidRDefault="002169FB" w:rsidP="002169FB">
    <w:pPr>
      <w:pStyle w:val="a4"/>
      <w:pBdr>
        <w:top w:val="single" w:sz="4" w:space="1" w:color="auto"/>
        <w:between w:val="single" w:sz="4" w:space="0" w:color="auto"/>
      </w:pBdr>
      <w:spacing w:after="60"/>
      <w:jc w:val="center"/>
      <w:rPr>
        <w:rFonts w:ascii="FrankRuehl" w:hAnsi="FrankRuehl" w:cs="FrankRuehl"/>
        <w:color w:val="000000"/>
      </w:rPr>
    </w:pPr>
    <w:r w:rsidRPr="002169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DBDDC" w14:textId="77777777" w:rsidR="002169FB" w:rsidRDefault="002169FB" w:rsidP="002169F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0F45">
      <w:rPr>
        <w:rFonts w:ascii="FrankRuehl" w:hAnsi="FrankRuehl" w:cs="FrankRuehl"/>
        <w:noProof/>
        <w:rtl/>
      </w:rPr>
      <w:t>1</w:t>
    </w:r>
    <w:r>
      <w:rPr>
        <w:rFonts w:ascii="FrankRuehl" w:hAnsi="FrankRuehl" w:cs="FrankRuehl"/>
        <w:rtl/>
      </w:rPr>
      <w:fldChar w:fldCharType="end"/>
    </w:r>
  </w:p>
  <w:p w14:paraId="35997598" w14:textId="77777777" w:rsidR="004150AF" w:rsidRPr="002169FB" w:rsidRDefault="002169FB" w:rsidP="002169FB">
    <w:pPr>
      <w:pStyle w:val="a4"/>
      <w:pBdr>
        <w:top w:val="single" w:sz="4" w:space="1" w:color="auto"/>
        <w:between w:val="single" w:sz="4" w:space="0" w:color="auto"/>
      </w:pBdr>
      <w:spacing w:after="60"/>
      <w:jc w:val="center"/>
      <w:rPr>
        <w:rFonts w:ascii="FrankRuehl" w:hAnsi="FrankRuehl" w:cs="FrankRuehl"/>
        <w:color w:val="000000"/>
      </w:rPr>
    </w:pPr>
    <w:r w:rsidRPr="002169FB">
      <w:rPr>
        <w:rFonts w:ascii="FrankRuehl" w:hAnsi="FrankRuehl" w:cs="FrankRuehl"/>
        <w:color w:val="000000"/>
      </w:rPr>
      <w:pict w14:anchorId="393C5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03E38" w14:textId="77777777" w:rsidR="00786A24" w:rsidRPr="00057515" w:rsidRDefault="00786A24">
      <w:pPr>
        <w:rPr>
          <w:rFonts w:cs="Arial"/>
          <w:szCs w:val="20"/>
        </w:rPr>
      </w:pPr>
      <w:r>
        <w:separator/>
      </w:r>
    </w:p>
  </w:footnote>
  <w:footnote w:type="continuationSeparator" w:id="0">
    <w:p w14:paraId="57CDE31C" w14:textId="77777777" w:rsidR="00786A24" w:rsidRPr="00057515" w:rsidRDefault="00786A2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3DB2E" w14:textId="77777777" w:rsidR="002169FB" w:rsidRPr="002169FB" w:rsidRDefault="002169FB" w:rsidP="002169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23028-10-13</w:t>
    </w:r>
    <w:r>
      <w:rPr>
        <w:rFonts w:ascii="David" w:hAnsi="David"/>
        <w:color w:val="000000"/>
        <w:sz w:val="22"/>
        <w:szCs w:val="22"/>
        <w:rtl/>
      </w:rPr>
      <w:tab/>
      <w:t xml:space="preserve"> מדינת ישראל נ' אלי תומס וייט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69C1F" w14:textId="77777777" w:rsidR="002169FB" w:rsidRPr="002169FB" w:rsidRDefault="002169FB" w:rsidP="002169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23028-10-13</w:t>
    </w:r>
    <w:r>
      <w:rPr>
        <w:rFonts w:ascii="David" w:hAnsi="David"/>
        <w:color w:val="000000"/>
        <w:sz w:val="22"/>
        <w:szCs w:val="22"/>
        <w:rtl/>
      </w:rPr>
      <w:tab/>
      <w:t xml:space="preserve"> מדינת ישראל נ' אלי תומס וייט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50AF"/>
    <w:rsid w:val="002169FB"/>
    <w:rsid w:val="002E6D6A"/>
    <w:rsid w:val="00400F45"/>
    <w:rsid w:val="004150AF"/>
    <w:rsid w:val="006D26DC"/>
    <w:rsid w:val="00786A24"/>
    <w:rsid w:val="00F137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293C6FD"/>
  <w15:chartTrackingRefBased/>
  <w15:docId w15:val="{8D3A0782-8846-401D-B77A-9044B2A3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50A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150AF"/>
    <w:pPr>
      <w:tabs>
        <w:tab w:val="center" w:pos="4153"/>
        <w:tab w:val="right" w:pos="8306"/>
      </w:tabs>
    </w:pPr>
  </w:style>
  <w:style w:type="paragraph" w:styleId="a4">
    <w:name w:val="footer"/>
    <w:basedOn w:val="a"/>
    <w:rsid w:val="004150AF"/>
    <w:pPr>
      <w:tabs>
        <w:tab w:val="center" w:pos="4153"/>
        <w:tab w:val="right" w:pos="8306"/>
      </w:tabs>
    </w:pPr>
  </w:style>
  <w:style w:type="character" w:styleId="a5">
    <w:name w:val="page number"/>
    <w:basedOn w:val="a0"/>
    <w:rsid w:val="004150AF"/>
  </w:style>
  <w:style w:type="paragraph" w:customStyle="1" w:styleId="David">
    <w:name w:val="סגנון (עברית ושפות אחרות) David מיושר לשני הצדדים מרווח בין שורות..."/>
    <w:basedOn w:val="a"/>
    <w:rsid w:val="004150AF"/>
    <w:pPr>
      <w:spacing w:line="360" w:lineRule="auto"/>
      <w:jc w:val="both"/>
    </w:pPr>
  </w:style>
  <w:style w:type="character" w:styleId="Hyperlink">
    <w:name w:val="Hyperlink"/>
    <w:basedOn w:val="a0"/>
    <w:rsid w:val="00415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10481273" TargetMode="External"/><Relationship Id="rId39" Type="http://schemas.openxmlformats.org/officeDocument/2006/relationships/fontTable" Target="fontTable.xml"/><Relationship Id="rId21" Type="http://schemas.openxmlformats.org/officeDocument/2006/relationships/hyperlink" Target="http://www.nevo.co.il/law/70301/40jc.b"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0301/58" TargetMode="External"/><Relationship Id="rId17" Type="http://schemas.openxmlformats.org/officeDocument/2006/relationships/hyperlink" Target="http://www.nevo.co.il/case/7820161" TargetMode="External"/><Relationship Id="rId25" Type="http://schemas.openxmlformats.org/officeDocument/2006/relationships/hyperlink" Target="http://www.nevo.co.il/case/3305743" TargetMode="External"/><Relationship Id="rId33" Type="http://schemas.openxmlformats.org/officeDocument/2006/relationships/hyperlink" Target="http://www.nevo.co.il/case/3569103"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29" Type="http://schemas.openxmlformats.org/officeDocument/2006/relationships/hyperlink" Target="http://www.nevo.co.il/law/4216/36a.e"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3569103"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4216/36a.e"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4216/36a" TargetMode="External"/><Relationship Id="rId4" Type="http://schemas.openxmlformats.org/officeDocument/2006/relationships/footnotes" Target="footnotes.xml"/><Relationship Id="rId9" Type="http://schemas.openxmlformats.org/officeDocument/2006/relationships/hyperlink" Target="http://www.nevo.co.il/law/4216/36a"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58" TargetMode="External"/><Relationship Id="rId30" Type="http://schemas.openxmlformats.org/officeDocument/2006/relationships/hyperlink" Target="http://www.nevo.co.il/law/4216" TargetMode="External"/><Relationship Id="rId35" Type="http://schemas.openxmlformats.org/officeDocument/2006/relationships/header" Target="head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2272</Words>
  <Characters>11361</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13606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3604600</vt:i4>
      </vt:variant>
      <vt:variant>
        <vt:i4>81</vt:i4>
      </vt:variant>
      <vt:variant>
        <vt:i4>0</vt:i4>
      </vt:variant>
      <vt:variant>
        <vt:i4>5</vt:i4>
      </vt:variant>
      <vt:variant>
        <vt:lpwstr>http://www.nevo.co.il/case/3569103</vt:lpwstr>
      </vt:variant>
      <vt:variant>
        <vt:lpwstr/>
      </vt:variant>
      <vt:variant>
        <vt:i4>8257637</vt:i4>
      </vt:variant>
      <vt:variant>
        <vt:i4>78</vt:i4>
      </vt:variant>
      <vt:variant>
        <vt:i4>0</vt:i4>
      </vt:variant>
      <vt:variant>
        <vt:i4>5</vt:i4>
      </vt:variant>
      <vt:variant>
        <vt:lpwstr>http://www.nevo.co.il/law/4216</vt:lpwstr>
      </vt:variant>
      <vt:variant>
        <vt:lpwstr/>
      </vt:variant>
      <vt:variant>
        <vt:i4>2883708</vt:i4>
      </vt:variant>
      <vt:variant>
        <vt:i4>75</vt:i4>
      </vt:variant>
      <vt:variant>
        <vt:i4>0</vt:i4>
      </vt:variant>
      <vt:variant>
        <vt:i4>5</vt:i4>
      </vt:variant>
      <vt:variant>
        <vt:lpwstr>http://www.nevo.co.il/law/4216/36a</vt:lpwstr>
      </vt:variant>
      <vt:variant>
        <vt:lpwstr/>
      </vt:variant>
      <vt:variant>
        <vt:i4>8257637</vt:i4>
      </vt:variant>
      <vt:variant>
        <vt:i4>72</vt:i4>
      </vt:variant>
      <vt:variant>
        <vt:i4>0</vt:i4>
      </vt:variant>
      <vt:variant>
        <vt:i4>5</vt:i4>
      </vt:variant>
      <vt:variant>
        <vt:lpwstr>http://www.nevo.co.il/law/4216</vt:lpwstr>
      </vt:variant>
      <vt:variant>
        <vt:lpwstr/>
      </vt:variant>
      <vt:variant>
        <vt:i4>4784210</vt:i4>
      </vt:variant>
      <vt:variant>
        <vt:i4>69</vt:i4>
      </vt:variant>
      <vt:variant>
        <vt:i4>0</vt:i4>
      </vt:variant>
      <vt:variant>
        <vt:i4>5</vt:i4>
      </vt:variant>
      <vt:variant>
        <vt:lpwstr>http://www.nevo.co.il/law/4216/36a.e</vt:lpwstr>
      </vt:variant>
      <vt:variant>
        <vt:lpwstr/>
      </vt:variant>
      <vt:variant>
        <vt:i4>7995492</vt:i4>
      </vt:variant>
      <vt:variant>
        <vt:i4>66</vt:i4>
      </vt:variant>
      <vt:variant>
        <vt:i4>0</vt:i4>
      </vt:variant>
      <vt:variant>
        <vt:i4>5</vt:i4>
      </vt:variant>
      <vt:variant>
        <vt:lpwstr>http://www.nevo.co.il/law/70301</vt:lpwstr>
      </vt:variant>
      <vt:variant>
        <vt:lpwstr/>
      </vt:variant>
      <vt:variant>
        <vt:i4>7143520</vt:i4>
      </vt:variant>
      <vt:variant>
        <vt:i4>63</vt:i4>
      </vt:variant>
      <vt:variant>
        <vt:i4>0</vt:i4>
      </vt:variant>
      <vt:variant>
        <vt:i4>5</vt:i4>
      </vt:variant>
      <vt:variant>
        <vt:lpwstr>http://www.nevo.co.il/law/70301/58</vt:lpwstr>
      </vt:variant>
      <vt:variant>
        <vt:lpwstr/>
      </vt:variant>
      <vt:variant>
        <vt:i4>3342462</vt:i4>
      </vt:variant>
      <vt:variant>
        <vt:i4>60</vt:i4>
      </vt:variant>
      <vt:variant>
        <vt:i4>0</vt:i4>
      </vt:variant>
      <vt:variant>
        <vt:i4>5</vt:i4>
      </vt:variant>
      <vt:variant>
        <vt:lpwstr>http://www.nevo.co.il/case/10481273</vt:lpwstr>
      </vt:variant>
      <vt:variant>
        <vt:lpwstr/>
      </vt:variant>
      <vt:variant>
        <vt:i4>3604598</vt:i4>
      </vt:variant>
      <vt:variant>
        <vt:i4>57</vt:i4>
      </vt:variant>
      <vt:variant>
        <vt:i4>0</vt:i4>
      </vt:variant>
      <vt:variant>
        <vt:i4>5</vt:i4>
      </vt:variant>
      <vt:variant>
        <vt:lpwstr>http://www.nevo.co.il/case/3305743</vt:lpwstr>
      </vt:variant>
      <vt:variant>
        <vt:lpwstr/>
      </vt:variant>
      <vt:variant>
        <vt:i4>8257637</vt:i4>
      </vt:variant>
      <vt:variant>
        <vt:i4>54</vt:i4>
      </vt:variant>
      <vt:variant>
        <vt:i4>0</vt:i4>
      </vt:variant>
      <vt:variant>
        <vt:i4>5</vt:i4>
      </vt:variant>
      <vt:variant>
        <vt:lpwstr>http://www.nevo.co.il/law/4216</vt:lpwstr>
      </vt:variant>
      <vt:variant>
        <vt:lpwstr/>
      </vt:variant>
      <vt:variant>
        <vt:i4>3604600</vt:i4>
      </vt:variant>
      <vt:variant>
        <vt:i4>51</vt:i4>
      </vt:variant>
      <vt:variant>
        <vt:i4>0</vt:i4>
      </vt:variant>
      <vt:variant>
        <vt:i4>5</vt:i4>
      </vt:variant>
      <vt:variant>
        <vt:lpwstr>http://www.nevo.co.il/case/3569103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3473530</vt:i4>
      </vt:variant>
      <vt:variant>
        <vt:i4>33</vt:i4>
      </vt:variant>
      <vt:variant>
        <vt:i4>0</vt:i4>
      </vt:variant>
      <vt:variant>
        <vt:i4>5</vt:i4>
      </vt:variant>
      <vt:variant>
        <vt:lpwstr>http://www.nevo.co.il/case/7820161</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7995492</vt:i4>
      </vt:variant>
      <vt:variant>
        <vt:i4>15</vt:i4>
      </vt:variant>
      <vt:variant>
        <vt:i4>0</vt:i4>
      </vt:variant>
      <vt:variant>
        <vt:i4>5</vt:i4>
      </vt:variant>
      <vt:variant>
        <vt:lpwstr>http://www.nevo.co.il/law/70301</vt:lpwstr>
      </vt:variant>
      <vt:variant>
        <vt:lpwstr/>
      </vt:variant>
      <vt:variant>
        <vt:i4>4784210</vt:i4>
      </vt:variant>
      <vt:variant>
        <vt:i4>12</vt:i4>
      </vt:variant>
      <vt:variant>
        <vt:i4>0</vt:i4>
      </vt:variant>
      <vt:variant>
        <vt:i4>5</vt:i4>
      </vt:variant>
      <vt:variant>
        <vt:lpwstr>http://www.nevo.co.il/law/4216/36a.e</vt:lpwstr>
      </vt:variant>
      <vt:variant>
        <vt:lpwstr/>
      </vt:variant>
      <vt:variant>
        <vt:i4>2883708</vt:i4>
      </vt:variant>
      <vt:variant>
        <vt:i4>9</vt:i4>
      </vt:variant>
      <vt:variant>
        <vt:i4>0</vt:i4>
      </vt:variant>
      <vt:variant>
        <vt:i4>5</vt:i4>
      </vt:variant>
      <vt:variant>
        <vt:lpwstr>http://www.nevo.co.il/law/4216/36a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2025-04-22T22:09:00Z</dcterms:created>
  <dcterms:modified xsi:type="dcterms:W3CDTF">2025-04-22T22:09:00Z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23028</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אלי תומס וייט</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20140408</vt:lpwstr>
  </property>
  <property fmtid="{D5CDD505-2E9C-101B-9397-08002B2CF9AE}" pid="13" name="TYPE_N_DATE">
    <vt:lpwstr>38020140408</vt:lpwstr>
  </property>
  <property fmtid="{D5CDD505-2E9C-101B-9397-08002B2CF9AE}" pid="14" name="CASESLISTTMP1">
    <vt:lpwstr>7820161;3569103:2;3305743;10481273</vt:lpwstr>
  </property>
  <property fmtid="{D5CDD505-2E9C-101B-9397-08002B2CF9AE}" pid="15" name="WORDNUMPAGES">
    <vt:lpwstr>7</vt:lpwstr>
  </property>
  <property fmtid="{D5CDD505-2E9C-101B-9397-08002B2CF9AE}" pid="16" name="TYPE_ABS_DATE">
    <vt:lpwstr>380020140408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4216/007.a:2;007.c:2;036a.e;036a</vt:lpwstr>
  </property>
  <property fmtid="{D5CDD505-2E9C-101B-9397-08002B2CF9AE}" pid="37" name="LAWLISTTMP2">
    <vt:lpwstr>70301/40jc.b;058</vt:lpwstr>
  </property>
</Properties>
</file>