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FE3915" w:rsidRPr="00732B3F" w14:paraId="39C51F6C" w14:textId="77777777">
        <w:trPr>
          <w:trHeight w:hRule="exact" w:val="418"/>
          <w:jc w:val="center"/>
        </w:trPr>
        <w:tc>
          <w:tcPr>
            <w:tcW w:w="8721" w:type="dxa"/>
            <w:gridSpan w:val="2"/>
          </w:tcPr>
          <w:p w14:paraId="6D38DEB8" w14:textId="77777777" w:rsidR="00FE3915" w:rsidRPr="00732B3F" w:rsidRDefault="00732B3F">
            <w:pPr>
              <w:pStyle w:val="a3"/>
              <w:jc w:val="center"/>
              <w:rPr>
                <w:rFonts w:ascii="Tahoma" w:hAnsi="Tahoma" w:cs="Tahoma"/>
                <w:color w:val="000080"/>
                <w:rtl/>
              </w:rPr>
            </w:pPr>
            <w:bookmarkStart w:id="0" w:name="LastJudge"/>
            <w:r w:rsidRPr="00732B3F">
              <w:rPr>
                <w:rFonts w:ascii="Tahoma" w:hAnsi="Tahoma" w:cs="Tahoma"/>
                <w:b/>
                <w:bCs/>
                <w:color w:val="000080"/>
                <w:rtl/>
              </w:rPr>
              <w:t>בית משפט השלום בירושלים</w:t>
            </w:r>
          </w:p>
        </w:tc>
      </w:tr>
      <w:tr w:rsidR="00FE3915" w:rsidRPr="00732B3F" w14:paraId="26CFFD62" w14:textId="77777777">
        <w:trPr>
          <w:trHeight w:val="337"/>
          <w:jc w:val="center"/>
        </w:trPr>
        <w:tc>
          <w:tcPr>
            <w:tcW w:w="5050" w:type="dxa"/>
          </w:tcPr>
          <w:p w14:paraId="5A533F56" w14:textId="77777777" w:rsidR="00FE3915" w:rsidRPr="00732B3F" w:rsidRDefault="00732B3F">
            <w:pPr>
              <w:rPr>
                <w:rFonts w:cs="FrankRuehl"/>
                <w:sz w:val="28"/>
                <w:szCs w:val="28"/>
                <w:rtl/>
              </w:rPr>
            </w:pPr>
            <w:r w:rsidRPr="00732B3F">
              <w:rPr>
                <w:rFonts w:cs="FrankRuehl"/>
                <w:sz w:val="28"/>
                <w:szCs w:val="28"/>
                <w:rtl/>
              </w:rPr>
              <w:t>ת"פ</w:t>
            </w:r>
            <w:r w:rsidRPr="00732B3F">
              <w:rPr>
                <w:rFonts w:cs="FrankRuehl" w:hint="cs"/>
                <w:sz w:val="28"/>
                <w:szCs w:val="28"/>
                <w:rtl/>
              </w:rPr>
              <w:t xml:space="preserve"> </w:t>
            </w:r>
            <w:r w:rsidRPr="00732B3F">
              <w:rPr>
                <w:rFonts w:cs="FrankRuehl"/>
                <w:sz w:val="28"/>
                <w:szCs w:val="28"/>
                <w:rtl/>
              </w:rPr>
              <w:t>49458-10-13</w:t>
            </w:r>
            <w:r w:rsidRPr="00732B3F">
              <w:rPr>
                <w:rFonts w:cs="FrankRuehl" w:hint="cs"/>
                <w:sz w:val="28"/>
                <w:szCs w:val="28"/>
                <w:rtl/>
              </w:rPr>
              <w:t xml:space="preserve"> </w:t>
            </w:r>
            <w:r w:rsidRPr="00732B3F">
              <w:rPr>
                <w:rFonts w:cs="FrankRuehl"/>
                <w:sz w:val="28"/>
                <w:szCs w:val="28"/>
                <w:rtl/>
              </w:rPr>
              <w:t>מדינת ישראל נ' שוייץ</w:t>
            </w:r>
          </w:p>
        </w:tc>
        <w:tc>
          <w:tcPr>
            <w:tcW w:w="3671" w:type="dxa"/>
          </w:tcPr>
          <w:p w14:paraId="46B19C8F" w14:textId="77777777" w:rsidR="00FE3915" w:rsidRPr="00732B3F" w:rsidRDefault="00732B3F">
            <w:pPr>
              <w:pStyle w:val="a3"/>
              <w:jc w:val="right"/>
              <w:rPr>
                <w:rFonts w:cs="FrankRuehl"/>
                <w:sz w:val="28"/>
                <w:szCs w:val="28"/>
                <w:rtl/>
              </w:rPr>
            </w:pPr>
            <w:r w:rsidRPr="00732B3F">
              <w:rPr>
                <w:rFonts w:cs="FrankRuehl"/>
                <w:sz w:val="28"/>
                <w:szCs w:val="28"/>
                <w:rtl/>
              </w:rPr>
              <w:t>04 מרץ 2015</w:t>
            </w:r>
          </w:p>
        </w:tc>
      </w:tr>
    </w:tbl>
    <w:p w14:paraId="14384D81" w14:textId="77777777" w:rsidR="00FE3915" w:rsidRPr="00732B3F" w:rsidRDefault="00732B3F">
      <w:pPr>
        <w:pStyle w:val="a3"/>
        <w:rPr>
          <w:rtl/>
        </w:rPr>
      </w:pPr>
      <w:r w:rsidRPr="00732B3F">
        <w:rPr>
          <w:rFonts w:hint="cs"/>
          <w:rtl/>
        </w:rPr>
        <w:t xml:space="preserve"> </w:t>
      </w:r>
    </w:p>
    <w:p w14:paraId="4F020A7B" w14:textId="77777777" w:rsidR="00FE3915" w:rsidRPr="00732B3F" w:rsidRDefault="00732B3F">
      <w:pPr>
        <w:pStyle w:val="a3"/>
      </w:pPr>
      <w:r w:rsidRPr="00732B3F">
        <w:rPr>
          <w:rFonts w:cs="Times New Roman" w:hint="cs"/>
          <w:b/>
          <w:bCs/>
          <w:sz w:val="26"/>
          <w:szCs w:val="28"/>
          <w:rtl/>
        </w:rPr>
        <w:t xml:space="preserve"> </w:t>
      </w:r>
    </w:p>
    <w:p w14:paraId="1C58E881" w14:textId="77777777" w:rsidR="00FE3915" w:rsidRPr="00732B3F" w:rsidRDefault="00FE39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E3915" w:rsidRPr="00732B3F" w14:paraId="32326C96" w14:textId="77777777">
        <w:trPr>
          <w:trHeight w:val="295"/>
          <w:jc w:val="center"/>
        </w:trPr>
        <w:tc>
          <w:tcPr>
            <w:tcW w:w="923" w:type="dxa"/>
            <w:tcBorders>
              <w:top w:val="nil"/>
              <w:left w:val="nil"/>
              <w:bottom w:val="nil"/>
              <w:right w:val="nil"/>
            </w:tcBorders>
          </w:tcPr>
          <w:p w14:paraId="19DC4BD9" w14:textId="77777777" w:rsidR="00FE3915" w:rsidRPr="00732B3F" w:rsidRDefault="00732B3F">
            <w:pPr>
              <w:jc w:val="both"/>
              <w:rPr>
                <w:rFonts w:ascii="Arial" w:hAnsi="Arial" w:cs="FrankRuehl"/>
                <w:sz w:val="28"/>
                <w:szCs w:val="28"/>
              </w:rPr>
            </w:pPr>
            <w:r w:rsidRPr="00732B3F">
              <w:rPr>
                <w:rFonts w:ascii="Arial" w:hAnsi="Arial" w:cs="FrankRuehl" w:hint="cs"/>
                <w:sz w:val="28"/>
                <w:szCs w:val="28"/>
                <w:rtl/>
              </w:rPr>
              <w:t>ב</w:t>
            </w:r>
            <w:r w:rsidRPr="00732B3F">
              <w:rPr>
                <w:rFonts w:ascii="Arial" w:hAnsi="Arial" w:cs="FrankRuehl"/>
                <w:sz w:val="28"/>
                <w:szCs w:val="28"/>
                <w:rtl/>
              </w:rPr>
              <w:t xml:space="preserve">פני </w:t>
            </w:r>
          </w:p>
        </w:tc>
        <w:tc>
          <w:tcPr>
            <w:tcW w:w="7897" w:type="dxa"/>
            <w:gridSpan w:val="2"/>
            <w:tcBorders>
              <w:top w:val="nil"/>
              <w:left w:val="nil"/>
              <w:bottom w:val="nil"/>
              <w:right w:val="nil"/>
            </w:tcBorders>
          </w:tcPr>
          <w:p w14:paraId="3356730A" w14:textId="77777777" w:rsidR="00FE3915" w:rsidRPr="00732B3F" w:rsidRDefault="00732B3F">
            <w:pPr>
              <w:rPr>
                <w:rFonts w:ascii="Arial" w:hAnsi="Arial" w:cs="FrankRuehl"/>
                <w:b/>
                <w:bCs/>
                <w:sz w:val="28"/>
                <w:szCs w:val="28"/>
                <w:rtl/>
              </w:rPr>
            </w:pPr>
            <w:r w:rsidRPr="00732B3F">
              <w:rPr>
                <w:rFonts w:ascii="Arial" w:hAnsi="Arial" w:cs="FrankRuehl" w:hint="cs"/>
                <w:b/>
                <w:bCs/>
                <w:sz w:val="28"/>
                <w:szCs w:val="28"/>
                <w:rtl/>
              </w:rPr>
              <w:t>כב' ה</w:t>
            </w:r>
            <w:r w:rsidRPr="00732B3F">
              <w:rPr>
                <w:rFonts w:cs="FrankRuehl" w:hint="cs"/>
                <w:sz w:val="28"/>
                <w:szCs w:val="28"/>
                <w:rtl/>
              </w:rPr>
              <w:t>שופטת</w:t>
            </w:r>
            <w:r w:rsidRPr="00732B3F">
              <w:rPr>
                <w:rFonts w:ascii="Arial" w:hAnsi="Arial" w:cs="FrankRuehl" w:hint="cs"/>
                <w:b/>
                <w:bCs/>
                <w:sz w:val="28"/>
                <w:szCs w:val="28"/>
                <w:rtl/>
              </w:rPr>
              <w:t xml:space="preserve"> </w:t>
            </w:r>
            <w:r w:rsidRPr="00732B3F">
              <w:rPr>
                <w:rFonts w:cs="FrankRuehl" w:hint="cs"/>
                <w:sz w:val="28"/>
                <w:szCs w:val="28"/>
                <w:rtl/>
              </w:rPr>
              <w:t>דנה כהן-לקח</w:t>
            </w:r>
          </w:p>
          <w:p w14:paraId="16880ABF" w14:textId="77777777" w:rsidR="00FE3915" w:rsidRPr="00732B3F" w:rsidRDefault="00FE3915">
            <w:pPr>
              <w:rPr>
                <w:rtl/>
              </w:rPr>
            </w:pPr>
          </w:p>
          <w:p w14:paraId="7C10F921" w14:textId="77777777" w:rsidR="00FE3915" w:rsidRPr="00732B3F" w:rsidRDefault="00FE3915">
            <w:pPr>
              <w:jc w:val="both"/>
              <w:rPr>
                <w:rFonts w:ascii="Arial" w:hAnsi="Arial" w:cs="FrankRuehl"/>
                <w:sz w:val="28"/>
                <w:szCs w:val="28"/>
              </w:rPr>
            </w:pPr>
          </w:p>
        </w:tc>
      </w:tr>
      <w:tr w:rsidR="00FE3915" w:rsidRPr="00732B3F" w14:paraId="5A28278C" w14:textId="77777777">
        <w:trPr>
          <w:trHeight w:val="355"/>
          <w:jc w:val="center"/>
        </w:trPr>
        <w:tc>
          <w:tcPr>
            <w:tcW w:w="923" w:type="dxa"/>
            <w:tcBorders>
              <w:top w:val="nil"/>
              <w:left w:val="nil"/>
              <w:bottom w:val="nil"/>
              <w:right w:val="nil"/>
            </w:tcBorders>
          </w:tcPr>
          <w:p w14:paraId="537C8B3C" w14:textId="77777777" w:rsidR="00FE3915" w:rsidRPr="00732B3F" w:rsidRDefault="00732B3F">
            <w:pPr>
              <w:jc w:val="both"/>
              <w:rPr>
                <w:rFonts w:ascii="Arial" w:hAnsi="Arial" w:cs="FrankRuehl"/>
                <w:sz w:val="28"/>
                <w:szCs w:val="28"/>
              </w:rPr>
            </w:pPr>
            <w:bookmarkStart w:id="1" w:name="FirstAppellant"/>
            <w:r w:rsidRPr="00732B3F">
              <w:rPr>
                <w:rFonts w:ascii="Arial" w:hAnsi="Arial" w:cs="FrankRuehl" w:hint="cs"/>
                <w:sz w:val="28"/>
                <w:szCs w:val="28"/>
                <w:rtl/>
              </w:rPr>
              <w:t>בעניין:</w:t>
            </w:r>
          </w:p>
        </w:tc>
        <w:tc>
          <w:tcPr>
            <w:tcW w:w="4126" w:type="dxa"/>
            <w:tcBorders>
              <w:top w:val="nil"/>
              <w:left w:val="nil"/>
              <w:bottom w:val="nil"/>
              <w:right w:val="nil"/>
            </w:tcBorders>
          </w:tcPr>
          <w:p w14:paraId="6BF66758" w14:textId="77777777" w:rsidR="00FE3915" w:rsidRPr="00732B3F" w:rsidRDefault="00732B3F">
            <w:r w:rsidRPr="00732B3F">
              <w:rPr>
                <w:rFonts w:hint="cs"/>
                <w:rtl/>
              </w:rPr>
              <w:t>מדינת ישראל</w:t>
            </w:r>
          </w:p>
        </w:tc>
        <w:tc>
          <w:tcPr>
            <w:tcW w:w="3771" w:type="dxa"/>
            <w:tcBorders>
              <w:top w:val="nil"/>
              <w:left w:val="nil"/>
              <w:bottom w:val="nil"/>
              <w:right w:val="nil"/>
            </w:tcBorders>
          </w:tcPr>
          <w:p w14:paraId="66E7800C" w14:textId="77777777" w:rsidR="00FE3915" w:rsidRPr="00732B3F" w:rsidRDefault="00FE3915">
            <w:pPr>
              <w:jc w:val="both"/>
              <w:rPr>
                <w:rFonts w:ascii="Arial" w:hAnsi="Arial" w:cs="FrankRuehl"/>
                <w:sz w:val="28"/>
                <w:szCs w:val="28"/>
              </w:rPr>
            </w:pPr>
          </w:p>
        </w:tc>
      </w:tr>
      <w:bookmarkEnd w:id="1"/>
      <w:tr w:rsidR="00FE3915" w:rsidRPr="00732B3F" w14:paraId="01A927FB" w14:textId="77777777">
        <w:trPr>
          <w:trHeight w:val="355"/>
          <w:jc w:val="center"/>
        </w:trPr>
        <w:tc>
          <w:tcPr>
            <w:tcW w:w="923" w:type="dxa"/>
            <w:tcBorders>
              <w:top w:val="nil"/>
              <w:left w:val="nil"/>
              <w:bottom w:val="nil"/>
              <w:right w:val="nil"/>
            </w:tcBorders>
          </w:tcPr>
          <w:p w14:paraId="518201DF" w14:textId="77777777" w:rsidR="00FE3915" w:rsidRPr="00732B3F" w:rsidRDefault="00FE3915">
            <w:pPr>
              <w:jc w:val="both"/>
              <w:rPr>
                <w:rFonts w:ascii="Arial" w:hAnsi="Arial" w:cs="FrankRuehl"/>
                <w:sz w:val="28"/>
                <w:szCs w:val="28"/>
                <w:rtl/>
              </w:rPr>
            </w:pPr>
          </w:p>
        </w:tc>
        <w:tc>
          <w:tcPr>
            <w:tcW w:w="4126" w:type="dxa"/>
            <w:tcBorders>
              <w:top w:val="nil"/>
              <w:left w:val="nil"/>
              <w:bottom w:val="nil"/>
              <w:right w:val="nil"/>
            </w:tcBorders>
          </w:tcPr>
          <w:p w14:paraId="038EA3F4" w14:textId="77777777" w:rsidR="00FE3915" w:rsidRPr="00732B3F" w:rsidRDefault="00FE3915">
            <w:pPr>
              <w:jc w:val="both"/>
              <w:rPr>
                <w:rtl/>
              </w:rPr>
            </w:pPr>
          </w:p>
        </w:tc>
        <w:tc>
          <w:tcPr>
            <w:tcW w:w="3771" w:type="dxa"/>
            <w:tcBorders>
              <w:top w:val="nil"/>
              <w:left w:val="nil"/>
              <w:bottom w:val="nil"/>
              <w:right w:val="nil"/>
            </w:tcBorders>
          </w:tcPr>
          <w:p w14:paraId="12347640" w14:textId="77777777" w:rsidR="00FE3915" w:rsidRPr="00732B3F" w:rsidRDefault="00732B3F">
            <w:pPr>
              <w:jc w:val="right"/>
              <w:rPr>
                <w:rFonts w:ascii="Arial" w:hAnsi="Arial" w:cs="FrankRuehl"/>
                <w:sz w:val="28"/>
                <w:szCs w:val="28"/>
                <w:rtl/>
              </w:rPr>
            </w:pPr>
            <w:r w:rsidRPr="00732B3F">
              <w:rPr>
                <w:rFonts w:ascii="Arial" w:hAnsi="Arial" w:cs="FrankRuehl" w:hint="cs"/>
                <w:sz w:val="28"/>
                <w:szCs w:val="28"/>
                <w:rtl/>
              </w:rPr>
              <w:t>ה</w:t>
            </w:r>
            <w:r w:rsidRPr="00732B3F">
              <w:rPr>
                <w:rFonts w:hint="cs"/>
                <w:rtl/>
              </w:rPr>
              <w:t>מאשימה</w:t>
            </w:r>
          </w:p>
        </w:tc>
      </w:tr>
      <w:tr w:rsidR="00FE3915" w:rsidRPr="00732B3F" w14:paraId="1D61ED69" w14:textId="77777777">
        <w:trPr>
          <w:trHeight w:val="355"/>
          <w:jc w:val="center"/>
        </w:trPr>
        <w:tc>
          <w:tcPr>
            <w:tcW w:w="923" w:type="dxa"/>
            <w:tcBorders>
              <w:top w:val="nil"/>
              <w:left w:val="nil"/>
              <w:bottom w:val="nil"/>
              <w:right w:val="nil"/>
            </w:tcBorders>
          </w:tcPr>
          <w:p w14:paraId="516F7A89" w14:textId="77777777" w:rsidR="00FE3915" w:rsidRPr="00732B3F" w:rsidRDefault="00FE3915">
            <w:pPr>
              <w:jc w:val="both"/>
              <w:rPr>
                <w:rFonts w:ascii="Arial" w:hAnsi="Arial" w:cs="FrankRuehl"/>
                <w:sz w:val="28"/>
                <w:szCs w:val="28"/>
                <w:rtl/>
              </w:rPr>
            </w:pPr>
          </w:p>
        </w:tc>
        <w:tc>
          <w:tcPr>
            <w:tcW w:w="7897" w:type="dxa"/>
            <w:gridSpan w:val="2"/>
            <w:tcBorders>
              <w:top w:val="nil"/>
              <w:left w:val="nil"/>
              <w:bottom w:val="nil"/>
              <w:right w:val="nil"/>
            </w:tcBorders>
          </w:tcPr>
          <w:p w14:paraId="3CBCB602" w14:textId="77777777" w:rsidR="00FE3915" w:rsidRPr="00732B3F" w:rsidRDefault="00FE3915">
            <w:pPr>
              <w:jc w:val="center"/>
              <w:rPr>
                <w:rFonts w:ascii="Arial" w:hAnsi="Arial" w:cs="FrankRuehl"/>
                <w:b/>
                <w:bCs/>
                <w:sz w:val="28"/>
                <w:szCs w:val="28"/>
                <w:rtl/>
              </w:rPr>
            </w:pPr>
          </w:p>
          <w:p w14:paraId="2E9F40AC" w14:textId="77777777" w:rsidR="00FE3915" w:rsidRPr="00732B3F" w:rsidRDefault="00732B3F">
            <w:pPr>
              <w:jc w:val="center"/>
              <w:rPr>
                <w:rFonts w:ascii="Arial" w:hAnsi="Arial" w:cs="FrankRuehl"/>
                <w:b/>
                <w:bCs/>
                <w:sz w:val="28"/>
                <w:szCs w:val="28"/>
                <w:rtl/>
              </w:rPr>
            </w:pPr>
            <w:r w:rsidRPr="00732B3F">
              <w:rPr>
                <w:rFonts w:ascii="Arial" w:hAnsi="Arial" w:cs="FrankRuehl"/>
                <w:b/>
                <w:bCs/>
                <w:sz w:val="28"/>
                <w:szCs w:val="28"/>
                <w:rtl/>
              </w:rPr>
              <w:t>נגד</w:t>
            </w:r>
          </w:p>
          <w:p w14:paraId="2E80C713" w14:textId="77777777" w:rsidR="00FE3915" w:rsidRPr="00732B3F" w:rsidRDefault="00FE3915">
            <w:pPr>
              <w:jc w:val="both"/>
              <w:rPr>
                <w:rFonts w:ascii="Arial" w:hAnsi="Arial" w:cs="FrankRuehl"/>
                <w:sz w:val="28"/>
                <w:szCs w:val="28"/>
              </w:rPr>
            </w:pPr>
          </w:p>
        </w:tc>
      </w:tr>
      <w:tr w:rsidR="00FE3915" w:rsidRPr="00732B3F" w14:paraId="4C348260" w14:textId="77777777">
        <w:trPr>
          <w:trHeight w:val="355"/>
          <w:jc w:val="center"/>
        </w:trPr>
        <w:tc>
          <w:tcPr>
            <w:tcW w:w="923" w:type="dxa"/>
            <w:tcBorders>
              <w:top w:val="nil"/>
              <w:left w:val="nil"/>
              <w:bottom w:val="nil"/>
              <w:right w:val="nil"/>
            </w:tcBorders>
          </w:tcPr>
          <w:p w14:paraId="50DD8FE3" w14:textId="77777777" w:rsidR="00FE3915" w:rsidRPr="00732B3F" w:rsidRDefault="00FE3915">
            <w:pPr>
              <w:jc w:val="both"/>
              <w:rPr>
                <w:rFonts w:ascii="Arial" w:hAnsi="Arial" w:cs="FrankRuehl"/>
                <w:sz w:val="28"/>
                <w:szCs w:val="28"/>
                <w:rtl/>
              </w:rPr>
            </w:pPr>
          </w:p>
        </w:tc>
        <w:tc>
          <w:tcPr>
            <w:tcW w:w="4126" w:type="dxa"/>
            <w:tcBorders>
              <w:top w:val="nil"/>
              <w:left w:val="nil"/>
              <w:bottom w:val="nil"/>
              <w:right w:val="nil"/>
            </w:tcBorders>
          </w:tcPr>
          <w:p w14:paraId="5EE5E0E3" w14:textId="77777777" w:rsidR="00FE3915" w:rsidRPr="00732B3F" w:rsidRDefault="00732B3F">
            <w:pPr>
              <w:jc w:val="both"/>
              <w:rPr>
                <w:rtl/>
              </w:rPr>
            </w:pPr>
            <w:r w:rsidRPr="00732B3F">
              <w:rPr>
                <w:rFonts w:hint="cs"/>
                <w:rtl/>
              </w:rPr>
              <w:t>זאבי שוייץ</w:t>
            </w:r>
          </w:p>
        </w:tc>
        <w:tc>
          <w:tcPr>
            <w:tcW w:w="3771" w:type="dxa"/>
            <w:tcBorders>
              <w:top w:val="nil"/>
              <w:left w:val="nil"/>
              <w:bottom w:val="nil"/>
              <w:right w:val="nil"/>
            </w:tcBorders>
          </w:tcPr>
          <w:p w14:paraId="33F1541C" w14:textId="77777777" w:rsidR="00FE3915" w:rsidRPr="00732B3F" w:rsidRDefault="00FE3915">
            <w:pPr>
              <w:jc w:val="right"/>
              <w:rPr>
                <w:rFonts w:ascii="Arial" w:hAnsi="Arial" w:cs="FrankRuehl"/>
                <w:sz w:val="28"/>
                <w:szCs w:val="28"/>
              </w:rPr>
            </w:pPr>
          </w:p>
        </w:tc>
      </w:tr>
      <w:tr w:rsidR="00FE3915" w:rsidRPr="00732B3F" w14:paraId="10B5F8FE" w14:textId="77777777">
        <w:trPr>
          <w:trHeight w:val="355"/>
          <w:jc w:val="center"/>
        </w:trPr>
        <w:tc>
          <w:tcPr>
            <w:tcW w:w="923" w:type="dxa"/>
            <w:tcBorders>
              <w:top w:val="nil"/>
              <w:left w:val="nil"/>
              <w:bottom w:val="nil"/>
              <w:right w:val="nil"/>
            </w:tcBorders>
          </w:tcPr>
          <w:p w14:paraId="157A6C4D" w14:textId="77777777" w:rsidR="00FE3915" w:rsidRPr="00732B3F" w:rsidRDefault="00FE3915">
            <w:pPr>
              <w:jc w:val="both"/>
              <w:rPr>
                <w:rFonts w:ascii="Arial" w:hAnsi="Arial" w:cs="FrankRuehl"/>
                <w:sz w:val="28"/>
                <w:szCs w:val="28"/>
                <w:rtl/>
              </w:rPr>
            </w:pPr>
          </w:p>
        </w:tc>
        <w:tc>
          <w:tcPr>
            <w:tcW w:w="4126" w:type="dxa"/>
            <w:tcBorders>
              <w:top w:val="nil"/>
              <w:left w:val="nil"/>
              <w:bottom w:val="nil"/>
              <w:right w:val="nil"/>
            </w:tcBorders>
          </w:tcPr>
          <w:p w14:paraId="14998E22" w14:textId="77777777" w:rsidR="00FE3915" w:rsidRPr="00732B3F" w:rsidRDefault="00FE3915">
            <w:pPr>
              <w:jc w:val="both"/>
              <w:rPr>
                <w:rtl/>
              </w:rPr>
            </w:pPr>
          </w:p>
        </w:tc>
        <w:tc>
          <w:tcPr>
            <w:tcW w:w="3771" w:type="dxa"/>
            <w:tcBorders>
              <w:top w:val="nil"/>
              <w:left w:val="nil"/>
              <w:bottom w:val="nil"/>
              <w:right w:val="nil"/>
            </w:tcBorders>
          </w:tcPr>
          <w:p w14:paraId="61EE5EC1" w14:textId="77777777" w:rsidR="00FE3915" w:rsidRPr="00732B3F" w:rsidRDefault="00732B3F">
            <w:pPr>
              <w:jc w:val="right"/>
              <w:rPr>
                <w:rFonts w:ascii="Arial" w:hAnsi="Arial" w:cs="FrankRuehl"/>
                <w:sz w:val="28"/>
                <w:szCs w:val="28"/>
              </w:rPr>
            </w:pPr>
            <w:r w:rsidRPr="00732B3F">
              <w:rPr>
                <w:rFonts w:ascii="Arial" w:hAnsi="Arial" w:cs="FrankRuehl" w:hint="cs"/>
                <w:sz w:val="28"/>
                <w:szCs w:val="28"/>
                <w:rtl/>
              </w:rPr>
              <w:t>ה</w:t>
            </w:r>
            <w:r w:rsidRPr="00732B3F">
              <w:rPr>
                <w:rFonts w:hint="cs"/>
                <w:rtl/>
              </w:rPr>
              <w:t>נאשם</w:t>
            </w:r>
          </w:p>
        </w:tc>
      </w:tr>
    </w:tbl>
    <w:p w14:paraId="301DEAD0" w14:textId="77777777" w:rsidR="00AD409D" w:rsidRDefault="00AD409D">
      <w:pPr>
        <w:rPr>
          <w:rtl/>
        </w:rPr>
      </w:pPr>
      <w:bookmarkStart w:id="2" w:name="LawTable"/>
      <w:bookmarkEnd w:id="2"/>
    </w:p>
    <w:p w14:paraId="06C5EC6E" w14:textId="77777777" w:rsidR="00AD409D" w:rsidRPr="00AD409D" w:rsidRDefault="00AD409D" w:rsidP="00AD409D">
      <w:pPr>
        <w:spacing w:after="120" w:line="240" w:lineRule="exact"/>
        <w:ind w:left="283" w:hanging="283"/>
        <w:jc w:val="both"/>
        <w:rPr>
          <w:rFonts w:ascii="FrankRuehl" w:hAnsi="FrankRuehl" w:cs="FrankRuehl"/>
          <w:rtl/>
        </w:rPr>
      </w:pPr>
    </w:p>
    <w:p w14:paraId="720BFAA5" w14:textId="77777777" w:rsidR="00AD409D" w:rsidRPr="00AD409D" w:rsidRDefault="00AD409D" w:rsidP="00AD409D">
      <w:pPr>
        <w:spacing w:after="120" w:line="240" w:lineRule="exact"/>
        <w:ind w:left="283" w:hanging="283"/>
        <w:jc w:val="both"/>
        <w:rPr>
          <w:rFonts w:ascii="FrankRuehl" w:hAnsi="FrankRuehl" w:cs="FrankRuehl"/>
          <w:rtl/>
        </w:rPr>
      </w:pPr>
      <w:r w:rsidRPr="00AD409D">
        <w:rPr>
          <w:rFonts w:ascii="FrankRuehl" w:hAnsi="FrankRuehl" w:cs="FrankRuehl"/>
          <w:rtl/>
        </w:rPr>
        <w:t xml:space="preserve">חקיקה שאוזכרה: </w:t>
      </w:r>
    </w:p>
    <w:p w14:paraId="509B7F1B" w14:textId="77777777" w:rsidR="00AD409D" w:rsidRPr="00AD409D" w:rsidRDefault="00AD409D" w:rsidP="00AD409D">
      <w:pPr>
        <w:spacing w:after="120" w:line="240" w:lineRule="exact"/>
        <w:ind w:left="283" w:hanging="283"/>
        <w:jc w:val="both"/>
        <w:rPr>
          <w:rFonts w:ascii="FrankRuehl" w:hAnsi="FrankRuehl" w:cs="FrankRuehl"/>
          <w:rtl/>
        </w:rPr>
      </w:pPr>
      <w:hyperlink r:id="rId6" w:history="1">
        <w:r w:rsidRPr="00AD409D">
          <w:rPr>
            <w:rFonts w:ascii="FrankRuehl" w:hAnsi="FrankRuehl" w:cs="FrankRuehl"/>
            <w:color w:val="0000FF"/>
            <w:u w:val="single"/>
            <w:rtl/>
          </w:rPr>
          <w:t>פקודת הסמים המסוכנים [נוסח חדש], תשל"ג-1973</w:t>
        </w:r>
      </w:hyperlink>
      <w:r w:rsidRPr="00AD409D">
        <w:rPr>
          <w:rFonts w:ascii="FrankRuehl" w:hAnsi="FrankRuehl" w:cs="FrankRuehl"/>
          <w:rtl/>
        </w:rPr>
        <w:t xml:space="preserve">: סע'  </w:t>
      </w:r>
      <w:hyperlink r:id="rId7" w:history="1">
        <w:r w:rsidRPr="00AD409D">
          <w:rPr>
            <w:rFonts w:ascii="FrankRuehl" w:hAnsi="FrankRuehl" w:cs="FrankRuehl"/>
            <w:color w:val="0000FF"/>
            <w:u w:val="single"/>
            <w:rtl/>
          </w:rPr>
          <w:t>13</w:t>
        </w:r>
      </w:hyperlink>
      <w:r w:rsidRPr="00AD409D">
        <w:rPr>
          <w:rFonts w:ascii="FrankRuehl" w:hAnsi="FrankRuehl" w:cs="FrankRuehl"/>
          <w:rtl/>
        </w:rPr>
        <w:t xml:space="preserve">, </w:t>
      </w:r>
      <w:hyperlink r:id="rId8" w:history="1">
        <w:r w:rsidRPr="00AD409D">
          <w:rPr>
            <w:rFonts w:ascii="FrankRuehl" w:hAnsi="FrankRuehl" w:cs="FrankRuehl"/>
            <w:color w:val="0000FF"/>
            <w:u w:val="single"/>
            <w:rtl/>
          </w:rPr>
          <w:t>19א</w:t>
        </w:r>
      </w:hyperlink>
    </w:p>
    <w:p w14:paraId="78680FB0" w14:textId="77777777" w:rsidR="00AD409D" w:rsidRPr="00AD409D" w:rsidRDefault="00AD409D" w:rsidP="00AD409D">
      <w:pPr>
        <w:spacing w:after="120" w:line="240" w:lineRule="exact"/>
        <w:ind w:left="283" w:hanging="283"/>
        <w:jc w:val="both"/>
        <w:rPr>
          <w:rFonts w:ascii="FrankRuehl" w:hAnsi="FrankRuehl" w:cs="FrankRuehl"/>
          <w:rtl/>
        </w:rPr>
      </w:pPr>
      <w:hyperlink r:id="rId9" w:history="1">
        <w:r w:rsidRPr="00AD409D">
          <w:rPr>
            <w:rFonts w:ascii="FrankRuehl" w:hAnsi="FrankRuehl" w:cs="FrankRuehl"/>
            <w:color w:val="0000FF"/>
            <w:u w:val="single"/>
            <w:rtl/>
          </w:rPr>
          <w:t>חוק העונשין, תשל"ז-1977</w:t>
        </w:r>
      </w:hyperlink>
      <w:r w:rsidRPr="00AD409D">
        <w:rPr>
          <w:rFonts w:ascii="FrankRuehl" w:hAnsi="FrankRuehl" w:cs="FrankRuehl"/>
          <w:rtl/>
        </w:rPr>
        <w:t xml:space="preserve">: סע'  </w:t>
      </w:r>
      <w:hyperlink r:id="rId10" w:history="1">
        <w:r w:rsidRPr="00AD409D">
          <w:rPr>
            <w:rFonts w:ascii="FrankRuehl" w:hAnsi="FrankRuehl" w:cs="FrankRuehl"/>
            <w:color w:val="0000FF"/>
            <w:u w:val="single"/>
            <w:rtl/>
          </w:rPr>
          <w:t>40ג(א)</w:t>
        </w:r>
      </w:hyperlink>
      <w:r w:rsidRPr="00AD409D">
        <w:rPr>
          <w:rFonts w:ascii="FrankRuehl" w:hAnsi="FrankRuehl" w:cs="FrankRuehl"/>
          <w:rtl/>
        </w:rPr>
        <w:t xml:space="preserve">, </w:t>
      </w:r>
      <w:hyperlink r:id="rId11" w:history="1">
        <w:r w:rsidRPr="00AD409D">
          <w:rPr>
            <w:rFonts w:ascii="FrankRuehl" w:hAnsi="FrankRuehl" w:cs="FrankRuehl"/>
            <w:color w:val="0000FF"/>
            <w:u w:val="single"/>
            <w:rtl/>
          </w:rPr>
          <w:t>40ד(א)</w:t>
        </w:r>
      </w:hyperlink>
      <w:r w:rsidRPr="00AD409D">
        <w:rPr>
          <w:rFonts w:ascii="FrankRuehl" w:hAnsi="FrankRuehl" w:cs="FrankRuehl"/>
          <w:rtl/>
        </w:rPr>
        <w:t xml:space="preserve">, </w:t>
      </w:r>
      <w:hyperlink r:id="rId12" w:history="1">
        <w:r w:rsidRPr="00AD409D">
          <w:rPr>
            <w:rFonts w:ascii="FrankRuehl" w:hAnsi="FrankRuehl" w:cs="FrankRuehl"/>
            <w:color w:val="0000FF"/>
            <w:u w:val="single"/>
            <w:rtl/>
          </w:rPr>
          <w:t>40יא</w:t>
        </w:r>
      </w:hyperlink>
    </w:p>
    <w:p w14:paraId="4B2ECDD2" w14:textId="77777777" w:rsidR="00AD409D" w:rsidRPr="00AD409D" w:rsidRDefault="00AD409D" w:rsidP="00AD409D">
      <w:pPr>
        <w:spacing w:after="120" w:line="240" w:lineRule="exact"/>
        <w:ind w:left="283" w:hanging="283"/>
        <w:jc w:val="both"/>
        <w:rPr>
          <w:rFonts w:ascii="FrankRuehl" w:hAnsi="FrankRuehl" w:cs="FrankRuehl"/>
          <w:rtl/>
        </w:rPr>
      </w:pPr>
    </w:p>
    <w:p w14:paraId="5D9AC6EE" w14:textId="77777777" w:rsidR="00FE3915" w:rsidRPr="00AD409D" w:rsidRDefault="00FE3915">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3915" w14:paraId="58666FE3" w14:textId="77777777">
        <w:trPr>
          <w:trHeight w:val="355"/>
          <w:jc w:val="center"/>
        </w:trPr>
        <w:tc>
          <w:tcPr>
            <w:tcW w:w="8820" w:type="dxa"/>
            <w:tcBorders>
              <w:top w:val="nil"/>
              <w:left w:val="nil"/>
              <w:bottom w:val="nil"/>
              <w:right w:val="nil"/>
            </w:tcBorders>
          </w:tcPr>
          <w:p w14:paraId="15CE89E8" w14:textId="77777777" w:rsidR="00732B3F" w:rsidRPr="00732B3F" w:rsidRDefault="00732B3F" w:rsidP="00732B3F">
            <w:pPr>
              <w:jc w:val="center"/>
              <w:rPr>
                <w:rFonts w:ascii="Arial" w:hAnsi="Arial" w:cs="FrankRuehl"/>
                <w:b/>
                <w:bCs/>
                <w:sz w:val="34"/>
                <w:szCs w:val="34"/>
                <w:u w:val="single"/>
                <w:rtl/>
              </w:rPr>
            </w:pPr>
            <w:bookmarkStart w:id="4" w:name="PsakDin" w:colFirst="0" w:colLast="0"/>
            <w:bookmarkEnd w:id="0"/>
            <w:r w:rsidRPr="00732B3F">
              <w:rPr>
                <w:rFonts w:ascii="Arial" w:hAnsi="Arial" w:cs="FrankRuehl"/>
                <w:b/>
                <w:bCs/>
                <w:sz w:val="34"/>
                <w:szCs w:val="34"/>
                <w:u w:val="single"/>
                <w:rtl/>
              </w:rPr>
              <w:t>גזר-דין</w:t>
            </w:r>
          </w:p>
          <w:p w14:paraId="2F8D3CE8" w14:textId="77777777" w:rsidR="00FE3915" w:rsidRPr="00732B3F" w:rsidRDefault="00FE3915" w:rsidP="00732B3F">
            <w:pPr>
              <w:jc w:val="center"/>
              <w:rPr>
                <w:rFonts w:ascii="Arial" w:hAnsi="Arial" w:cs="FrankRuehl"/>
                <w:bCs/>
                <w:sz w:val="34"/>
                <w:szCs w:val="34"/>
                <w:u w:val="single"/>
                <w:rtl/>
              </w:rPr>
            </w:pPr>
          </w:p>
        </w:tc>
      </w:tr>
      <w:bookmarkEnd w:id="4"/>
    </w:tbl>
    <w:p w14:paraId="6CDF4EF9" w14:textId="77777777" w:rsidR="00FE3915" w:rsidRDefault="00FE3915">
      <w:pPr>
        <w:shd w:val="clear" w:color="auto" w:fill="FFFFFF"/>
        <w:spacing w:line="360" w:lineRule="auto"/>
        <w:jc w:val="both"/>
        <w:rPr>
          <w:rFonts w:cs="FrankRuehl"/>
          <w:sz w:val="28"/>
          <w:szCs w:val="28"/>
          <w:u w:val="single"/>
          <w:rtl/>
        </w:rPr>
      </w:pPr>
    </w:p>
    <w:p w14:paraId="4DE59BCB" w14:textId="77777777" w:rsidR="00FE3915" w:rsidRDefault="00732B3F">
      <w:pPr>
        <w:shd w:val="clear" w:color="auto" w:fill="FFFFFF"/>
        <w:spacing w:line="360" w:lineRule="auto"/>
        <w:jc w:val="both"/>
        <w:rPr>
          <w:rtl/>
        </w:rPr>
      </w:pPr>
      <w:r>
        <w:rPr>
          <w:rFonts w:cs="FrankRuehl" w:hint="cs"/>
          <w:sz w:val="28"/>
          <w:szCs w:val="28"/>
          <w:u w:val="single"/>
          <w:rtl/>
        </w:rPr>
        <w:t>רקע</w:t>
      </w:r>
    </w:p>
    <w:p w14:paraId="7C96A5F7"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t>ב</w:t>
      </w:r>
      <w:bookmarkStart w:id="5" w:name="ABSTRACT_START"/>
      <w:bookmarkEnd w:id="5"/>
      <w:r>
        <w:rPr>
          <w:rFonts w:cs="FrankRuehl" w:hint="cs"/>
          <w:sz w:val="28"/>
          <w:szCs w:val="28"/>
          <w:rtl/>
        </w:rPr>
        <w:t xml:space="preserve">יום 19.12.2013 הורשע הנאשם על-יסוד הודאתו שניתנה במסגרת הסדר-טיעון, בעבירה של הספקת סם מסוכן לפי </w:t>
      </w:r>
      <w:hyperlink r:id="rId13" w:history="1">
        <w:r w:rsidR="00AD409D" w:rsidRPr="00AD409D">
          <w:rPr>
            <w:rFonts w:cs="FrankRuehl"/>
            <w:color w:val="0000FF"/>
            <w:sz w:val="28"/>
            <w:szCs w:val="28"/>
            <w:u w:val="single"/>
            <w:rtl/>
          </w:rPr>
          <w:t>סעיף 13</w:t>
        </w:r>
      </w:hyperlink>
      <w:r>
        <w:rPr>
          <w:rFonts w:cs="FrankRuehl" w:hint="cs"/>
          <w:sz w:val="28"/>
          <w:szCs w:val="28"/>
          <w:rtl/>
        </w:rPr>
        <w:t xml:space="preserve"> </w:t>
      </w:r>
      <w:hyperlink r:id="rId14" w:history="1">
        <w:r w:rsidR="00AD409D" w:rsidRPr="00AD409D">
          <w:rPr>
            <w:rFonts w:cs="FrankRuehl"/>
            <w:color w:val="0000FF"/>
            <w:sz w:val="28"/>
            <w:szCs w:val="28"/>
            <w:u w:val="single"/>
            <w:rtl/>
          </w:rPr>
          <w:t>וסעיף 19א</w:t>
        </w:r>
      </w:hyperlink>
      <w:r>
        <w:rPr>
          <w:rFonts w:cs="FrankRuehl" w:hint="cs"/>
          <w:sz w:val="28"/>
          <w:szCs w:val="28"/>
          <w:rtl/>
        </w:rPr>
        <w:t xml:space="preserve"> ל</w:t>
      </w:r>
      <w:hyperlink r:id="rId15" w:history="1">
        <w:r w:rsidRPr="00732B3F">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cs="Miriam" w:hint="cs"/>
          <w:rtl/>
        </w:rPr>
        <w:t>פקודת הסמים</w:t>
      </w:r>
      <w:r>
        <w:rPr>
          <w:rFonts w:cs="FrankRuehl" w:hint="cs"/>
          <w:sz w:val="28"/>
          <w:szCs w:val="28"/>
          <w:rtl/>
        </w:rPr>
        <w:t xml:space="preserve"> או </w:t>
      </w:r>
      <w:r>
        <w:rPr>
          <w:rFonts w:cs="Miriam" w:hint="cs"/>
          <w:rtl/>
        </w:rPr>
        <w:t>הפקודה</w:t>
      </w:r>
      <w:r>
        <w:rPr>
          <w:rFonts w:cs="FrankRuehl" w:hint="cs"/>
          <w:sz w:val="28"/>
          <w:szCs w:val="28"/>
          <w:rtl/>
        </w:rPr>
        <w:t xml:space="preserve">). </w:t>
      </w:r>
    </w:p>
    <w:p w14:paraId="3A69F229" w14:textId="77777777" w:rsidR="00FE3915" w:rsidRDefault="00FE3915">
      <w:pPr>
        <w:shd w:val="clear" w:color="auto" w:fill="FFFFFF"/>
        <w:spacing w:after="120" w:line="360" w:lineRule="auto"/>
        <w:ind w:firstLine="720"/>
        <w:jc w:val="both"/>
        <w:rPr>
          <w:rFonts w:cs="FrankRuehl"/>
          <w:sz w:val="28"/>
          <w:szCs w:val="28"/>
        </w:rPr>
      </w:pPr>
      <w:bookmarkStart w:id="6" w:name="ABSTRACT_END"/>
      <w:bookmarkEnd w:id="6"/>
    </w:p>
    <w:p w14:paraId="0D7BEB6F" w14:textId="77777777" w:rsidR="00FE3915" w:rsidRDefault="00732B3F">
      <w:pPr>
        <w:shd w:val="clear" w:color="auto" w:fill="FFFFFF"/>
        <w:spacing w:after="120" w:line="360" w:lineRule="auto"/>
        <w:ind w:firstLine="720"/>
        <w:jc w:val="both"/>
        <w:rPr>
          <w:rFonts w:cs="FrankRuehl"/>
          <w:sz w:val="28"/>
          <w:szCs w:val="28"/>
          <w:rtl/>
        </w:rPr>
      </w:pPr>
      <w:r>
        <w:rPr>
          <w:rFonts w:cs="FrankRuehl" w:hint="cs"/>
          <w:sz w:val="28"/>
          <w:szCs w:val="28"/>
          <w:rtl/>
        </w:rPr>
        <w:t xml:space="preserve">בהתאם למתואר בעובדות כתב-האישום המתוקן, הנאשם קיבל ביום 9.5.2013 רישיון להחזקה ולשימוש עצמי של סם מסוכן מסוג קנביס, לצורך עישון לשם הקלה על מצב רפואי.וקף הרישיון היה עד יום 1.1.2014. במסגרת קבלת הרישיון הנ"ל, הנאשם הצהיר כי הסם לא ישמש לכל מטרה שלא אושרה ברישיון. אף-על-פי-כן, ביום 13.10.2013, בסמוך לשעה 20:30 בירושלים, סיפק הנאשם דרך עודד מזרחי (להלן: </w:t>
      </w:r>
      <w:r>
        <w:rPr>
          <w:rFonts w:cs="Miriam" w:hint="cs"/>
          <w:rtl/>
        </w:rPr>
        <w:t>עודד</w:t>
      </w:r>
      <w:r>
        <w:rPr>
          <w:rFonts w:cs="FrankRuehl" w:hint="cs"/>
          <w:sz w:val="28"/>
          <w:szCs w:val="28"/>
          <w:rtl/>
        </w:rPr>
        <w:t xml:space="preserve">) לעידן עמיאל (להלן: </w:t>
      </w:r>
      <w:r>
        <w:rPr>
          <w:rFonts w:cs="Miriam" w:hint="cs"/>
          <w:rtl/>
        </w:rPr>
        <w:t>עידן</w:t>
      </w:r>
      <w:r>
        <w:rPr>
          <w:rFonts w:cs="FrankRuehl" w:hint="cs"/>
          <w:sz w:val="28"/>
          <w:szCs w:val="28"/>
          <w:rtl/>
        </w:rPr>
        <w:t xml:space="preserve">) סם מסוכן מסוג קנביס במשקל </w:t>
      </w:r>
      <w:smartTag w:uri="urn:schemas-microsoft-com:office:smarttags" w:element="metricconverter">
        <w:smartTagPr>
          <w:attr w:name="ProductID" w:val="9.93 גרם"/>
        </w:smartTagPr>
        <w:r>
          <w:rPr>
            <w:rFonts w:cs="FrankRuehl" w:hint="cs"/>
            <w:sz w:val="28"/>
            <w:szCs w:val="28"/>
            <w:rtl/>
          </w:rPr>
          <w:t>9.93 גרם</w:t>
        </w:r>
      </w:smartTag>
      <w:r>
        <w:rPr>
          <w:rFonts w:cs="FrankRuehl" w:hint="cs"/>
          <w:sz w:val="28"/>
          <w:szCs w:val="28"/>
          <w:rtl/>
        </w:rPr>
        <w:t xml:space="preserve">, ללא היתר. באותן נסיבות, תיאמו עודד ועידן את פרטי העסקה, לרבות שווי התמורה ומקום המפגש. מיד ובסמוך לאחר מכן, הגיע עידן ביחד עם אחרים לצומת פת, אספו משם את עודד והמשיכו בנסיעה. בשלב מסוים, עצר הרכב בסמוך לאחד הבתים. עודד </w:t>
      </w:r>
      <w:r>
        <w:rPr>
          <w:rFonts w:cs="FrankRuehl" w:hint="cs"/>
          <w:sz w:val="28"/>
          <w:szCs w:val="28"/>
          <w:rtl/>
        </w:rPr>
        <w:lastRenderedPageBreak/>
        <w:t xml:space="preserve">ירד מהרכב ופגש בנאשם. הנאשם העביר לידי עודד את הסם, ובהמשך עודד חזר אל הרכב, ואילו הנאשם התרחק מהמקום. הרכב החל בנסיעה ובמהלכה הועבר הסם לידי עידן, אשר הטמין את הסם במלבושיו. בכל אלה הודה הנאשם, ובגין כך הורשע בעבירה שיוחסה לו. </w:t>
      </w:r>
    </w:p>
    <w:p w14:paraId="6603C150" w14:textId="77777777" w:rsidR="00FE3915" w:rsidRDefault="00FE3915">
      <w:pPr>
        <w:shd w:val="clear" w:color="auto" w:fill="FFFFFF"/>
        <w:spacing w:after="120" w:line="360" w:lineRule="auto"/>
        <w:jc w:val="both"/>
        <w:rPr>
          <w:rFonts w:cs="FrankRuehl"/>
          <w:sz w:val="28"/>
          <w:szCs w:val="28"/>
          <w:rtl/>
        </w:rPr>
      </w:pPr>
    </w:p>
    <w:p w14:paraId="391BF88C"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הסדר-הטיעון בין הצדדים לא כלל הסכמה לעניין העונש, אך הוסכם כי  הנאשם יופנה לשירות המבחן לצורך עריכת תסקיר בעניינו. במסגרת ההליך, הוגשו מספר תסקירים לעיוני. כמו-כן, לבקשת ההגנה, הוגשוּ חווֹת-דעת של הממונה על עבודות השירות.</w:t>
      </w:r>
    </w:p>
    <w:p w14:paraId="011AEE93" w14:textId="77777777" w:rsidR="00FE3915" w:rsidRDefault="00FE3915">
      <w:pPr>
        <w:shd w:val="clear" w:color="auto" w:fill="FFFFFF"/>
        <w:spacing w:after="120" w:line="360" w:lineRule="auto"/>
        <w:jc w:val="both"/>
        <w:rPr>
          <w:rFonts w:cs="FrankRuehl"/>
          <w:sz w:val="28"/>
          <w:szCs w:val="28"/>
          <w:rtl/>
        </w:rPr>
      </w:pPr>
    </w:p>
    <w:p w14:paraId="013F3D78" w14:textId="77777777" w:rsidR="00FE3915" w:rsidRDefault="00732B3F">
      <w:pPr>
        <w:shd w:val="clear" w:color="auto" w:fill="FFFFFF"/>
        <w:spacing w:after="120" w:line="360" w:lineRule="auto"/>
        <w:jc w:val="both"/>
        <w:rPr>
          <w:rFonts w:cs="FrankRuehl"/>
          <w:sz w:val="28"/>
          <w:szCs w:val="28"/>
          <w:u w:val="single"/>
          <w:rtl/>
        </w:rPr>
      </w:pPr>
      <w:r>
        <w:rPr>
          <w:rFonts w:cs="FrankRuehl" w:hint="cs"/>
          <w:sz w:val="28"/>
          <w:szCs w:val="28"/>
          <w:u w:val="single"/>
          <w:rtl/>
        </w:rPr>
        <w:t>תסקירי שירות המבחן</w:t>
      </w:r>
    </w:p>
    <w:p w14:paraId="7225E3AF"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r>
      <w:r>
        <w:rPr>
          <w:rFonts w:cs="FrankRuehl" w:hint="cs"/>
          <w:b/>
          <w:bCs/>
          <w:sz w:val="28"/>
          <w:szCs w:val="28"/>
          <w:rtl/>
        </w:rPr>
        <w:t>מהתסקיר הראשון מיום 16.6.2014</w:t>
      </w:r>
      <w:r>
        <w:rPr>
          <w:rFonts w:cs="FrankRuehl" w:hint="cs"/>
          <w:sz w:val="28"/>
          <w:szCs w:val="28"/>
          <w:rtl/>
        </w:rPr>
        <w:t xml:space="preserve"> עולה כי הנאשם הִנו בן 56, נשוי ואב לשני ילדים בגילאים 21-24, בעל רקע של שימוש באלכוהול וסמים החל מגיל צעיר. הנאשם עבר מספר ניסיונות גמילה בעבר, שלא צלחו. לדברי הנאשם, החל משנת 2003 ועד מעצרו בתיק זה, השתתף לסירוגין בקבוצת תמיכה למכורים נקיים. בין השנים 1977 עד 2008 ריצה הנאשם תקופות מאסר ממושכות בגין עבירות סמים ורכוש. הנאשם מוּכר מזה כ- 10 שנים למוסד לביטוח לאומי על רקע מצבו הבריאותי (לרבות שחיקת סחוס במפרקים, פריצת דיסק ושני התקפי לב). בשנים האחרונות, צורך הנאשם סם מסוג קנביס כאמצעי לשיכוך כאבים, וכיום הוא מטופל בקנביס רפואי ברישיון. </w:t>
      </w:r>
    </w:p>
    <w:p w14:paraId="329C93AA" w14:textId="77777777" w:rsidR="00FE3915" w:rsidRDefault="00FE3915">
      <w:pPr>
        <w:shd w:val="clear" w:color="auto" w:fill="FFFFFF"/>
        <w:spacing w:after="120" w:line="360" w:lineRule="auto"/>
        <w:jc w:val="both"/>
        <w:rPr>
          <w:rFonts w:cs="FrankRuehl"/>
          <w:sz w:val="28"/>
          <w:szCs w:val="28"/>
          <w:rtl/>
        </w:rPr>
      </w:pPr>
    </w:p>
    <w:p w14:paraId="3BD9BF3E"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ab/>
        <w:t>בכל הנוגע לעבירה - הנאשם לקח אחריות על ביצועה והביע חרטה על מעשיו. הנאשם סיפר כי באותה תקופה נהג לעשן את הקנביס הרפואי בחברת אנשים בעלי עבר פלילי, והתקשה לסרב לחבר שהיה מעוניין בקנביס.</w:t>
      </w:r>
    </w:p>
    <w:p w14:paraId="2B8A893D" w14:textId="77777777" w:rsidR="00FE3915" w:rsidRDefault="00FE3915">
      <w:pPr>
        <w:shd w:val="clear" w:color="auto" w:fill="FFFFFF"/>
        <w:spacing w:after="120" w:line="360" w:lineRule="auto"/>
        <w:jc w:val="both"/>
        <w:rPr>
          <w:rFonts w:cs="FrankRuehl"/>
          <w:sz w:val="28"/>
          <w:szCs w:val="28"/>
          <w:rtl/>
        </w:rPr>
      </w:pPr>
    </w:p>
    <w:p w14:paraId="7CBFA938"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ab/>
        <w:t xml:space="preserve">בכל הנוגע להערכת הסיכון - לדעת שירות המבחן, השימוש בסמים מגיל צעיר והמעורבות בפלילים לאורך השנים, מהווים גורמי סיכון להישנות ההתנהגות העבריינית. לצד זאת, לקיחת האחריות והמאמצים שמשקיע הנאשם לשיפור תפקודו המשפחתי, מהווים גורמי סיכוי לשיקום.  </w:t>
      </w:r>
    </w:p>
    <w:p w14:paraId="5FCBD529" w14:textId="77777777" w:rsidR="00FE3915" w:rsidRDefault="00FE3915">
      <w:pPr>
        <w:shd w:val="clear" w:color="auto" w:fill="FFFFFF"/>
        <w:spacing w:after="120" w:line="360" w:lineRule="auto"/>
        <w:jc w:val="both"/>
        <w:rPr>
          <w:rFonts w:cs="FrankRuehl"/>
          <w:sz w:val="28"/>
          <w:szCs w:val="28"/>
          <w:u w:val="single"/>
          <w:rtl/>
        </w:rPr>
      </w:pPr>
    </w:p>
    <w:p w14:paraId="29BD5DA3"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ab/>
        <w:t xml:space="preserve">אשר להמלצה - שירות המבחן התרשם כי הנאשם אינו מכיר במוקדי סיכון המאפיינים את אורחות חייו ועלולים להוביל לביצוע עבירות חוזרות. זאת ועוד; הנאשם לא ביטא מוטיבציה להסתייע בשירות המבחן כגורם טיפולי. נוכח מצבו הרפואי המורכב של הנאשם, סבור שירות </w:t>
      </w:r>
      <w:r>
        <w:rPr>
          <w:rFonts w:cs="FrankRuehl" w:hint="cs"/>
          <w:sz w:val="28"/>
          <w:szCs w:val="28"/>
          <w:rtl/>
        </w:rPr>
        <w:lastRenderedPageBreak/>
        <w:t>המבחן כי הנאשם אינו מתאים לעונש מוחשי, וכי עונש מאסר בפועל עלול להוביל לנסיגה במצבו. בהתחשב בכך ונוכח המצב הבריאותי, המליץ שירות המבחן להסתפק במאסר מותנה וקנס.</w:t>
      </w:r>
    </w:p>
    <w:p w14:paraId="60BE0497" w14:textId="77777777" w:rsidR="00FE3915" w:rsidRDefault="00FE3915">
      <w:pPr>
        <w:shd w:val="clear" w:color="auto" w:fill="FFFFFF"/>
        <w:spacing w:after="120" w:line="360" w:lineRule="auto"/>
        <w:jc w:val="both"/>
        <w:rPr>
          <w:rFonts w:cs="FrankRuehl"/>
          <w:sz w:val="28"/>
          <w:szCs w:val="28"/>
          <w:u w:val="single"/>
          <w:rtl/>
        </w:rPr>
      </w:pPr>
    </w:p>
    <w:p w14:paraId="74C2EE8B"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בדיונים שהתקיימו לפניי ביום 23.6.2014 וביום 27.10.2014, הביע הנאשם נכונות לטיפול התנהגותי (יוער כי על-פני הדברים, אין מקום לטיפול גמילה מסמים, עקב כך שהנאשם מטופל בקנביס רפואי). לפיכך, התבקש שירות המבחן להגיש תסקיר משלים בעניין.</w:t>
      </w:r>
    </w:p>
    <w:p w14:paraId="75463497" w14:textId="77777777" w:rsidR="00FE3915" w:rsidRDefault="00FE3915">
      <w:pPr>
        <w:shd w:val="clear" w:color="auto" w:fill="FFFFFF"/>
        <w:spacing w:after="120" w:line="360" w:lineRule="auto"/>
        <w:jc w:val="both"/>
        <w:rPr>
          <w:rFonts w:cs="FrankRuehl"/>
          <w:sz w:val="28"/>
          <w:szCs w:val="28"/>
          <w:rtl/>
        </w:rPr>
      </w:pPr>
    </w:p>
    <w:p w14:paraId="215C8CDA"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r>
      <w:r>
        <w:rPr>
          <w:rFonts w:cs="FrankRuehl" w:hint="cs"/>
          <w:b/>
          <w:bCs/>
          <w:sz w:val="28"/>
          <w:szCs w:val="28"/>
          <w:rtl/>
        </w:rPr>
        <w:t>בתסקיר המשלים מיום 6.1.2015</w:t>
      </w:r>
      <w:r>
        <w:rPr>
          <w:rFonts w:cs="FrankRuehl" w:hint="cs"/>
          <w:sz w:val="28"/>
          <w:szCs w:val="28"/>
          <w:rtl/>
        </w:rPr>
        <w:t xml:space="preserve"> ציין שירות המבחן כי הנאשם מביע רצון ראשוני להתערבות טיפולית כדי לחזק דימוי עצמי ולרכוֹש כלים שיסייעו לו בניקיון מסמי רחוב. עם זאת, שירות המבחן הוסיף וציין כי לפי התרשמותו, הנאשם מביע מוטיבציה מילולית להשתלבות בטיפול על רקע ההליך המשפטי. מכל מקום, שירות המבחן ניסה לבחון אפשרות למסלול טיפולי בעניינו של הנאשם, וביקש דחייה לצורך כך.</w:t>
      </w:r>
    </w:p>
    <w:p w14:paraId="769454BE" w14:textId="77777777" w:rsidR="00FE3915" w:rsidRDefault="00FE3915">
      <w:pPr>
        <w:shd w:val="clear" w:color="auto" w:fill="FFFFFF"/>
        <w:spacing w:after="120" w:line="360" w:lineRule="auto"/>
        <w:jc w:val="both"/>
        <w:rPr>
          <w:rFonts w:cs="FrankRuehl"/>
          <w:sz w:val="28"/>
          <w:szCs w:val="28"/>
          <w:rtl/>
        </w:rPr>
      </w:pPr>
    </w:p>
    <w:p w14:paraId="3383FD27"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r>
      <w:r>
        <w:rPr>
          <w:rFonts w:cs="FrankRuehl" w:hint="cs"/>
          <w:b/>
          <w:bCs/>
          <w:sz w:val="28"/>
          <w:szCs w:val="28"/>
          <w:rtl/>
        </w:rPr>
        <w:t>בתסקיר האחרון מיום 12.2.2015</w:t>
      </w:r>
      <w:r>
        <w:rPr>
          <w:rFonts w:cs="FrankRuehl" w:hint="cs"/>
          <w:sz w:val="28"/>
          <w:szCs w:val="28"/>
          <w:rtl/>
        </w:rPr>
        <w:t xml:space="preserve"> עדכן שירות המבחן כי עשה ניסיון לשלב את הנאשם ביחידת של"מ, וכן ב"מכון הירושלמי לתחלואה כפולה". שני המוסדות האמורים לא יכלו לקבל את הנאשם לטיפול במסגרתם, עקב השימוש של הנאשם בקנביס רפואי. בהעדר מסגרת טיפולית המאפשרת את שילוב הנאשם בה, לא בא שירות המבחן בהמלצה טיפולית בעניינוֹ של הנאשם.</w:t>
      </w:r>
    </w:p>
    <w:p w14:paraId="69938C05" w14:textId="77777777" w:rsidR="00FE3915" w:rsidRDefault="00FE3915">
      <w:pPr>
        <w:shd w:val="clear" w:color="auto" w:fill="FFFFFF"/>
        <w:spacing w:after="120" w:line="360" w:lineRule="auto"/>
        <w:jc w:val="both"/>
        <w:rPr>
          <w:rFonts w:cs="FrankRuehl"/>
          <w:sz w:val="28"/>
          <w:szCs w:val="28"/>
          <w:u w:val="single"/>
          <w:rtl/>
        </w:rPr>
      </w:pPr>
    </w:p>
    <w:p w14:paraId="5C6F8743" w14:textId="77777777" w:rsidR="00FE3915" w:rsidRDefault="00732B3F">
      <w:pPr>
        <w:shd w:val="clear" w:color="auto" w:fill="FFFFFF"/>
        <w:spacing w:after="120" w:line="360" w:lineRule="auto"/>
        <w:jc w:val="both"/>
        <w:rPr>
          <w:rFonts w:cs="FrankRuehl"/>
          <w:sz w:val="28"/>
          <w:szCs w:val="28"/>
          <w:u w:val="single"/>
          <w:rtl/>
        </w:rPr>
      </w:pPr>
      <w:r>
        <w:rPr>
          <w:rFonts w:cs="FrankRuehl" w:hint="cs"/>
          <w:sz w:val="28"/>
          <w:szCs w:val="28"/>
          <w:u w:val="single"/>
          <w:rtl/>
        </w:rPr>
        <w:t>חוות-דעת הממונה על עבודות השירות</w:t>
      </w:r>
    </w:p>
    <w:p w14:paraId="3DA50150"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t>מחוות-דעת הממונה עולה כי הנאשם נמצא כשיר לביצוע עבודות שירות, אך זאת במגבלות עקב מצבו הרפואי. אוּתר מקום אחד בו ניתן לשבץ את הנאשם לביצוע עבודות שירות בשים לב למגבלותיו הרפואיות. הובהר בחוות-הדעת כי במידה שהנאשם לא יעמוד בתנאי המקום, לא תהיה אפשרות לאתר עבוּרוֹ מקום חלופי.</w:t>
      </w:r>
    </w:p>
    <w:p w14:paraId="7E302A15" w14:textId="77777777" w:rsidR="00FE3915" w:rsidRDefault="00FE3915">
      <w:pPr>
        <w:shd w:val="clear" w:color="auto" w:fill="FFFFFF"/>
        <w:spacing w:after="120" w:line="360" w:lineRule="auto"/>
        <w:jc w:val="both"/>
        <w:rPr>
          <w:rFonts w:cs="FrankRuehl"/>
          <w:sz w:val="28"/>
          <w:szCs w:val="28"/>
          <w:rtl/>
        </w:rPr>
      </w:pPr>
    </w:p>
    <w:p w14:paraId="18CB6789" w14:textId="77777777" w:rsidR="00FE3915" w:rsidRDefault="00732B3F">
      <w:pPr>
        <w:shd w:val="clear" w:color="auto" w:fill="FFFFFF"/>
        <w:spacing w:after="120" w:line="360" w:lineRule="auto"/>
        <w:jc w:val="both"/>
        <w:rPr>
          <w:rtl/>
        </w:rPr>
      </w:pPr>
      <w:r>
        <w:rPr>
          <w:rFonts w:cs="FrankRuehl" w:hint="cs"/>
          <w:sz w:val="28"/>
          <w:szCs w:val="28"/>
          <w:u w:val="single"/>
          <w:rtl/>
        </w:rPr>
        <w:t xml:space="preserve">טיעוני הצדדים לעונש </w:t>
      </w:r>
    </w:p>
    <w:p w14:paraId="4E4FA8A4"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8.</w:t>
      </w:r>
      <w:r>
        <w:rPr>
          <w:rFonts w:cs="FrankRuehl" w:hint="cs"/>
          <w:sz w:val="28"/>
          <w:szCs w:val="28"/>
          <w:rtl/>
        </w:rPr>
        <w:tab/>
        <w:t xml:space="preserve">המאשימה עמדה על חומרת המעשים בגינם הורשע הנאשם ועל הערכים המוגנים שנפגעו בגין כך. לגישת המאשימה, מתחם העונש ההולם לעבירה של הספקת סם מסוכן בנסיבות המקרה דנן, נע בין 6 ל- 12 חודשי מאסר בפועל. בנסיבות העניין, עתרה המאשימה להטיל על הנאשם עונש המצוי ברף הגבוה (לא פחות מ- 10 חודשי מאסר בפועל); מאסר מותנה; ופסילת רישיון נהיגה. </w:t>
      </w:r>
    </w:p>
    <w:p w14:paraId="61058C6B" w14:textId="77777777" w:rsidR="00FE3915" w:rsidRDefault="00FE3915">
      <w:pPr>
        <w:shd w:val="clear" w:color="auto" w:fill="FFFFFF"/>
        <w:spacing w:after="120" w:line="360" w:lineRule="auto"/>
        <w:jc w:val="both"/>
        <w:rPr>
          <w:rFonts w:cs="FrankRuehl"/>
          <w:sz w:val="28"/>
          <w:szCs w:val="28"/>
          <w:highlight w:val="magenta"/>
          <w:rtl/>
        </w:rPr>
      </w:pPr>
    </w:p>
    <w:p w14:paraId="2CE8D3D7"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9.</w:t>
      </w:r>
      <w:r>
        <w:rPr>
          <w:rFonts w:cs="FrankRuehl" w:hint="cs"/>
          <w:sz w:val="28"/>
          <w:szCs w:val="28"/>
          <w:rtl/>
        </w:rPr>
        <w:tab/>
        <w:t>מנגד, באת-כוח הנאשם עמדה על הנסיבות לקולא בעניין מרשהּ, ועתרה להטלת עונש מאסר בפועל לריצוי בדרך של עבודות שירות. הנאשם טען כי עשה טעות והוא מתחרט על כך, וביקש לקבל אפשרות לריצוי עונש מאסר בפועל שלא בין כותלי הכלא.</w:t>
      </w:r>
    </w:p>
    <w:p w14:paraId="7B13B951" w14:textId="77777777" w:rsidR="00FE3915" w:rsidRDefault="00732B3F">
      <w:pPr>
        <w:shd w:val="clear" w:color="auto" w:fill="FFFFFF"/>
        <w:spacing w:after="120" w:line="360" w:lineRule="auto"/>
        <w:jc w:val="both"/>
        <w:rPr>
          <w:rtl/>
        </w:rPr>
      </w:pPr>
      <w:r>
        <w:rPr>
          <w:rFonts w:cs="FrankRuehl" w:hint="cs"/>
          <w:sz w:val="28"/>
          <w:szCs w:val="28"/>
          <w:rtl/>
        </w:rPr>
        <w:tab/>
      </w:r>
    </w:p>
    <w:p w14:paraId="3EB94CF1" w14:textId="77777777" w:rsidR="00FE3915" w:rsidRDefault="00732B3F">
      <w:pPr>
        <w:shd w:val="clear" w:color="auto" w:fill="FFFFFF"/>
        <w:spacing w:after="120" w:line="360" w:lineRule="auto"/>
        <w:jc w:val="both"/>
        <w:rPr>
          <w:rFonts w:cs="FrankRuehl"/>
          <w:sz w:val="28"/>
          <w:szCs w:val="28"/>
          <w:u w:val="single"/>
          <w:rtl/>
        </w:rPr>
      </w:pPr>
      <w:r>
        <w:rPr>
          <w:rFonts w:cs="FrankRuehl" w:hint="cs"/>
          <w:sz w:val="28"/>
          <w:szCs w:val="28"/>
          <w:u w:val="single"/>
          <w:rtl/>
        </w:rPr>
        <w:t>מתחם העונש ההולם</w:t>
      </w:r>
    </w:p>
    <w:p w14:paraId="65C97E68" w14:textId="77777777" w:rsidR="00FE3915" w:rsidRDefault="00732B3F">
      <w:pPr>
        <w:shd w:val="clear" w:color="auto" w:fill="FFFFFF"/>
        <w:spacing w:after="120" w:line="360" w:lineRule="auto"/>
        <w:jc w:val="both"/>
        <w:rPr>
          <w:rtl/>
        </w:rPr>
      </w:pPr>
      <w:r>
        <w:rPr>
          <w:rFonts w:cs="FrankRuehl" w:hint="cs"/>
          <w:sz w:val="28"/>
          <w:szCs w:val="28"/>
          <w:rtl/>
        </w:rPr>
        <w:t>10.</w:t>
      </w:r>
      <w:r>
        <w:rPr>
          <w:rFonts w:cs="FrankRuehl" w:hint="cs"/>
          <w:sz w:val="28"/>
          <w:szCs w:val="28"/>
          <w:rtl/>
        </w:rPr>
        <w:tab/>
      </w:r>
      <w:r>
        <w:rPr>
          <w:rFonts w:ascii="Calibri" w:hAnsi="Calibri" w:cs="FrankRuehl" w:hint="cs"/>
          <w:sz w:val="28"/>
          <w:szCs w:val="28"/>
          <w:rtl/>
        </w:rPr>
        <w:t xml:space="preserve">על-פי </w:t>
      </w:r>
      <w:hyperlink r:id="rId16" w:history="1">
        <w:r w:rsidR="00AD409D" w:rsidRPr="00AD409D">
          <w:rPr>
            <w:rFonts w:ascii="Calibri" w:hAnsi="Calibri" w:cs="FrankRuehl" w:hint="eastAsia"/>
            <w:color w:val="0000FF"/>
            <w:sz w:val="28"/>
            <w:szCs w:val="28"/>
            <w:u w:val="single"/>
            <w:rtl/>
          </w:rPr>
          <w:t>סעיף</w:t>
        </w:r>
        <w:r w:rsidR="00AD409D" w:rsidRPr="00AD409D">
          <w:rPr>
            <w:rFonts w:ascii="Calibri" w:hAnsi="Calibri" w:cs="FrankRuehl"/>
            <w:color w:val="0000FF"/>
            <w:sz w:val="28"/>
            <w:szCs w:val="28"/>
            <w:u w:val="single"/>
            <w:rtl/>
          </w:rPr>
          <w:t xml:space="preserve"> 40</w:t>
        </w:r>
        <w:r w:rsidR="00AD409D" w:rsidRPr="00AD409D">
          <w:rPr>
            <w:rFonts w:ascii="Calibri" w:hAnsi="Calibri" w:cs="FrankRuehl" w:hint="eastAsia"/>
            <w:color w:val="0000FF"/>
            <w:sz w:val="28"/>
            <w:szCs w:val="28"/>
            <w:u w:val="single"/>
            <w:rtl/>
          </w:rPr>
          <w:t>ג</w:t>
        </w:r>
        <w:r w:rsidR="00AD409D" w:rsidRPr="00AD409D">
          <w:rPr>
            <w:rFonts w:ascii="Calibri" w:hAnsi="Calibri" w:cs="FrankRuehl"/>
            <w:color w:val="0000FF"/>
            <w:sz w:val="28"/>
            <w:szCs w:val="28"/>
            <w:u w:val="single"/>
            <w:rtl/>
          </w:rPr>
          <w:t>(</w:t>
        </w:r>
        <w:r w:rsidR="00AD409D" w:rsidRPr="00AD409D">
          <w:rPr>
            <w:rFonts w:ascii="Calibri" w:hAnsi="Calibri" w:cs="FrankRuehl" w:hint="eastAsia"/>
            <w:color w:val="0000FF"/>
            <w:sz w:val="28"/>
            <w:szCs w:val="28"/>
            <w:u w:val="single"/>
            <w:rtl/>
          </w:rPr>
          <w:t>א</w:t>
        </w:r>
        <w:r w:rsidR="00AD409D" w:rsidRPr="00AD409D">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17" w:history="1">
        <w:r w:rsidRPr="00732B3F">
          <w:rPr>
            <w:rFonts w:ascii="Calibri" w:hAnsi="Calibri" w:cs="FrankRuehl" w:hint="eastAsia"/>
            <w:color w:val="0000FF"/>
            <w:sz w:val="28"/>
            <w:szCs w:val="28"/>
            <w:u w:val="single"/>
            <w:rtl/>
          </w:rPr>
          <w:t>חוק</w:t>
        </w:r>
        <w:r w:rsidRPr="00732B3F">
          <w:rPr>
            <w:rFonts w:ascii="Calibri" w:hAnsi="Calibri" w:cs="FrankRuehl"/>
            <w:color w:val="0000FF"/>
            <w:sz w:val="28"/>
            <w:szCs w:val="28"/>
            <w:u w:val="single"/>
            <w:rtl/>
          </w:rPr>
          <w:t xml:space="preserve"> </w:t>
        </w:r>
        <w:r w:rsidRPr="00732B3F">
          <w:rPr>
            <w:rFonts w:ascii="Calibri" w:hAnsi="Calibri" w:cs="FrankRuehl" w:hint="eastAsia"/>
            <w:color w:val="0000FF"/>
            <w:sz w:val="28"/>
            <w:szCs w:val="28"/>
            <w:u w:val="single"/>
            <w:rtl/>
          </w:rPr>
          <w:t>העונשין</w:t>
        </w:r>
      </w:hyperlink>
      <w:r>
        <w:rPr>
          <w:rFonts w:ascii="Calibri" w:hAnsi="Calibri" w:cs="FrankRuehl" w:hint="cs"/>
          <w:sz w:val="28"/>
          <w:szCs w:val="28"/>
          <w:rtl/>
        </w:rPr>
        <w:t>, יש לקבוע את מתחם העונש ההולם את מעשה העבירה בהתאם לעקרון ההלימה, תוך התחשבות בערך החברתי שנפגע, במידת הפגיעה בו, בנסיבות הקשורות בביצוע העבירה ובמדיניות הענישה הנהוגה.</w:t>
      </w:r>
      <w:r>
        <w:rPr>
          <w:rFonts w:cs="FrankRuehl" w:hint="cs"/>
          <w:sz w:val="28"/>
          <w:szCs w:val="28"/>
          <w:rtl/>
        </w:rPr>
        <w:tab/>
      </w:r>
    </w:p>
    <w:p w14:paraId="7E035935" w14:textId="77777777" w:rsidR="00FE3915" w:rsidRDefault="00FE3915">
      <w:pPr>
        <w:shd w:val="clear" w:color="auto" w:fill="FFFFFF"/>
        <w:spacing w:after="120" w:line="360" w:lineRule="auto"/>
        <w:jc w:val="both"/>
        <w:rPr>
          <w:rtl/>
        </w:rPr>
      </w:pPr>
    </w:p>
    <w:p w14:paraId="61824901"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11.</w:t>
      </w:r>
      <w:r>
        <w:rPr>
          <w:rFonts w:cs="FrankRuehl" w:hint="cs"/>
          <w:sz w:val="28"/>
          <w:szCs w:val="28"/>
          <w:rtl/>
        </w:rPr>
        <w:tab/>
        <w:t xml:space="preserve">בהתאם להסדר הסטטוטורי הקבוע </w:t>
      </w:r>
      <w:hyperlink r:id="rId18" w:history="1">
        <w:r w:rsidR="00AD409D" w:rsidRPr="00AD409D">
          <w:rPr>
            <w:rFonts w:cs="FrankRuehl"/>
            <w:color w:val="0000FF"/>
            <w:sz w:val="28"/>
            <w:szCs w:val="28"/>
            <w:u w:val="single"/>
            <w:rtl/>
          </w:rPr>
          <w:t>בסעיף 13</w:t>
        </w:r>
      </w:hyperlink>
      <w:r>
        <w:rPr>
          <w:rFonts w:cs="FrankRuehl" w:hint="cs"/>
          <w:sz w:val="28"/>
          <w:szCs w:val="28"/>
          <w:rtl/>
        </w:rPr>
        <w:t xml:space="preserve"> לפקודת הסמים, העבירה של הספקת סם מסוכן, בין בתמורה ובין שלא בתמורה, ניצבת בשורה אחת עם העבירות של ייבוא, ייצוא וסחר בסמים. </w:t>
      </w:r>
      <w:r>
        <w:rPr>
          <w:rFonts w:ascii="Calibri" w:hAnsi="Calibri" w:cs="FrankRuehl" w:hint="cs"/>
          <w:sz w:val="28"/>
          <w:szCs w:val="28"/>
          <w:rtl/>
        </w:rPr>
        <w:t>המחוקק</w:t>
      </w:r>
      <w:r>
        <w:rPr>
          <w:rFonts w:cs="FrankRuehl" w:hint="cs"/>
          <w:sz w:val="28"/>
          <w:szCs w:val="28"/>
          <w:rtl/>
        </w:rPr>
        <w:t xml:space="preserve"> נתן דעתו לחומרתן של עבירות אלה והעמיד את העונש המקסימאלי בגינן על 20 שנות מאסר בפועל. העבירה של הספקת סמים פוגעת </w:t>
      </w:r>
      <w:r>
        <w:rPr>
          <w:rFonts w:cs="FrankRuehl" w:hint="cs"/>
          <w:b/>
          <w:bCs/>
          <w:sz w:val="28"/>
          <w:szCs w:val="28"/>
          <w:rtl/>
        </w:rPr>
        <w:t>בערכים חברתיים מהותיים</w:t>
      </w:r>
      <w:r>
        <w:rPr>
          <w:rFonts w:cs="FrankRuehl" w:hint="cs"/>
          <w:sz w:val="28"/>
          <w:szCs w:val="28"/>
          <w:rtl/>
        </w:rPr>
        <w:t xml:space="preserve"> שעניינם שמירה על שלטון החוק ושלום הציבור, וכן הגנה על חוסנה של החברה מפני נזקים הנגרמים עקב שימוש בסמים, הן לאוכלוסיית המשתמשים עצמם והן לציבור בכללותו. בתי-המשפט עמדו שוב ושוב בפסיקותיהם על הצורך להיאבק בנגע הסמים, בין היתר על-ידי השתת ענישה מחמירה ומרתיעה על הנוטלים חלק במערך הספקת הסם והפצתו.</w:t>
      </w:r>
    </w:p>
    <w:p w14:paraId="5E3783DA" w14:textId="77777777" w:rsidR="00FE3915" w:rsidRDefault="00FE3915">
      <w:pPr>
        <w:shd w:val="clear" w:color="auto" w:fill="FFFFFF"/>
        <w:spacing w:after="120" w:line="360" w:lineRule="auto"/>
        <w:jc w:val="both"/>
        <w:rPr>
          <w:rFonts w:cs="FrankRuehl"/>
          <w:sz w:val="28"/>
          <w:szCs w:val="28"/>
          <w:rtl/>
        </w:rPr>
      </w:pPr>
    </w:p>
    <w:p w14:paraId="12CA2FE5" w14:textId="77777777" w:rsidR="00FE3915" w:rsidRDefault="00732B3F">
      <w:pPr>
        <w:shd w:val="clear" w:color="auto" w:fill="FFFFFF"/>
        <w:spacing w:after="120" w:line="360" w:lineRule="auto"/>
        <w:ind w:firstLine="720"/>
        <w:jc w:val="both"/>
        <w:rPr>
          <w:rFonts w:cs="FrankRuehl"/>
          <w:sz w:val="28"/>
          <w:szCs w:val="28"/>
          <w:rtl/>
        </w:rPr>
      </w:pPr>
      <w:r>
        <w:rPr>
          <w:rFonts w:cs="FrankRuehl" w:hint="cs"/>
          <w:sz w:val="28"/>
          <w:szCs w:val="28"/>
          <w:rtl/>
        </w:rPr>
        <w:t>אשר ל</w:t>
      </w:r>
      <w:r>
        <w:rPr>
          <w:rFonts w:cs="FrankRuehl" w:hint="cs"/>
          <w:b/>
          <w:bCs/>
          <w:sz w:val="28"/>
          <w:szCs w:val="28"/>
          <w:rtl/>
        </w:rPr>
        <w:t xml:space="preserve">נסיבות ביצוע העבירה </w:t>
      </w:r>
      <w:r>
        <w:rPr>
          <w:rFonts w:cs="FrankRuehl" w:hint="cs"/>
          <w:sz w:val="28"/>
          <w:szCs w:val="28"/>
          <w:rtl/>
        </w:rPr>
        <w:t xml:space="preserve">במקרה דנן - </w:t>
      </w:r>
      <w:r>
        <w:rPr>
          <w:rFonts w:cs="Miriam" w:hint="cs"/>
          <w:rtl/>
        </w:rPr>
        <w:t>מחד גיסא</w:t>
      </w:r>
      <w:r>
        <w:rPr>
          <w:rFonts w:cs="FrankRuehl" w:hint="cs"/>
          <w:sz w:val="28"/>
          <w:szCs w:val="28"/>
          <w:rtl/>
        </w:rPr>
        <w:t xml:space="preserve">, הנאשם ניצל לרעה את היותו מחזיק בקנביס ברישיון בשל מצבו הרפואי, הפר את תנאי הרישיון, וסיפק את הסם לאדם אחר (עודד) שמכר את הסם תמורת כסף לאדם שלישי (עידן). מעשיו את הנאשם הפרו את האמון שניתן בו כאשר קיבל לידיו קנביס ברישיון, והובילוּ לכך שהסם עבר לידיים אחרות שסחרו בסם באופן לא חוקי. </w:t>
      </w:r>
      <w:r>
        <w:rPr>
          <w:rFonts w:cs="Miriam" w:hint="cs"/>
          <w:rtl/>
        </w:rPr>
        <w:t>מאידך גיסא</w:t>
      </w:r>
      <w:r>
        <w:rPr>
          <w:rFonts w:cs="FrankRuehl" w:hint="cs"/>
          <w:sz w:val="28"/>
          <w:szCs w:val="28"/>
          <w:rtl/>
        </w:rPr>
        <w:t>, מדובר בסם מסוג קנביס, אשר אינו נחשב מן הסמים ה"קשים" וכמותו לא היתה גדולה (קרוב לעשרה גרם). מלכתחילה, הנאשם החזיק בסם כדין, עקב הרישיון לקנביס רפואי. מדובר באירוע בודד, כאשר במסגרת עובדות כתב-האישום המתוקן בהן הודה הנאשם, לא מיוחס לו כי הוא עצמו קיבל תמורה (כספית או אחרת) עבור הסם שסיפק לאותו אחר שסחר בו.</w:t>
      </w:r>
    </w:p>
    <w:p w14:paraId="719C14AB" w14:textId="77777777" w:rsidR="00FE3915" w:rsidRDefault="00FE3915">
      <w:pPr>
        <w:shd w:val="clear" w:color="auto" w:fill="FFFFFF"/>
        <w:spacing w:after="120" w:line="360" w:lineRule="auto"/>
        <w:jc w:val="both"/>
        <w:rPr>
          <w:rtl/>
        </w:rPr>
      </w:pPr>
    </w:p>
    <w:p w14:paraId="0BD1D1F8" w14:textId="77777777" w:rsidR="00FE3915" w:rsidRDefault="00732B3F">
      <w:pPr>
        <w:shd w:val="clear" w:color="auto" w:fill="FFFFFF"/>
        <w:spacing w:after="120" w:line="360" w:lineRule="auto"/>
        <w:jc w:val="both"/>
        <w:rPr>
          <w:rtl/>
        </w:rPr>
      </w:pPr>
      <w:r>
        <w:rPr>
          <w:rFonts w:cs="FrankRuehl" w:hint="cs"/>
          <w:sz w:val="28"/>
          <w:szCs w:val="28"/>
          <w:rtl/>
        </w:rPr>
        <w:t>12.</w:t>
      </w:r>
      <w:r>
        <w:rPr>
          <w:rFonts w:cs="FrankRuehl" w:hint="cs"/>
          <w:sz w:val="28"/>
          <w:szCs w:val="28"/>
          <w:rtl/>
        </w:rPr>
        <w:tab/>
        <w:t xml:space="preserve">בהתחשב בעקרון ההלימה המהווה עקרון מנחה בענישה; בשים לב לעוצמת הפגיעה בערכים המוגנים; בהתחשב בחומרת העבירה ונסיבות ביצועה; וכן בהתחשב במדיניות הענישה הנוהגת בגין העבירה הנדונה; אני סבורה כי </w:t>
      </w:r>
      <w:r>
        <w:rPr>
          <w:rFonts w:cs="FrankRuehl" w:hint="cs"/>
          <w:b/>
          <w:bCs/>
          <w:sz w:val="28"/>
          <w:szCs w:val="28"/>
          <w:rtl/>
        </w:rPr>
        <w:t>מתחם העונש ההולם נע ממאסר קצר בפועל (שבנסיבות מתאימות, ניתן לשקול את ריצויוֹ בעבודות שירות) ועד 12 חודשי מאסר בפועל.</w:t>
      </w:r>
      <w:r>
        <w:rPr>
          <w:rFonts w:cs="FrankRuehl" w:hint="cs"/>
          <w:sz w:val="28"/>
          <w:szCs w:val="28"/>
          <w:rtl/>
        </w:rPr>
        <w:t xml:space="preserve"> </w:t>
      </w:r>
    </w:p>
    <w:p w14:paraId="0B70D5AA" w14:textId="77777777" w:rsidR="00FE3915" w:rsidRDefault="00FE3915">
      <w:pPr>
        <w:shd w:val="clear" w:color="auto" w:fill="FFFFFF"/>
        <w:spacing w:after="120" w:line="360" w:lineRule="auto"/>
        <w:jc w:val="both"/>
        <w:rPr>
          <w:rFonts w:cs="FrankRuehl"/>
          <w:sz w:val="28"/>
          <w:szCs w:val="28"/>
          <w:u w:val="single"/>
          <w:rtl/>
        </w:rPr>
      </w:pPr>
    </w:p>
    <w:p w14:paraId="02C18193" w14:textId="77777777" w:rsidR="00FE3915" w:rsidRDefault="00732B3F">
      <w:pPr>
        <w:shd w:val="clear" w:color="auto" w:fill="FFFFFF"/>
        <w:spacing w:after="120" w:line="360" w:lineRule="auto"/>
        <w:jc w:val="both"/>
        <w:rPr>
          <w:rtl/>
        </w:rPr>
      </w:pPr>
      <w:r>
        <w:rPr>
          <w:rFonts w:cs="FrankRuehl" w:hint="cs"/>
          <w:sz w:val="28"/>
          <w:szCs w:val="28"/>
          <w:u w:val="single"/>
          <w:rtl/>
        </w:rPr>
        <w:t>העונש המתאים</w:t>
      </w:r>
    </w:p>
    <w:p w14:paraId="54949B53"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r>
      <w:r>
        <w:rPr>
          <w:rFonts w:ascii="Calibri" w:hAnsi="Calibri" w:cs="FrankRuehl" w:hint="cs"/>
          <w:sz w:val="28"/>
          <w:szCs w:val="28"/>
          <w:rtl/>
        </w:rPr>
        <w:t xml:space="preserve">לצורך גזירת העונש, יש להתחשב בנסיבות שאינן קשורות בביצוע העבירה כאמוּר </w:t>
      </w:r>
      <w:hyperlink r:id="rId19" w:history="1">
        <w:r w:rsidR="00AD409D" w:rsidRPr="00AD409D">
          <w:rPr>
            <w:rFonts w:ascii="Calibri" w:hAnsi="Calibri" w:cs="FrankRuehl" w:hint="eastAsia"/>
            <w:color w:val="0000FF"/>
            <w:sz w:val="28"/>
            <w:szCs w:val="28"/>
            <w:u w:val="single"/>
            <w:rtl/>
          </w:rPr>
          <w:t>בסעיף</w:t>
        </w:r>
        <w:r w:rsidR="00AD409D" w:rsidRPr="00AD409D">
          <w:rPr>
            <w:rFonts w:ascii="Calibri" w:hAnsi="Calibri" w:cs="FrankRuehl"/>
            <w:color w:val="0000FF"/>
            <w:sz w:val="28"/>
            <w:szCs w:val="28"/>
            <w:u w:val="single"/>
            <w:rtl/>
          </w:rPr>
          <w:t xml:space="preserve"> 40</w:t>
        </w:r>
        <w:r w:rsidR="00AD409D" w:rsidRPr="00AD409D">
          <w:rPr>
            <w:rFonts w:ascii="Calibri" w:hAnsi="Calibri" w:cs="FrankRuehl" w:hint="eastAsia"/>
            <w:color w:val="0000FF"/>
            <w:sz w:val="28"/>
            <w:szCs w:val="28"/>
            <w:u w:val="single"/>
            <w:rtl/>
          </w:rPr>
          <w:t>יא</w:t>
        </w:r>
      </w:hyperlink>
      <w:r>
        <w:rPr>
          <w:rFonts w:ascii="Calibri" w:hAnsi="Calibri" w:cs="FrankRuehl" w:hint="cs"/>
          <w:sz w:val="28"/>
          <w:szCs w:val="28"/>
          <w:rtl/>
        </w:rPr>
        <w:t xml:space="preserve"> ל</w:t>
      </w:r>
      <w:hyperlink r:id="rId20" w:history="1">
        <w:r w:rsidRPr="00732B3F">
          <w:rPr>
            <w:rFonts w:ascii="Calibri" w:hAnsi="Calibri" w:cs="FrankRuehl" w:hint="eastAsia"/>
            <w:color w:val="0000FF"/>
            <w:sz w:val="28"/>
            <w:szCs w:val="28"/>
            <w:u w:val="single"/>
            <w:rtl/>
          </w:rPr>
          <w:t>חוק</w:t>
        </w:r>
        <w:r w:rsidRPr="00732B3F">
          <w:rPr>
            <w:rFonts w:ascii="Calibri" w:hAnsi="Calibri" w:cs="FrankRuehl"/>
            <w:color w:val="0000FF"/>
            <w:sz w:val="28"/>
            <w:szCs w:val="28"/>
            <w:u w:val="single"/>
            <w:rtl/>
          </w:rPr>
          <w:t xml:space="preserve"> </w:t>
        </w:r>
        <w:r w:rsidRPr="00732B3F">
          <w:rPr>
            <w:rFonts w:ascii="Calibri" w:hAnsi="Calibri" w:cs="FrankRuehl" w:hint="eastAsia"/>
            <w:color w:val="0000FF"/>
            <w:sz w:val="28"/>
            <w:szCs w:val="28"/>
            <w:u w:val="single"/>
            <w:rtl/>
          </w:rPr>
          <w:t>העונשין</w:t>
        </w:r>
      </w:hyperlink>
      <w:r>
        <w:rPr>
          <w:rFonts w:ascii="Calibri" w:hAnsi="Calibri" w:cs="FrankRuehl" w:hint="cs"/>
          <w:sz w:val="28"/>
          <w:szCs w:val="28"/>
          <w:rtl/>
        </w:rPr>
        <w:t>.</w:t>
      </w:r>
      <w:r>
        <w:rPr>
          <w:rFonts w:cs="FrankRuehl" w:hint="cs"/>
          <w:sz w:val="28"/>
          <w:szCs w:val="28"/>
          <w:rtl/>
        </w:rPr>
        <w:t xml:space="preserve"> </w:t>
      </w:r>
    </w:p>
    <w:p w14:paraId="64179E76" w14:textId="77777777" w:rsidR="00FE3915" w:rsidRDefault="00FE3915">
      <w:pPr>
        <w:shd w:val="clear" w:color="auto" w:fill="FFFFFF"/>
        <w:spacing w:after="120" w:line="360" w:lineRule="auto"/>
        <w:jc w:val="both"/>
        <w:rPr>
          <w:rFonts w:cs="FrankRuehl"/>
          <w:sz w:val="28"/>
          <w:szCs w:val="28"/>
          <w:rtl/>
        </w:rPr>
      </w:pPr>
    </w:p>
    <w:p w14:paraId="79270781" w14:textId="77777777" w:rsidR="00FE3915" w:rsidRDefault="00732B3F">
      <w:pPr>
        <w:shd w:val="clear" w:color="auto" w:fill="FFFFFF"/>
        <w:spacing w:after="120" w:line="360" w:lineRule="auto"/>
        <w:ind w:firstLine="720"/>
        <w:jc w:val="both"/>
        <w:rPr>
          <w:rFonts w:cs="FrankRuehl"/>
          <w:sz w:val="28"/>
          <w:szCs w:val="28"/>
          <w:rtl/>
        </w:rPr>
      </w:pPr>
      <w:r>
        <w:rPr>
          <w:rFonts w:cs="FrankRuehl" w:hint="cs"/>
          <w:b/>
          <w:bCs/>
          <w:sz w:val="28"/>
          <w:szCs w:val="28"/>
          <w:rtl/>
        </w:rPr>
        <w:t>לחוּמרה</w:t>
      </w:r>
      <w:r>
        <w:rPr>
          <w:rFonts w:cs="FrankRuehl" w:hint="cs"/>
          <w:sz w:val="28"/>
          <w:szCs w:val="28"/>
          <w:rtl/>
        </w:rPr>
        <w:t xml:space="preserve">, שקלתי את עברו הפלילי של הנאשם, הכולל מספר רב של הרשעות קודמות, בעיקר בעבירות סמים. בגין כך, ריצה הנאשם עד היום שבעה עונשי מאסר בפועל מאחורי סורג ובריח, חלקם לתקופות משמעותיות (בסך הכל, ריצה הנאשם קרוב לשמונה שנים בבתי-כלא במהלך חייו, בעיקר בשל עבירות סמים). לצד זאת, יוער כי הרשעתו הקודמת האחרונה של הנאשם היא משנת 2009, בגין עבירות של החזקת סמים שלא לצריכה עצמית שביצע בשנת 2008. במשך כחמש שנים מאז שנת 2008 ועד ביצוע העבירה נשוא ההליך שבכותרת בסוף שנת 2013, לא ביצע הנאשם עבירות פליליות (ולמצער, לא הורשע בפלילים בגין כך). עוד נתתי דעתי לכך שמתסקירי שירות המבחן עולה כי הנאשם נהג לעשן את הקנביס הרפואי בחברת אנשים בעלי עבר פלילי, וכי הוא התקשה לסרב להעביר לידיהם את הקנביס הרפואי. שירות המבחן התרשם כי הנאשם לא מכיר במוקדי סיכון המאפיינים את אורחות חייו, וכי קיים בעניינוֹ חשש להישנות העבירה. אמנם, הנאשם הביע לפניי מוטיבציה להשתלב בתהליך טיפולי-התנהגותי. עם זאת, שירות המבחן התרשם כי מדובר במוטיבציה מילולית על רקע ההליך המשפטי. מכל מקום, נוכח היותו של הנאשם נזקק לקנביס רפואי, לא הצליח שירות המבחן לאתר עבורו מסלול טיפולי-התנהגותי מתאים, ומטעם זה נמנע מלבוא בהמלצה טיפולית. מכאן שהחשש שהביע שירות המבחן להישנות העבירה, בעינו עומד. </w:t>
      </w:r>
    </w:p>
    <w:p w14:paraId="6957DC9E" w14:textId="77777777" w:rsidR="00FE3915" w:rsidRDefault="00FE3915">
      <w:pPr>
        <w:shd w:val="clear" w:color="auto" w:fill="FFFFFF"/>
        <w:spacing w:after="120" w:line="360" w:lineRule="auto"/>
        <w:jc w:val="both"/>
        <w:rPr>
          <w:rFonts w:cs="FrankRuehl"/>
          <w:sz w:val="28"/>
          <w:szCs w:val="28"/>
          <w:rtl/>
        </w:rPr>
      </w:pPr>
    </w:p>
    <w:p w14:paraId="6AB783DF" w14:textId="77777777" w:rsidR="00FE3915" w:rsidRDefault="00732B3F">
      <w:pPr>
        <w:shd w:val="clear" w:color="auto" w:fill="FFFFFF"/>
        <w:spacing w:after="120" w:line="360" w:lineRule="auto"/>
        <w:ind w:firstLine="720"/>
        <w:jc w:val="both"/>
        <w:rPr>
          <w:rFonts w:cs="FrankRuehl"/>
          <w:sz w:val="28"/>
          <w:szCs w:val="28"/>
          <w:rtl/>
        </w:rPr>
      </w:pPr>
      <w:r>
        <w:rPr>
          <w:rFonts w:cs="FrankRuehl" w:hint="cs"/>
          <w:b/>
          <w:bCs/>
          <w:sz w:val="28"/>
          <w:szCs w:val="28"/>
          <w:rtl/>
        </w:rPr>
        <w:t>לקוּלא</w:t>
      </w:r>
      <w:r>
        <w:rPr>
          <w:rFonts w:cs="FrankRuehl" w:hint="cs"/>
          <w:sz w:val="28"/>
          <w:szCs w:val="28"/>
          <w:rtl/>
        </w:rPr>
        <w:t>, שקלתי את הודאת הנאשם, את נטילת האחריות ואת החרטה שהביע. עוד ניתן משקל לנסיבותיו האישיות של הנאשם כמפורט בתסקיר שירות המבחן, לרבות גילו ומצבו הרפואי שאינו פשוט. אוסיף ואומר כי למיטב הבנתי, נכון לרגע זה, שני המעורבים האחרים בפרשה לא הועמדו לדין פלילי. (כך במיוחד, עוֹדד המוזכר בעובדות כתב-האישום כמי שסחר בסם תמורת כסף באופן שחלקוֹ בפרשה לא היה פחוּת ביחס לחלקו של הנאשם, ובכל זאת אותו עוֹדד טרם הועמד לדין פלילי על מעשיו). נסיבה זו צריכה אף היא לקבל משקל במסגרת השיקולים לעונש.</w:t>
      </w:r>
    </w:p>
    <w:p w14:paraId="1D4AE020" w14:textId="77777777" w:rsidR="00FE3915" w:rsidRDefault="00FE3915">
      <w:pPr>
        <w:shd w:val="clear" w:color="auto" w:fill="FFFFFF"/>
        <w:spacing w:after="120" w:line="360" w:lineRule="auto"/>
        <w:jc w:val="both"/>
        <w:rPr>
          <w:rFonts w:cs="FrankRuehl"/>
          <w:sz w:val="28"/>
          <w:szCs w:val="28"/>
          <w:rtl/>
        </w:rPr>
      </w:pPr>
    </w:p>
    <w:p w14:paraId="5C84E47F"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כאמור, שירות המבחן המליץ להסתפק בעונש של מאסר על-תנאי וקנס. עונש זה משמעותו חריגה מהותית לקולא ממתחם הענישה ההולמת כפי שנקבע לעיל. בהתאם להסדר הקבוע </w:t>
      </w:r>
      <w:hyperlink r:id="rId21" w:history="1">
        <w:r w:rsidR="00AD409D" w:rsidRPr="00AD409D">
          <w:rPr>
            <w:rFonts w:cs="FrankRuehl"/>
            <w:color w:val="0000FF"/>
            <w:sz w:val="28"/>
            <w:szCs w:val="28"/>
            <w:u w:val="single"/>
            <w:rtl/>
          </w:rPr>
          <w:t>בסעיף 40ד(א)</w:t>
        </w:r>
      </w:hyperlink>
      <w:r>
        <w:rPr>
          <w:rFonts w:cs="FrankRuehl" w:hint="cs"/>
          <w:sz w:val="28"/>
          <w:szCs w:val="28"/>
          <w:rtl/>
        </w:rPr>
        <w:t xml:space="preserve"> ל</w:t>
      </w:r>
      <w:hyperlink r:id="rId22" w:history="1">
        <w:r w:rsidRPr="00732B3F">
          <w:rPr>
            <w:rFonts w:cs="FrankRuehl"/>
            <w:color w:val="0000FF"/>
            <w:sz w:val="28"/>
            <w:szCs w:val="28"/>
            <w:u w:val="single"/>
            <w:rtl/>
          </w:rPr>
          <w:t>חוק העונשין</w:t>
        </w:r>
      </w:hyperlink>
      <w:r>
        <w:rPr>
          <w:rFonts w:cs="FrankRuehl" w:hint="cs"/>
          <w:sz w:val="28"/>
          <w:szCs w:val="28"/>
          <w:rtl/>
        </w:rPr>
        <w:t xml:space="preserve">, יש מקום לשקול חריגה כאמור אם בית-המשפט מצא כי: "הנאשם השתקם או כי יש סיכוי של ממש שישתקם". אינני סבורה כי תנאים אלה הוכחו במקרה דנן. זאת ועוד; על הנאשם להפנים כי עבירות סמים לסוגיהן אינן משתלמות, וכי עליו לזנוח את דרך הפשע הכרוכה בעבירות אלה, שביצוען מלווה אותו לאורך חייו. יתרה מזאת; מן הראוי להעביר מסר עונשי ברור, לפיו בית-המשפט לא יתייחס בסלחנות למי שמחזיק בסם ברישיון לצרכים רפואיים, ומעבירוֹ לאחר הסוחר בסם, והכל בניגוד לתכלית הרישיון ותנאיו. מדובר בניצול לרעה של הקנביס הרפואי, אשר במקום לשמש למטרות שלשמן נועד, הוא מועבר לשרשרת הפצת הסם ברבים. לפיכך, אני סבורה כי יש להטיל על הנאשם עונש מאסר בפועל, שמשכו ממוקם ברף האמצעי של המתחם שנקבע. </w:t>
      </w:r>
    </w:p>
    <w:p w14:paraId="713EB0CE" w14:textId="77777777" w:rsidR="00FE3915" w:rsidRDefault="00FE3915">
      <w:pPr>
        <w:shd w:val="clear" w:color="auto" w:fill="FFFFFF"/>
        <w:spacing w:after="120" w:line="360" w:lineRule="auto"/>
        <w:jc w:val="both"/>
        <w:rPr>
          <w:rFonts w:cs="FrankRuehl"/>
          <w:sz w:val="28"/>
          <w:szCs w:val="28"/>
          <w:rtl/>
        </w:rPr>
      </w:pPr>
    </w:p>
    <w:p w14:paraId="0D11B26B"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15.</w:t>
      </w:r>
      <w:r>
        <w:rPr>
          <w:rFonts w:cs="FrankRuehl" w:hint="cs"/>
          <w:sz w:val="28"/>
          <w:szCs w:val="28"/>
          <w:rtl/>
        </w:rPr>
        <w:tab/>
        <w:t xml:space="preserve">אשר לדרך ריצוי עונש המאסר בפועל - עתירת המאשימה למאסר בפועל שירוצה מאחורי סורג ובריח, אינה מופרכת בנסיבות העניין, נוכח טיב העבירה, עברו הפלילי של הנאשם, הסיכון להישנות העבירה, והעובדה כי הנאשם אינו משולב בתהליך טיפולי-התנהגותי (עקב היותו משתמש בקנביס רפואי). יחד עם זאת, במישור נסיבות ביצוע העבירה, עסקינן במקרה שאינו ברף חומרה עליון של עבירות הסמים, הן מבחינת חוּקיוּת החזקת הסם מלכתחילה, הן מבחינת סוג הסם (קנביס) וכמותו הקטנה יחסית (כ- </w:t>
      </w:r>
      <w:smartTag w:uri="urn:schemas-microsoft-com:office:smarttags" w:element="metricconverter">
        <w:smartTagPr>
          <w:attr w:name="ProductID" w:val="10 גרם"/>
        </w:smartTagPr>
        <w:r>
          <w:rPr>
            <w:rFonts w:cs="FrankRuehl" w:hint="cs"/>
            <w:sz w:val="28"/>
            <w:szCs w:val="28"/>
            <w:rtl/>
          </w:rPr>
          <w:t>10 גרם</w:t>
        </w:r>
      </w:smartTag>
      <w:r>
        <w:rPr>
          <w:rFonts w:cs="FrankRuehl" w:hint="cs"/>
          <w:sz w:val="28"/>
          <w:szCs w:val="28"/>
          <w:rtl/>
        </w:rPr>
        <w:t xml:space="preserve">), והן מבחינת העדר תמורה (כספית או אחרת) עבור הספקת הסם. לכך יש להוסיף את הנסיבות לקולא </w:t>
      </w:r>
      <w:r>
        <w:rPr>
          <w:rFonts w:cs="Miriam" w:hint="cs"/>
          <w:rtl/>
        </w:rPr>
        <w:t>שאינן</w:t>
      </w:r>
      <w:r>
        <w:rPr>
          <w:rFonts w:cs="FrankRuehl" w:hint="cs"/>
          <w:sz w:val="28"/>
          <w:szCs w:val="28"/>
          <w:rtl/>
        </w:rPr>
        <w:t xml:space="preserve"> קשורות בביצוע העבירה, ובהן - העובדה שמדובר באירוע בודד שהתרחש לאחר כחמש שנים בהן הנאשם לא הורשע בפלילים, ההודאה ונטילת האחריות, גילו של הנאשם, מצבו הרפואי הלא פשוט, והעובדה שיתר המעורבים בפרשה טרם הועמדו לדין. אני בדעה כי כל אלה במשקלם המצטבר, מאפשרים ללכת כברת דרך לקראת הנאשם, ולאפשר לו לרצות את עונש המאסר בפועל בדרך של עבודות שירות לתקופה המקסימאלית האפשרית לפי חוק. בנוסף, אראה להטיל מאסרים מותנים הצופים פני-עתיד, וכן קנס כספי שתכליתו לשוב ולהבהיר לנאשם כי עבירות הסמים אינן משתלמות, גם לא לכיסוֹ. אעיר כי נוכח העובדה שביצוע העבירה לא היה כרוך בנהיגה ברכב מצד הנאשם, לא ראיתי להטיל עונשי פסילה כמבוקש על-ידי המאשימה.</w:t>
      </w:r>
    </w:p>
    <w:p w14:paraId="7AF675C7" w14:textId="77777777" w:rsidR="00FE3915" w:rsidRDefault="00FE3915">
      <w:pPr>
        <w:shd w:val="clear" w:color="auto" w:fill="FFFFFF"/>
        <w:spacing w:after="120" w:line="360" w:lineRule="auto"/>
        <w:jc w:val="both"/>
        <w:rPr>
          <w:rtl/>
        </w:rPr>
      </w:pPr>
    </w:p>
    <w:p w14:paraId="5C115B5D" w14:textId="77777777" w:rsidR="00FE3915" w:rsidRDefault="00732B3F">
      <w:pPr>
        <w:shd w:val="clear" w:color="auto" w:fill="FFFFFF"/>
        <w:spacing w:after="120" w:line="360" w:lineRule="auto"/>
        <w:jc w:val="both"/>
        <w:rPr>
          <w:rtl/>
        </w:rPr>
      </w:pPr>
      <w:r>
        <w:rPr>
          <w:rFonts w:cs="FrankRuehl" w:hint="cs"/>
          <w:sz w:val="28"/>
          <w:szCs w:val="28"/>
          <w:u w:val="single"/>
          <w:rtl/>
        </w:rPr>
        <w:t>סוף דבר</w:t>
      </w:r>
    </w:p>
    <w:p w14:paraId="20EAD33B" w14:textId="77777777" w:rsidR="00FE3915" w:rsidRDefault="00732B3F">
      <w:pPr>
        <w:shd w:val="clear" w:color="auto" w:fill="FFFFFF"/>
        <w:spacing w:after="120" w:line="360" w:lineRule="auto"/>
        <w:jc w:val="both"/>
        <w:rPr>
          <w:rtl/>
        </w:rPr>
      </w:pPr>
      <w:r>
        <w:rPr>
          <w:rFonts w:cs="FrankRuehl" w:hint="cs"/>
          <w:sz w:val="28"/>
          <w:szCs w:val="28"/>
          <w:rtl/>
        </w:rPr>
        <w:t>16.</w:t>
      </w:r>
      <w:r>
        <w:rPr>
          <w:rFonts w:cs="FrankRuehl" w:hint="cs"/>
          <w:sz w:val="28"/>
          <w:szCs w:val="28"/>
          <w:rtl/>
        </w:rPr>
        <w:tab/>
        <w:t>נוכח מכלול הטעמים שפורטו, אני רואה לגזור על הנאשם את העונשים הבאים:</w:t>
      </w:r>
    </w:p>
    <w:p w14:paraId="6BB64D1B" w14:textId="77777777" w:rsidR="00FE3915" w:rsidRDefault="00732B3F">
      <w:pPr>
        <w:tabs>
          <w:tab w:val="left" w:pos="800"/>
        </w:tabs>
        <w:overflowPunct w:val="0"/>
        <w:autoSpaceDE w:val="0"/>
        <w:autoSpaceDN w:val="0"/>
        <w:adjustRightInd w:val="0"/>
        <w:spacing w:line="360" w:lineRule="auto"/>
        <w:jc w:val="both"/>
        <w:rPr>
          <w:rFonts w:cs="FrankRuehl"/>
          <w:sz w:val="28"/>
          <w:szCs w:val="28"/>
          <w:rtl/>
        </w:rPr>
      </w:pPr>
      <w:r>
        <w:rPr>
          <w:rFonts w:eastAsia="David" w:cs="FrankRuehl" w:hint="cs"/>
          <w:spacing w:val="10"/>
          <w:sz w:val="28"/>
          <w:szCs w:val="28"/>
          <w:rtl/>
        </w:rPr>
        <w:t>א.</w:t>
      </w:r>
      <w:r>
        <w:rPr>
          <w:rFonts w:eastAsia="David" w:cs="FrankRuehl" w:hint="cs"/>
          <w:spacing w:val="10"/>
          <w:sz w:val="28"/>
          <w:szCs w:val="28"/>
          <w:rtl/>
        </w:rPr>
        <w:tab/>
      </w:r>
      <w:r>
        <w:rPr>
          <w:rFonts w:cs="FrankRuehl" w:hint="cs"/>
          <w:sz w:val="28"/>
          <w:szCs w:val="28"/>
          <w:rtl/>
        </w:rPr>
        <w:t>6 חודשי מאסר בפועל, אותם יוכל הנאשם לרצות בעבודות שירות כפי שקבע הממונה על עבודות השירות בחוות-דעתו.</w:t>
      </w:r>
    </w:p>
    <w:p w14:paraId="4BB8FA5F" w14:textId="77777777" w:rsidR="00FE3915" w:rsidRDefault="00732B3F">
      <w:pPr>
        <w:tabs>
          <w:tab w:val="left" w:pos="800"/>
        </w:tabs>
        <w:overflowPunct w:val="0"/>
        <w:autoSpaceDE w:val="0"/>
        <w:autoSpaceDN w:val="0"/>
        <w:adjustRightInd w:val="0"/>
        <w:spacing w:line="360" w:lineRule="auto"/>
        <w:jc w:val="both"/>
        <w:rPr>
          <w:rFonts w:cs="FrankRuehl"/>
          <w:sz w:val="28"/>
          <w:szCs w:val="28"/>
          <w:rtl/>
        </w:rPr>
      </w:pPr>
      <w:r>
        <w:rPr>
          <w:rFonts w:cs="FrankRuehl" w:hint="cs"/>
          <w:sz w:val="28"/>
          <w:szCs w:val="28"/>
          <w:rtl/>
        </w:rPr>
        <w:t xml:space="preserve">על הנאשם להתייצב לריצוי עונשו ביום 5.5.2015 עד השעה 10:00 במפקדת מחוז דרום, יחידת עבודות שירות, ליד כלא באר-שבע. </w:t>
      </w:r>
    </w:p>
    <w:p w14:paraId="1269E834" w14:textId="77777777" w:rsidR="00FE3915" w:rsidRDefault="00732B3F">
      <w:pPr>
        <w:tabs>
          <w:tab w:val="left" w:pos="800"/>
        </w:tabs>
        <w:overflowPunct w:val="0"/>
        <w:autoSpaceDE w:val="0"/>
        <w:autoSpaceDN w:val="0"/>
        <w:adjustRightInd w:val="0"/>
        <w:spacing w:line="360" w:lineRule="auto"/>
        <w:jc w:val="both"/>
        <w:rPr>
          <w:rFonts w:cs="FrankRuehl"/>
          <w:b/>
          <w:bCs/>
          <w:sz w:val="28"/>
          <w:szCs w:val="28"/>
          <w:rtl/>
        </w:rPr>
      </w:pPr>
      <w:r>
        <w:rPr>
          <w:rFonts w:cs="FrankRuehl" w:hint="cs"/>
          <w:b/>
          <w:bCs/>
          <w:sz w:val="28"/>
          <w:szCs w:val="28"/>
          <w:rtl/>
        </w:rPr>
        <w:t xml:space="preserve">מובהר כי על הנאשם לעדכן את משרד הממונה בכל שינוי, אם יחול, בכתובת מגוריו. כמו כן, מוזהר הנאשם כי עליו לעמוד בתנאי הפיקוח ובביקורות הפתע, וכי כל הפרה בתנאי עבודות השירות עלולה להביא להפסקה מנהלית ולריצוי העונש במאסר בין כותלי בית הכלא. </w:t>
      </w:r>
    </w:p>
    <w:p w14:paraId="03FDD6A1" w14:textId="77777777" w:rsidR="00FE3915" w:rsidRDefault="00FE3915">
      <w:pPr>
        <w:shd w:val="clear" w:color="auto" w:fill="FFFFFF"/>
        <w:spacing w:after="120" w:line="360" w:lineRule="auto"/>
        <w:jc w:val="both"/>
        <w:rPr>
          <w:rtl/>
        </w:rPr>
      </w:pPr>
    </w:p>
    <w:p w14:paraId="3C1F99C2"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ב.</w:t>
      </w:r>
      <w:r>
        <w:rPr>
          <w:rFonts w:cs="FrankRuehl" w:hint="cs"/>
          <w:sz w:val="28"/>
          <w:szCs w:val="28"/>
          <w:rtl/>
        </w:rPr>
        <w:tab/>
        <w:t>מאסר על תנאי לתקופה של 7 חודשים למשך שלוש שנים מהיום. התנאי הוא שהנאשם לא יעבור כל עבירת סמים מסוג פשע.</w:t>
      </w:r>
    </w:p>
    <w:p w14:paraId="235A74F4" w14:textId="77777777" w:rsidR="00FE3915" w:rsidRDefault="00FE3915">
      <w:pPr>
        <w:shd w:val="clear" w:color="auto" w:fill="FFFFFF"/>
        <w:spacing w:after="120" w:line="360" w:lineRule="auto"/>
        <w:jc w:val="both"/>
        <w:rPr>
          <w:rFonts w:cs="FrankRuehl"/>
          <w:sz w:val="28"/>
          <w:szCs w:val="28"/>
          <w:rtl/>
        </w:rPr>
      </w:pPr>
    </w:p>
    <w:p w14:paraId="6045876F" w14:textId="77777777" w:rsidR="00FE3915" w:rsidRDefault="00732B3F">
      <w:pPr>
        <w:shd w:val="clear" w:color="auto" w:fill="FFFFFF"/>
        <w:spacing w:after="120" w:line="360" w:lineRule="auto"/>
        <w:jc w:val="both"/>
        <w:rPr>
          <w:rtl/>
        </w:rPr>
      </w:pPr>
      <w:r>
        <w:rPr>
          <w:rFonts w:cs="FrankRuehl" w:hint="cs"/>
          <w:sz w:val="28"/>
          <w:szCs w:val="28"/>
          <w:rtl/>
        </w:rPr>
        <w:t>ג.</w:t>
      </w:r>
      <w:r>
        <w:rPr>
          <w:rFonts w:cs="FrankRuehl" w:hint="cs"/>
          <w:sz w:val="28"/>
          <w:szCs w:val="28"/>
          <w:rtl/>
        </w:rPr>
        <w:tab/>
        <w:t xml:space="preserve">מאסר על תנאי לתקופה של 4 חודשים למשך שלוש שנים מהיום. התנאי הוא שהנאשם לא יעבור כל עבירת סמים מסוג עוון. </w:t>
      </w:r>
    </w:p>
    <w:p w14:paraId="6669A283" w14:textId="77777777" w:rsidR="00FE3915" w:rsidRDefault="00FE3915">
      <w:pPr>
        <w:shd w:val="clear" w:color="auto" w:fill="FFFFFF"/>
        <w:spacing w:after="120" w:line="360" w:lineRule="auto"/>
        <w:jc w:val="both"/>
        <w:rPr>
          <w:rtl/>
        </w:rPr>
      </w:pPr>
    </w:p>
    <w:p w14:paraId="7D8C58B9" w14:textId="77777777" w:rsidR="00FE3915" w:rsidRDefault="00732B3F">
      <w:pPr>
        <w:shd w:val="clear" w:color="auto" w:fill="FFFFFF"/>
        <w:spacing w:after="120" w:line="360" w:lineRule="auto"/>
        <w:jc w:val="both"/>
        <w:rPr>
          <w:rFonts w:cs="FrankRuehl"/>
          <w:sz w:val="28"/>
          <w:szCs w:val="28"/>
          <w:rtl/>
        </w:rPr>
      </w:pPr>
      <w:r>
        <w:rPr>
          <w:rFonts w:cs="FrankRuehl" w:hint="cs"/>
          <w:sz w:val="28"/>
          <w:szCs w:val="28"/>
          <w:rtl/>
        </w:rPr>
        <w:t>ד.</w:t>
      </w:r>
      <w:r>
        <w:rPr>
          <w:rFonts w:cs="FrankRuehl" w:hint="cs"/>
          <w:sz w:val="28"/>
          <w:szCs w:val="28"/>
          <w:rtl/>
        </w:rPr>
        <w:tab/>
        <w:t>קנס בסך 2,000 ₪ או 20 ימי מאסר תמורתו. הקנס ישולם ב- 10 תשלומים חודשיים שווים ורצופים, החל מיום 10.4.2015 ובכל 10 לחודש שלאחר מכן. לא ישולם אחד התשלומים במועדו, תעמוד יתרת הקנס לפירעון מיידי.</w:t>
      </w:r>
    </w:p>
    <w:p w14:paraId="0C34A8F2" w14:textId="77777777" w:rsidR="00FE3915" w:rsidRDefault="00FE3915">
      <w:pPr>
        <w:shd w:val="clear" w:color="auto" w:fill="FFFFFF"/>
        <w:spacing w:after="120" w:line="360" w:lineRule="auto"/>
        <w:jc w:val="both"/>
        <w:rPr>
          <w:rFonts w:cs="FrankRuehl"/>
          <w:sz w:val="28"/>
          <w:szCs w:val="28"/>
          <w:rtl/>
        </w:rPr>
      </w:pPr>
    </w:p>
    <w:p w14:paraId="5B420994" w14:textId="77777777" w:rsidR="00FE3915" w:rsidRDefault="00732B3F">
      <w:pPr>
        <w:shd w:val="clear" w:color="auto" w:fill="FFFFFF"/>
        <w:spacing w:after="120" w:line="360" w:lineRule="auto"/>
        <w:jc w:val="both"/>
        <w:rPr>
          <w:rtl/>
        </w:rPr>
      </w:pPr>
      <w:r>
        <w:rPr>
          <w:rFonts w:cs="FrankRuehl" w:hint="cs"/>
          <w:sz w:val="28"/>
          <w:szCs w:val="28"/>
          <w:rtl/>
        </w:rPr>
        <w:t>ה.</w:t>
      </w:r>
      <w:r>
        <w:rPr>
          <w:rFonts w:cs="FrankRuehl" w:hint="cs"/>
          <w:sz w:val="28"/>
          <w:szCs w:val="28"/>
          <w:rtl/>
        </w:rPr>
        <w:tab/>
        <w:t>הסמים ככל שנתפסו - יושמדו.</w:t>
      </w:r>
    </w:p>
    <w:p w14:paraId="0F765F6A" w14:textId="77777777" w:rsidR="00FE3915" w:rsidRDefault="00FE3915">
      <w:pPr>
        <w:shd w:val="clear" w:color="auto" w:fill="FFFFFF"/>
        <w:spacing w:after="120" w:line="360" w:lineRule="auto"/>
        <w:jc w:val="both"/>
        <w:rPr>
          <w:rFonts w:cs="FrankRuehl"/>
          <w:sz w:val="28"/>
          <w:szCs w:val="28"/>
          <w:rtl/>
        </w:rPr>
      </w:pPr>
    </w:p>
    <w:p w14:paraId="4B372785" w14:textId="77777777" w:rsidR="00FE3915" w:rsidRDefault="00732B3F">
      <w:pPr>
        <w:shd w:val="clear" w:color="auto" w:fill="FFFFFF"/>
        <w:spacing w:after="120" w:line="360" w:lineRule="auto"/>
        <w:ind w:firstLine="720"/>
        <w:jc w:val="both"/>
        <w:rPr>
          <w:rFonts w:cs="FrankRuehl"/>
          <w:b/>
          <w:bCs/>
          <w:sz w:val="28"/>
          <w:szCs w:val="28"/>
          <w:rtl/>
        </w:rPr>
      </w:pPr>
      <w:r>
        <w:rPr>
          <w:rFonts w:cs="FrankRuehl" w:hint="cs"/>
          <w:b/>
          <w:bCs/>
          <w:sz w:val="28"/>
          <w:szCs w:val="28"/>
          <w:rtl/>
        </w:rPr>
        <w:t>המזכירות תעביר העתק גזר-הדין לשירות המבחן למבוגרים ולממונה על עבודות השירות.</w:t>
      </w:r>
    </w:p>
    <w:p w14:paraId="1DF3F422" w14:textId="77777777" w:rsidR="00FE3915" w:rsidRDefault="00732B3F">
      <w:pPr>
        <w:shd w:val="clear" w:color="auto" w:fill="FFFFFF"/>
        <w:spacing w:after="120" w:line="360" w:lineRule="auto"/>
        <w:ind w:firstLine="720"/>
        <w:jc w:val="both"/>
        <w:rPr>
          <w:rFonts w:cs="FrankRuehl"/>
          <w:b/>
          <w:bCs/>
          <w:sz w:val="28"/>
          <w:szCs w:val="28"/>
          <w:rtl/>
        </w:rPr>
      </w:pPr>
      <w:r>
        <w:rPr>
          <w:rFonts w:cs="FrankRuehl" w:hint="cs"/>
          <w:b/>
          <w:bCs/>
          <w:sz w:val="28"/>
          <w:szCs w:val="28"/>
          <w:rtl/>
        </w:rPr>
        <w:t xml:space="preserve"> </w:t>
      </w:r>
    </w:p>
    <w:p w14:paraId="32E97586" w14:textId="77777777" w:rsidR="00FE3915" w:rsidRDefault="00732B3F">
      <w:pPr>
        <w:shd w:val="clear" w:color="auto" w:fill="FFFFFF"/>
        <w:spacing w:after="120" w:line="360" w:lineRule="auto"/>
        <w:jc w:val="both"/>
        <w:rPr>
          <w:rtl/>
        </w:rPr>
      </w:pPr>
      <w:r>
        <w:rPr>
          <w:rFonts w:cs="FrankRuehl" w:hint="cs"/>
          <w:b/>
          <w:bCs/>
          <w:sz w:val="28"/>
          <w:szCs w:val="28"/>
          <w:rtl/>
        </w:rPr>
        <w:tab/>
        <w:t>זכות ערעור לבית המשפט המחוזי תוך 45 ימים מהיום.</w:t>
      </w:r>
    </w:p>
    <w:p w14:paraId="414E5FDC" w14:textId="77777777" w:rsidR="00FE3915" w:rsidRPr="00732B3F" w:rsidRDefault="00732B3F">
      <w:pPr>
        <w:spacing w:line="480" w:lineRule="auto"/>
        <w:rPr>
          <w:rFonts w:cs="FrankRuehl"/>
          <w:color w:val="FFFFFF"/>
          <w:sz w:val="2"/>
          <w:szCs w:val="2"/>
          <w:rtl/>
        </w:rPr>
      </w:pPr>
      <w:r w:rsidRPr="00732B3F">
        <w:rPr>
          <w:rFonts w:cs="FrankRuehl"/>
          <w:color w:val="FFFFFF"/>
          <w:sz w:val="2"/>
          <w:szCs w:val="2"/>
          <w:rtl/>
        </w:rPr>
        <w:t>5129371</w:t>
      </w:r>
    </w:p>
    <w:p w14:paraId="76C04E04" w14:textId="77777777" w:rsidR="00FE3915" w:rsidRDefault="00732B3F">
      <w:pPr>
        <w:rPr>
          <w:rFonts w:cs="FrankRuehl"/>
          <w:sz w:val="28"/>
          <w:szCs w:val="28"/>
          <w:rtl/>
        </w:rPr>
      </w:pPr>
      <w:r w:rsidRPr="00732B3F">
        <w:rPr>
          <w:rFonts w:ascii="Arial" w:hAnsi="Arial" w:cs="FrankRuehl"/>
          <w:color w:val="FFFFFF"/>
          <w:sz w:val="2"/>
          <w:szCs w:val="2"/>
          <w:rtl/>
        </w:rPr>
        <w:t>54678313</w:t>
      </w:r>
      <w:r>
        <w:rPr>
          <w:rFonts w:ascii="Arial" w:hAnsi="Arial" w:cs="FrankRuehl"/>
          <w:sz w:val="28"/>
          <w:szCs w:val="28"/>
          <w:rtl/>
        </w:rPr>
        <w:t xml:space="preserve">ניתן היום, י"ג אדר תשע"ה, 04 מרץ 2015, במעמד הצדדים. </w:t>
      </w:r>
    </w:p>
    <w:p w14:paraId="4A7DDA27" w14:textId="77777777" w:rsidR="00FE3915" w:rsidRDefault="00FE3915">
      <w:pPr>
        <w:jc w:val="right"/>
      </w:pPr>
    </w:p>
    <w:p w14:paraId="5926D6D2" w14:textId="77777777" w:rsidR="00FE3915" w:rsidRDefault="00FE3915">
      <w:pPr>
        <w:jc w:val="right"/>
        <w:rPr>
          <w:rFonts w:ascii="Arial" w:hAnsi="Arial" w:cs="FrankRuehl"/>
          <w:sz w:val="28"/>
          <w:szCs w:val="28"/>
          <w:rtl/>
        </w:rPr>
      </w:pPr>
    </w:p>
    <w:p w14:paraId="420C0929" w14:textId="77777777" w:rsidR="00FE3915" w:rsidRDefault="00FE3915">
      <w:pPr>
        <w:rPr>
          <w:rFonts w:cs="FrankRuehl"/>
          <w:sz w:val="28"/>
          <w:szCs w:val="28"/>
          <w:rtl/>
        </w:rPr>
      </w:pPr>
    </w:p>
    <w:p w14:paraId="62C83FB0" w14:textId="77777777" w:rsidR="00FE3915" w:rsidRDefault="00FE3915">
      <w:pPr>
        <w:pStyle w:val="a3"/>
        <w:jc w:val="center"/>
        <w:rPr>
          <w:rtl/>
        </w:rPr>
      </w:pPr>
    </w:p>
    <w:p w14:paraId="37401BF4" w14:textId="77777777" w:rsidR="00732B3F" w:rsidRPr="00732B3F" w:rsidRDefault="00732B3F" w:rsidP="00732B3F">
      <w:pPr>
        <w:keepNext/>
        <w:rPr>
          <w:rFonts w:ascii="David" w:hAnsi="David"/>
          <w:color w:val="000000"/>
          <w:sz w:val="22"/>
          <w:szCs w:val="22"/>
          <w:rtl/>
        </w:rPr>
      </w:pPr>
    </w:p>
    <w:p w14:paraId="317D3163" w14:textId="77777777" w:rsidR="00732B3F" w:rsidRPr="00732B3F" w:rsidRDefault="00732B3F" w:rsidP="00732B3F">
      <w:pPr>
        <w:keepNext/>
        <w:rPr>
          <w:rFonts w:ascii="David" w:hAnsi="David"/>
          <w:color w:val="000000"/>
          <w:sz w:val="22"/>
          <w:szCs w:val="22"/>
          <w:rtl/>
        </w:rPr>
      </w:pPr>
      <w:r w:rsidRPr="00732B3F">
        <w:rPr>
          <w:rFonts w:ascii="David" w:hAnsi="David"/>
          <w:color w:val="000000"/>
          <w:sz w:val="22"/>
          <w:szCs w:val="22"/>
          <w:rtl/>
        </w:rPr>
        <w:t>דנה כהן לקח 54678313</w:t>
      </w:r>
    </w:p>
    <w:p w14:paraId="2ADC8353" w14:textId="77777777" w:rsidR="00732B3F" w:rsidRDefault="00732B3F" w:rsidP="00732B3F">
      <w:r w:rsidRPr="00732B3F">
        <w:rPr>
          <w:color w:val="000000"/>
          <w:rtl/>
        </w:rPr>
        <w:t>נוסח מסמך זה כפוף לשינויי ניסוח ועריכה</w:t>
      </w:r>
    </w:p>
    <w:p w14:paraId="68A6D141" w14:textId="77777777" w:rsidR="00732B3F" w:rsidRDefault="00732B3F" w:rsidP="00732B3F">
      <w:pPr>
        <w:rPr>
          <w:rtl/>
        </w:rPr>
      </w:pPr>
    </w:p>
    <w:p w14:paraId="62B69D1A" w14:textId="77777777" w:rsidR="00732B3F" w:rsidRDefault="00732B3F" w:rsidP="00732B3F">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2B5DD44" w14:textId="77777777" w:rsidR="00FE3915" w:rsidRPr="00732B3F" w:rsidRDefault="00FD56C3" w:rsidP="00732B3F">
      <w:pPr>
        <w:jc w:val="center"/>
        <w:rPr>
          <w:color w:val="0000FF"/>
          <w:u w:val="single"/>
        </w:rPr>
      </w:pPr>
      <w:r>
        <w:rPr>
          <w:rFonts w:hint="cs"/>
          <w:color w:val="0000FF"/>
          <w:u w:val="single"/>
          <w:rtl/>
        </w:rPr>
        <w:t xml:space="preserve">  </w:t>
      </w:r>
    </w:p>
    <w:sectPr w:rsidR="00FE3915" w:rsidRPr="00732B3F" w:rsidSect="00732B3F">
      <w:headerReference w:type="even" r:id="rId24"/>
      <w:headerReference w:type="default" r:id="rId25"/>
      <w:footerReference w:type="even" r:id="rId26"/>
      <w:footerReference w:type="default" r:id="rId27"/>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E12A0" w14:textId="77777777" w:rsidR="00231D57" w:rsidRPr="009525E6" w:rsidRDefault="00231D57">
      <w:pPr>
        <w:rPr>
          <w:rFonts w:cs="Arial"/>
          <w:szCs w:val="20"/>
        </w:rPr>
      </w:pPr>
      <w:r>
        <w:separator/>
      </w:r>
    </w:p>
  </w:endnote>
  <w:endnote w:type="continuationSeparator" w:id="0">
    <w:p w14:paraId="3157A9BA" w14:textId="77777777" w:rsidR="00231D57" w:rsidRPr="009525E6" w:rsidRDefault="00231D5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4D294" w14:textId="77777777" w:rsidR="00732B3F" w:rsidRDefault="00732B3F" w:rsidP="00732B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4F4E4F" w14:textId="77777777" w:rsidR="00FE3915" w:rsidRPr="00732B3F" w:rsidRDefault="00732B3F" w:rsidP="00732B3F">
    <w:pPr>
      <w:pStyle w:val="a4"/>
      <w:pBdr>
        <w:top w:val="single" w:sz="4" w:space="1" w:color="auto"/>
        <w:between w:val="single" w:sz="4" w:space="0" w:color="auto"/>
      </w:pBdr>
      <w:spacing w:after="60"/>
      <w:jc w:val="center"/>
      <w:rPr>
        <w:rFonts w:ascii="FrankRuehl" w:hAnsi="FrankRuehl" w:cs="FrankRuehl"/>
        <w:color w:val="000000"/>
      </w:rPr>
    </w:pPr>
    <w:r w:rsidRPr="00732B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5DB62" w14:textId="77777777" w:rsidR="00732B3F" w:rsidRDefault="00732B3F" w:rsidP="00732B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4D07">
      <w:rPr>
        <w:rFonts w:ascii="FrankRuehl" w:hAnsi="FrankRuehl" w:cs="FrankRuehl"/>
        <w:noProof/>
        <w:rtl/>
      </w:rPr>
      <w:t>1</w:t>
    </w:r>
    <w:r>
      <w:rPr>
        <w:rFonts w:ascii="FrankRuehl" w:hAnsi="FrankRuehl" w:cs="FrankRuehl"/>
        <w:rtl/>
      </w:rPr>
      <w:fldChar w:fldCharType="end"/>
    </w:r>
  </w:p>
  <w:p w14:paraId="0F1E22C9" w14:textId="77777777" w:rsidR="00FE3915" w:rsidRPr="00732B3F" w:rsidRDefault="00732B3F" w:rsidP="00732B3F">
    <w:pPr>
      <w:pStyle w:val="a4"/>
      <w:pBdr>
        <w:top w:val="single" w:sz="4" w:space="1" w:color="auto"/>
        <w:between w:val="single" w:sz="4" w:space="0" w:color="auto"/>
      </w:pBdr>
      <w:spacing w:after="60"/>
      <w:jc w:val="center"/>
      <w:rPr>
        <w:rFonts w:ascii="FrankRuehl" w:hAnsi="FrankRuehl" w:cs="FrankRuehl"/>
        <w:color w:val="000000"/>
      </w:rPr>
    </w:pPr>
    <w:r w:rsidRPr="00732B3F">
      <w:rPr>
        <w:rFonts w:ascii="FrankRuehl" w:hAnsi="FrankRuehl" w:cs="FrankRuehl"/>
        <w:color w:val="000000"/>
      </w:rPr>
      <w:pict w14:anchorId="4B68A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8494" w14:textId="77777777" w:rsidR="00231D57" w:rsidRPr="009525E6" w:rsidRDefault="00231D57">
      <w:pPr>
        <w:rPr>
          <w:rFonts w:cs="Arial"/>
          <w:szCs w:val="20"/>
        </w:rPr>
      </w:pPr>
      <w:r>
        <w:separator/>
      </w:r>
    </w:p>
  </w:footnote>
  <w:footnote w:type="continuationSeparator" w:id="0">
    <w:p w14:paraId="4FDDC09D" w14:textId="77777777" w:rsidR="00231D57" w:rsidRPr="009525E6" w:rsidRDefault="00231D5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11580" w14:textId="77777777" w:rsidR="00732B3F" w:rsidRPr="00732B3F" w:rsidRDefault="00732B3F" w:rsidP="00732B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49458-10-13</w:t>
    </w:r>
    <w:r>
      <w:rPr>
        <w:rFonts w:ascii="David" w:hAnsi="David"/>
        <w:color w:val="000000"/>
        <w:sz w:val="22"/>
        <w:szCs w:val="22"/>
        <w:rtl/>
      </w:rPr>
      <w:tab/>
      <w:t xml:space="preserve"> מדינת ישראל נ' זאבי שוייץ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DC903" w14:textId="77777777" w:rsidR="00732B3F" w:rsidRPr="00732B3F" w:rsidRDefault="00732B3F" w:rsidP="00732B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49458-10-13</w:t>
    </w:r>
    <w:r>
      <w:rPr>
        <w:rFonts w:ascii="David" w:hAnsi="David"/>
        <w:color w:val="000000"/>
        <w:sz w:val="22"/>
        <w:szCs w:val="22"/>
        <w:rtl/>
      </w:rPr>
      <w:tab/>
      <w:t xml:space="preserve"> מדינת ישראל נ' זאבי שוייץ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3915"/>
    <w:rsid w:val="00093373"/>
    <w:rsid w:val="00231D57"/>
    <w:rsid w:val="005D010A"/>
    <w:rsid w:val="00732B3F"/>
    <w:rsid w:val="008D4D07"/>
    <w:rsid w:val="00AD409D"/>
    <w:rsid w:val="00D4382F"/>
    <w:rsid w:val="00E03695"/>
    <w:rsid w:val="00FD56C3"/>
    <w:rsid w:val="00FE3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1BA7A13"/>
  <w15:chartTrackingRefBased/>
  <w15:docId w15:val="{A8635338-625E-4D0D-A2E5-ED0FAB44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391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E3915"/>
    <w:pPr>
      <w:tabs>
        <w:tab w:val="center" w:pos="4153"/>
        <w:tab w:val="right" w:pos="8306"/>
      </w:tabs>
    </w:pPr>
  </w:style>
  <w:style w:type="paragraph" w:styleId="a4">
    <w:name w:val="footer"/>
    <w:basedOn w:val="a"/>
    <w:rsid w:val="00FE3915"/>
    <w:pPr>
      <w:tabs>
        <w:tab w:val="center" w:pos="4153"/>
        <w:tab w:val="right" w:pos="8306"/>
      </w:tabs>
    </w:pPr>
  </w:style>
  <w:style w:type="character" w:styleId="a5">
    <w:name w:val="page number"/>
    <w:basedOn w:val="a0"/>
    <w:rsid w:val="00FE3915"/>
  </w:style>
  <w:style w:type="character" w:styleId="Hyperlink">
    <w:name w:val="Hyperlink"/>
    <w:rsid w:val="00732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13"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40d.a" TargetMode="External"/><Relationship Id="rId7" Type="http://schemas.openxmlformats.org/officeDocument/2006/relationships/hyperlink" Target="http://www.nevo.co.il/law/4216/13"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40c.a"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40c.a" TargetMode="External"/><Relationship Id="rId19" Type="http://schemas.openxmlformats.org/officeDocument/2006/relationships/hyperlink" Target="http://www.nevo.co.il/law/70301/40ja"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2103</Words>
  <Characters>10520</Characters>
  <Application>Microsoft Office Word</Application>
  <DocSecurity>0</DocSecurity>
  <Lines>87</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12598</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4915205</vt:i4>
      </vt:variant>
      <vt:variant>
        <vt:i4>45</vt:i4>
      </vt:variant>
      <vt:variant>
        <vt:i4>0</vt:i4>
      </vt:variant>
      <vt:variant>
        <vt:i4>5</vt:i4>
      </vt:variant>
      <vt:variant>
        <vt:lpwstr>http://www.nevo.co.il/law/70301/40d.a</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2025-04-22T22:09:00Z</dcterms:created>
  <dcterms:modified xsi:type="dcterms:W3CDTF">2025-04-22T22:09:00Z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49458</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זאבי שוייץ</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20150304</vt:lpwstr>
  </property>
  <property fmtid="{D5CDD505-2E9C-101B-9397-08002B2CF9AE}" pid="13" name="TYPE_N_DATE">
    <vt:lpwstr>38020150304</vt:lpwstr>
  </property>
  <property fmtid="{D5CDD505-2E9C-101B-9397-08002B2CF9AE}" pid="14" name="WORDNUMPAGES">
    <vt:lpwstr>8</vt:lpwstr>
  </property>
  <property fmtid="{D5CDD505-2E9C-101B-9397-08002B2CF9AE}" pid="15" name="TYPE_ABS_DATE">
    <vt:lpwstr>380020150304</vt:lpwstr>
  </property>
  <property fmtid="{D5CDD505-2E9C-101B-9397-08002B2CF9AE}" pid="16" name="ISABSTRACT">
    <vt:lpwstr>Y</vt:lpwstr>
  </property>
  <property fmtid="{D5CDD505-2E9C-101B-9397-08002B2CF9AE}" pid="17" name="LAWLISTTMP1">
    <vt:lpwstr>4216/013:2;019a</vt:lpwstr>
  </property>
  <property fmtid="{D5CDD505-2E9C-101B-9397-08002B2CF9AE}" pid="18" name="LAWLISTTMP2">
    <vt:lpwstr>70301/040c.a;40ja;040d.a</vt:lpwstr>
  </property>
</Properties>
</file>