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83A68" w:rsidRPr="000E4CA6" w14:paraId="1BB444B7" w14:textId="77777777">
        <w:trPr>
          <w:trHeight w:hRule="exact" w:val="418"/>
          <w:jc w:val="center"/>
        </w:trPr>
        <w:tc>
          <w:tcPr>
            <w:tcW w:w="8720" w:type="dxa"/>
            <w:gridSpan w:val="3"/>
          </w:tcPr>
          <w:p w14:paraId="1EC58CB9" w14:textId="77777777" w:rsidR="00883A68" w:rsidRPr="000E4CA6" w:rsidRDefault="000E4CA6">
            <w:pPr>
              <w:pStyle w:val="a3"/>
              <w:tabs>
                <w:tab w:val="clear" w:pos="8306"/>
              </w:tabs>
              <w:jc w:val="center"/>
              <w:rPr>
                <w:rFonts w:ascii="Tahoma" w:hAnsi="Tahoma" w:cs="Tahoma"/>
                <w:b/>
                <w:bCs/>
                <w:color w:val="000080"/>
                <w:sz w:val="20"/>
                <w:szCs w:val="20"/>
                <w:rtl/>
              </w:rPr>
            </w:pPr>
            <w:bookmarkStart w:id="0" w:name="LastJudge"/>
            <w:r w:rsidRPr="000E4CA6">
              <w:rPr>
                <w:rFonts w:ascii="Tahoma" w:hAnsi="Tahoma" w:cs="Tahoma"/>
                <w:b/>
                <w:bCs/>
                <w:color w:val="000080"/>
                <w:sz w:val="20"/>
                <w:szCs w:val="20"/>
                <w:rtl/>
              </w:rPr>
              <w:t>בית משפט השלום בקריית שמונה</w:t>
            </w:r>
          </w:p>
        </w:tc>
      </w:tr>
      <w:tr w:rsidR="00883A68" w:rsidRPr="000E4CA6" w14:paraId="4169F47A" w14:textId="77777777">
        <w:trPr>
          <w:trHeight w:val="337"/>
          <w:jc w:val="center"/>
        </w:trPr>
        <w:tc>
          <w:tcPr>
            <w:tcW w:w="6396" w:type="dxa"/>
          </w:tcPr>
          <w:p w14:paraId="6DBCDA19" w14:textId="77777777" w:rsidR="00883A68" w:rsidRPr="000E4CA6" w:rsidRDefault="000E4CA6">
            <w:pPr>
              <w:rPr>
                <w:b/>
                <w:bCs/>
                <w:sz w:val="26"/>
                <w:szCs w:val="26"/>
                <w:rtl/>
              </w:rPr>
            </w:pPr>
            <w:r w:rsidRPr="000E4CA6">
              <w:rPr>
                <w:b/>
                <w:bCs/>
                <w:sz w:val="26"/>
                <w:szCs w:val="26"/>
                <w:rtl/>
              </w:rPr>
              <w:t>ת"פ</w:t>
            </w:r>
            <w:r w:rsidRPr="000E4CA6">
              <w:rPr>
                <w:rFonts w:hint="cs"/>
                <w:b/>
                <w:bCs/>
                <w:sz w:val="26"/>
                <w:szCs w:val="26"/>
                <w:rtl/>
              </w:rPr>
              <w:t xml:space="preserve"> </w:t>
            </w:r>
            <w:r w:rsidRPr="000E4CA6">
              <w:rPr>
                <w:b/>
                <w:bCs/>
                <w:sz w:val="26"/>
                <w:szCs w:val="26"/>
                <w:rtl/>
              </w:rPr>
              <w:t>38875-11-13</w:t>
            </w:r>
            <w:r w:rsidRPr="000E4CA6">
              <w:rPr>
                <w:rFonts w:hint="cs"/>
                <w:b/>
                <w:bCs/>
                <w:sz w:val="26"/>
                <w:szCs w:val="26"/>
                <w:rtl/>
              </w:rPr>
              <w:t xml:space="preserve"> </w:t>
            </w:r>
            <w:r w:rsidRPr="000E4CA6">
              <w:rPr>
                <w:b/>
                <w:bCs/>
                <w:sz w:val="26"/>
                <w:szCs w:val="26"/>
                <w:rtl/>
              </w:rPr>
              <w:t>תביעות צפת נ' לוי</w:t>
            </w:r>
          </w:p>
          <w:p w14:paraId="0107E513" w14:textId="77777777" w:rsidR="00883A68" w:rsidRPr="000E4CA6" w:rsidRDefault="00883A68">
            <w:pPr>
              <w:rPr>
                <w:b/>
                <w:bCs/>
                <w:sz w:val="26"/>
                <w:szCs w:val="26"/>
                <w:rtl/>
              </w:rPr>
            </w:pPr>
          </w:p>
        </w:tc>
        <w:tc>
          <w:tcPr>
            <w:tcW w:w="236" w:type="dxa"/>
          </w:tcPr>
          <w:p w14:paraId="26EBC446" w14:textId="77777777" w:rsidR="00883A68" w:rsidRPr="000E4CA6" w:rsidRDefault="00883A68">
            <w:pPr>
              <w:pStyle w:val="a3"/>
              <w:jc w:val="right"/>
              <w:rPr>
                <w:b/>
                <w:bCs/>
                <w:sz w:val="26"/>
                <w:szCs w:val="26"/>
                <w:rtl/>
              </w:rPr>
            </w:pPr>
          </w:p>
        </w:tc>
        <w:tc>
          <w:tcPr>
            <w:tcW w:w="2088" w:type="dxa"/>
          </w:tcPr>
          <w:p w14:paraId="3DD57804" w14:textId="77777777" w:rsidR="00883A68" w:rsidRPr="000E4CA6" w:rsidRDefault="000E4CA6">
            <w:pPr>
              <w:pStyle w:val="a3"/>
              <w:tabs>
                <w:tab w:val="clear" w:pos="4153"/>
              </w:tabs>
              <w:jc w:val="right"/>
              <w:rPr>
                <w:b/>
                <w:bCs/>
                <w:sz w:val="26"/>
                <w:szCs w:val="26"/>
                <w:rtl/>
              </w:rPr>
            </w:pPr>
            <w:r w:rsidRPr="000E4CA6">
              <w:rPr>
                <w:b/>
                <w:bCs/>
                <w:sz w:val="26"/>
                <w:szCs w:val="26"/>
                <w:rtl/>
              </w:rPr>
              <w:t>29 ינואר 2015</w:t>
            </w:r>
          </w:p>
        </w:tc>
      </w:tr>
    </w:tbl>
    <w:p w14:paraId="18D4C556" w14:textId="77777777" w:rsidR="00883A68" w:rsidRPr="000E4CA6" w:rsidRDefault="00883A68">
      <w:pPr>
        <w:pStyle w:val="a3"/>
        <w:jc w:val="center"/>
        <w:rPr>
          <w:rFonts w:ascii="Tahoma" w:hAnsi="Tahoma" w:cs="Tahoma"/>
          <w:b/>
          <w:bCs/>
          <w:color w:val="000080"/>
          <w:sz w:val="20"/>
          <w:szCs w:val="20"/>
          <w:rtl/>
        </w:rPr>
      </w:pPr>
    </w:p>
    <w:p w14:paraId="35A345FD" w14:textId="77777777" w:rsidR="00883A68" w:rsidRPr="000E4CA6" w:rsidRDefault="00883A6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83A68" w:rsidRPr="00881993" w14:paraId="28A8B02C" w14:textId="77777777" w:rsidTr="00881993">
        <w:trPr>
          <w:gridAfter w:val="1"/>
          <w:wAfter w:w="83" w:type="dxa"/>
        </w:trPr>
        <w:tc>
          <w:tcPr>
            <w:tcW w:w="8719" w:type="dxa"/>
            <w:gridSpan w:val="2"/>
          </w:tcPr>
          <w:p w14:paraId="53C0DB44" w14:textId="77777777" w:rsidR="00883A68" w:rsidRPr="00881993" w:rsidRDefault="000E4CA6" w:rsidP="00881993">
            <w:pPr>
              <w:spacing w:before="120" w:after="120" w:line="360" w:lineRule="auto"/>
              <w:rPr>
                <w:rFonts w:ascii="Times New Roman" w:eastAsia="Times New Roman" w:hAnsi="Times New Roman"/>
                <w:b/>
                <w:bCs/>
                <w:sz w:val="26"/>
                <w:szCs w:val="26"/>
                <w:rtl/>
              </w:rPr>
            </w:pPr>
            <w:r w:rsidRPr="00881993">
              <w:rPr>
                <w:rFonts w:ascii="Times New Roman" w:eastAsia="Times New Roman" w:hAnsi="Times New Roman" w:hint="cs"/>
                <w:b/>
                <w:bCs/>
                <w:sz w:val="26"/>
                <w:szCs w:val="26"/>
                <w:rtl/>
              </w:rPr>
              <w:t>בפני כב' ה</w:t>
            </w:r>
            <w:r w:rsidRPr="00881993">
              <w:rPr>
                <w:rFonts w:ascii="Times New Roman" w:eastAsia="Times New Roman" w:hAnsi="Times New Roman" w:hint="cs"/>
                <w:b/>
                <w:bCs/>
                <w:rtl/>
              </w:rPr>
              <w:t>שופטת רות שפילברג כהן</w:t>
            </w:r>
            <w:r w:rsidRPr="00881993">
              <w:rPr>
                <w:rStyle w:val="TimesNewRomanTimesNewRoman"/>
                <w:rFonts w:eastAsia="Times New Roman"/>
                <w:b w:val="0"/>
                <w:bCs w:val="0"/>
                <w:rtl/>
              </w:rPr>
              <w:t xml:space="preserve"> </w:t>
            </w:r>
          </w:p>
        </w:tc>
      </w:tr>
      <w:tr w:rsidR="00883A68" w:rsidRPr="000E4CA6" w14:paraId="4F04708D" w14:textId="77777777">
        <w:tc>
          <w:tcPr>
            <w:tcW w:w="2880" w:type="dxa"/>
          </w:tcPr>
          <w:p w14:paraId="6A7B541C" w14:textId="77777777" w:rsidR="00883A68" w:rsidRPr="00881993" w:rsidRDefault="000E4CA6" w:rsidP="00881993">
            <w:pPr>
              <w:spacing w:before="120" w:after="120"/>
              <w:ind w:left="26"/>
              <w:rPr>
                <w:rFonts w:ascii="Times New Roman" w:eastAsia="Times New Roman" w:hAnsi="Times New Roman"/>
                <w:b/>
                <w:bCs/>
                <w:sz w:val="26"/>
                <w:szCs w:val="26"/>
                <w:rtl/>
              </w:rPr>
            </w:pPr>
            <w:bookmarkStart w:id="1" w:name="FirstAppellant"/>
            <w:r w:rsidRPr="00881993">
              <w:rPr>
                <w:rFonts w:ascii="Times New Roman" w:eastAsia="Times New Roman" w:hAnsi="Times New Roman" w:hint="cs"/>
                <w:b/>
                <w:bCs/>
                <w:sz w:val="26"/>
                <w:szCs w:val="26"/>
                <w:rtl/>
              </w:rPr>
              <w:t>ה</w:t>
            </w:r>
            <w:r w:rsidRPr="00881993">
              <w:rPr>
                <w:rFonts w:ascii="Times New Roman" w:eastAsia="Times New Roman" w:hAnsi="Times New Roman" w:hint="cs"/>
                <w:b/>
                <w:bCs/>
                <w:rtl/>
              </w:rPr>
              <w:t>מאשימה</w:t>
            </w:r>
          </w:p>
        </w:tc>
        <w:tc>
          <w:tcPr>
            <w:tcW w:w="5922" w:type="dxa"/>
            <w:gridSpan w:val="2"/>
          </w:tcPr>
          <w:p w14:paraId="1856A4FE" w14:textId="77777777" w:rsidR="00883A68" w:rsidRPr="00881993" w:rsidRDefault="000E4CA6" w:rsidP="00881993">
            <w:pPr>
              <w:spacing w:before="120" w:after="120"/>
              <w:rPr>
                <w:rFonts w:ascii="Times New Roman" w:eastAsia="Times New Roman" w:hAnsi="Times New Roman"/>
                <w:b/>
                <w:bCs/>
                <w:sz w:val="26"/>
                <w:szCs w:val="26"/>
                <w:rtl/>
              </w:rPr>
            </w:pPr>
            <w:r w:rsidRPr="00881993">
              <w:rPr>
                <w:rFonts w:ascii="Times New Roman" w:eastAsia="Times New Roman" w:hAnsi="Times New Roman" w:hint="cs"/>
                <w:b/>
                <w:bCs/>
                <w:rtl/>
              </w:rPr>
              <w:t>תביעות צפת</w:t>
            </w:r>
          </w:p>
        </w:tc>
      </w:tr>
      <w:bookmarkEnd w:id="1"/>
      <w:tr w:rsidR="00883A68" w:rsidRPr="000E4CA6" w14:paraId="62511C6E" w14:textId="77777777">
        <w:tc>
          <w:tcPr>
            <w:tcW w:w="8802" w:type="dxa"/>
            <w:gridSpan w:val="3"/>
          </w:tcPr>
          <w:p w14:paraId="785EA79D" w14:textId="77777777" w:rsidR="00883A68" w:rsidRPr="00881993" w:rsidRDefault="000E4CA6" w:rsidP="00881993">
            <w:pPr>
              <w:spacing w:before="120" w:after="120"/>
              <w:jc w:val="center"/>
              <w:rPr>
                <w:rFonts w:ascii="Arial" w:eastAsia="Times New Roman" w:hAnsi="Arial" w:hint="cs"/>
                <w:b/>
                <w:bCs/>
                <w:sz w:val="26"/>
                <w:szCs w:val="26"/>
              </w:rPr>
            </w:pPr>
            <w:r w:rsidRPr="00881993">
              <w:rPr>
                <w:rFonts w:ascii="Arial" w:eastAsia="Times New Roman" w:hAnsi="Arial"/>
                <w:b/>
                <w:bCs/>
                <w:sz w:val="26"/>
                <w:szCs w:val="26"/>
                <w:rtl/>
              </w:rPr>
              <w:t>נגד</w:t>
            </w:r>
          </w:p>
        </w:tc>
      </w:tr>
      <w:tr w:rsidR="00883A68" w:rsidRPr="000E4CA6" w14:paraId="358AB3CA" w14:textId="77777777" w:rsidTr="00881993">
        <w:tc>
          <w:tcPr>
            <w:tcW w:w="2880" w:type="dxa"/>
          </w:tcPr>
          <w:p w14:paraId="5CBCA577" w14:textId="77777777" w:rsidR="00883A68" w:rsidRPr="00881993" w:rsidRDefault="000E4CA6" w:rsidP="00881993">
            <w:pPr>
              <w:spacing w:before="120" w:after="120"/>
              <w:ind w:left="26"/>
              <w:rPr>
                <w:rFonts w:ascii="Times New Roman" w:eastAsia="Times New Roman" w:hAnsi="Times New Roman"/>
                <w:b/>
                <w:bCs/>
                <w:sz w:val="26"/>
                <w:szCs w:val="26"/>
                <w:rtl/>
              </w:rPr>
            </w:pPr>
            <w:r w:rsidRPr="00881993">
              <w:rPr>
                <w:rFonts w:ascii="Times New Roman" w:eastAsia="Times New Roman" w:hAnsi="Times New Roman" w:hint="cs"/>
                <w:b/>
                <w:bCs/>
                <w:sz w:val="26"/>
                <w:szCs w:val="26"/>
                <w:rtl/>
              </w:rPr>
              <w:t>הנאשם</w:t>
            </w:r>
          </w:p>
        </w:tc>
        <w:tc>
          <w:tcPr>
            <w:tcW w:w="5922" w:type="dxa"/>
            <w:gridSpan w:val="2"/>
          </w:tcPr>
          <w:p w14:paraId="4C24A996" w14:textId="77777777" w:rsidR="00883A68" w:rsidRPr="00881993" w:rsidRDefault="000E4CA6" w:rsidP="00881993">
            <w:pPr>
              <w:spacing w:before="120" w:after="120"/>
              <w:rPr>
                <w:rFonts w:ascii="Times New Roman" w:eastAsia="Times New Roman" w:hAnsi="Times New Roman"/>
                <w:b/>
                <w:bCs/>
                <w:sz w:val="26"/>
                <w:szCs w:val="26"/>
                <w:rtl/>
              </w:rPr>
            </w:pPr>
            <w:r w:rsidRPr="00881993">
              <w:rPr>
                <w:rFonts w:ascii="Times New Roman" w:eastAsia="Times New Roman" w:hAnsi="Times New Roman" w:hint="cs"/>
                <w:b/>
                <w:bCs/>
                <w:rtl/>
              </w:rPr>
              <w:t>יואב רפאל לוי</w:t>
            </w:r>
          </w:p>
        </w:tc>
      </w:tr>
    </w:tbl>
    <w:p w14:paraId="25200D1F" w14:textId="77777777" w:rsidR="00883A68" w:rsidRPr="000E4CA6" w:rsidRDefault="000E4CA6">
      <w:pPr>
        <w:pStyle w:val="12"/>
        <w:rPr>
          <w:u w:val="none"/>
          <w:rtl/>
        </w:rPr>
      </w:pPr>
      <w:r w:rsidRPr="000E4CA6">
        <w:rPr>
          <w:rFonts w:hint="cs"/>
          <w:u w:val="none"/>
          <w:rtl/>
        </w:rPr>
        <w:t>נוכחים:</w:t>
      </w:r>
    </w:p>
    <w:p w14:paraId="59A435B4" w14:textId="77777777" w:rsidR="00883A68" w:rsidRPr="000E4CA6" w:rsidRDefault="00883A68">
      <w:pPr>
        <w:pStyle w:val="12"/>
        <w:rPr>
          <w:sz w:val="4"/>
          <w:szCs w:val="4"/>
          <w:u w:val="none"/>
          <w:rtl/>
        </w:rPr>
      </w:pPr>
    </w:p>
    <w:p w14:paraId="0BAD1342" w14:textId="77777777" w:rsidR="00883A68" w:rsidRPr="000E4CA6" w:rsidRDefault="000E4CA6">
      <w:pPr>
        <w:pStyle w:val="12"/>
        <w:rPr>
          <w:u w:val="none"/>
          <w:rtl/>
        </w:rPr>
      </w:pPr>
      <w:bookmarkStart w:id="2" w:name="FirstLawyer"/>
      <w:r w:rsidRPr="000E4CA6">
        <w:rPr>
          <w:rFonts w:hint="cs"/>
          <w:u w:val="none"/>
          <w:rtl/>
        </w:rPr>
        <w:t>ב"כ</w:t>
      </w:r>
      <w:bookmarkEnd w:id="2"/>
      <w:r w:rsidRPr="000E4CA6">
        <w:rPr>
          <w:rFonts w:hint="cs"/>
          <w:u w:val="none"/>
          <w:rtl/>
        </w:rPr>
        <w:t xml:space="preserve"> המאשימה: עו"ד מאור מזרחי</w:t>
      </w:r>
    </w:p>
    <w:p w14:paraId="09C88ECA" w14:textId="77777777" w:rsidR="00881993" w:rsidRDefault="000E4CA6">
      <w:pPr>
        <w:pStyle w:val="12"/>
        <w:rPr>
          <w:b w:val="0"/>
          <w:bCs w:val="0"/>
          <w:u w:val="none"/>
          <w:rtl/>
        </w:rPr>
      </w:pPr>
      <w:r w:rsidRPr="000E4CA6">
        <w:rPr>
          <w:rFonts w:hint="cs"/>
          <w:u w:val="none"/>
          <w:rtl/>
        </w:rPr>
        <w:t>הנאשם: בעצמו, וע"י ב"כ עו"ד רולא ברכאת</w:t>
      </w:r>
      <w:bookmarkStart w:id="3" w:name="LawTable"/>
      <w:bookmarkEnd w:id="3"/>
    </w:p>
    <w:p w14:paraId="6E1A9D9E" w14:textId="77777777" w:rsidR="00881993" w:rsidRPr="00881993" w:rsidRDefault="00881993" w:rsidP="00881993">
      <w:pPr>
        <w:pStyle w:val="12"/>
        <w:spacing w:after="120" w:line="240" w:lineRule="exact"/>
        <w:ind w:left="283" w:hanging="283"/>
        <w:jc w:val="both"/>
        <w:rPr>
          <w:rFonts w:ascii="FrankRuehl" w:hAnsi="FrankRuehl" w:cs="FrankRuehl"/>
          <w:b w:val="0"/>
          <w:bCs w:val="0"/>
          <w:u w:val="none"/>
          <w:rtl/>
        </w:rPr>
      </w:pPr>
    </w:p>
    <w:p w14:paraId="0E1DA61F" w14:textId="77777777" w:rsidR="00881993" w:rsidRPr="00881993" w:rsidRDefault="00881993" w:rsidP="00881993">
      <w:pPr>
        <w:pStyle w:val="12"/>
        <w:spacing w:after="120" w:line="240" w:lineRule="exact"/>
        <w:ind w:left="283" w:hanging="283"/>
        <w:jc w:val="both"/>
        <w:rPr>
          <w:rFonts w:ascii="FrankRuehl" w:hAnsi="FrankRuehl" w:cs="FrankRuehl"/>
          <w:b w:val="0"/>
          <w:bCs w:val="0"/>
          <w:u w:val="none"/>
          <w:rtl/>
        </w:rPr>
      </w:pPr>
      <w:r w:rsidRPr="00881993">
        <w:rPr>
          <w:rFonts w:ascii="FrankRuehl" w:hAnsi="FrankRuehl" w:cs="FrankRuehl"/>
          <w:b w:val="0"/>
          <w:bCs w:val="0"/>
          <w:u w:val="none"/>
          <w:rtl/>
        </w:rPr>
        <w:t xml:space="preserve">חקיקה שאוזכרה: </w:t>
      </w:r>
    </w:p>
    <w:p w14:paraId="227AA025" w14:textId="77777777" w:rsidR="00881993" w:rsidRPr="00881993" w:rsidRDefault="00881993" w:rsidP="00881993">
      <w:pPr>
        <w:pStyle w:val="12"/>
        <w:spacing w:after="120" w:line="240" w:lineRule="exact"/>
        <w:ind w:left="283" w:hanging="283"/>
        <w:jc w:val="both"/>
        <w:rPr>
          <w:rFonts w:ascii="FrankRuehl" w:hAnsi="FrankRuehl" w:cs="FrankRuehl"/>
          <w:b w:val="0"/>
          <w:bCs w:val="0"/>
          <w:u w:val="none"/>
          <w:rtl/>
        </w:rPr>
      </w:pPr>
      <w:hyperlink r:id="rId6" w:history="1">
        <w:r w:rsidRPr="00881993">
          <w:rPr>
            <w:rFonts w:ascii="FrankRuehl" w:hAnsi="FrankRuehl" w:cs="FrankRuehl"/>
            <w:b w:val="0"/>
            <w:bCs w:val="0"/>
            <w:color w:val="0000FF"/>
            <w:rtl/>
          </w:rPr>
          <w:t>פקודת הסמים המסוכנים [נוסח חדש], תשל"ג-1973</w:t>
        </w:r>
      </w:hyperlink>
      <w:r w:rsidRPr="00881993">
        <w:rPr>
          <w:rFonts w:ascii="FrankRuehl" w:hAnsi="FrankRuehl" w:cs="FrankRuehl"/>
          <w:b w:val="0"/>
          <w:bCs w:val="0"/>
          <w:u w:val="none"/>
          <w:rtl/>
        </w:rPr>
        <w:t xml:space="preserve">: סע'  </w:t>
      </w:r>
      <w:hyperlink r:id="rId7" w:history="1">
        <w:r w:rsidRPr="00881993">
          <w:rPr>
            <w:rFonts w:ascii="FrankRuehl" w:hAnsi="FrankRuehl" w:cs="FrankRuehl"/>
            <w:b w:val="0"/>
            <w:bCs w:val="0"/>
            <w:color w:val="0000FF"/>
            <w:rtl/>
          </w:rPr>
          <w:t>7(א</w:t>
        </w:r>
      </w:hyperlink>
      <w:r w:rsidRPr="00881993">
        <w:rPr>
          <w:rFonts w:ascii="FrankRuehl" w:hAnsi="FrankRuehl" w:cs="FrankRuehl"/>
          <w:b w:val="0"/>
          <w:bCs w:val="0"/>
          <w:u w:val="none"/>
          <w:rtl/>
        </w:rPr>
        <w:t xml:space="preserve">, </w:t>
      </w:r>
      <w:hyperlink r:id="rId8" w:history="1">
        <w:r w:rsidRPr="00881993">
          <w:rPr>
            <w:rFonts w:ascii="FrankRuehl" w:hAnsi="FrankRuehl" w:cs="FrankRuehl"/>
            <w:b w:val="0"/>
            <w:bCs w:val="0"/>
            <w:color w:val="0000FF"/>
            <w:rtl/>
          </w:rPr>
          <w:t>7(ג)</w:t>
        </w:r>
      </w:hyperlink>
    </w:p>
    <w:p w14:paraId="555E7DB6" w14:textId="77777777" w:rsidR="00881993" w:rsidRPr="00881993" w:rsidRDefault="00881993" w:rsidP="00881993">
      <w:pPr>
        <w:pStyle w:val="12"/>
        <w:spacing w:after="120" w:line="240" w:lineRule="exact"/>
        <w:ind w:left="283" w:hanging="283"/>
        <w:jc w:val="both"/>
        <w:rPr>
          <w:rFonts w:ascii="FrankRuehl" w:hAnsi="FrankRuehl" w:cs="FrankRuehl"/>
          <w:b w:val="0"/>
          <w:bCs w:val="0"/>
          <w:u w:val="none"/>
          <w:rtl/>
        </w:rPr>
      </w:pPr>
    </w:p>
    <w:p w14:paraId="250999E4" w14:textId="77777777" w:rsidR="00881993" w:rsidRDefault="00881993" w:rsidP="00881993">
      <w:pPr>
        <w:pBdr>
          <w:top w:val="single" w:sz="4" w:space="0"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StartProtocol"/>
      <w:bookmarkStart w:id="6" w:name="LawTableEnd"/>
      <w:bookmarkStart w:id="7" w:name="ABSTRACT_START"/>
      <w:bookmarkEnd w:id="4"/>
      <w:bookmarkEnd w:id="6"/>
      <w:bookmarkEnd w:id="7"/>
      <w:r>
        <w:rPr>
          <w:rFonts w:ascii="Times New Roman" w:hAnsi="Times New Roman" w:cs="FrankRuehl"/>
          <w:szCs w:val="26"/>
          <w:rtl/>
        </w:rPr>
        <w:t>מיני-רציו:</w:t>
      </w:r>
    </w:p>
    <w:p w14:paraId="7C619372" w14:textId="77777777" w:rsidR="00881993" w:rsidRPr="00881993" w:rsidRDefault="00881993" w:rsidP="00881993">
      <w:pPr>
        <w:pBdr>
          <w:top w:val="single" w:sz="4" w:space="0" w:color="auto"/>
          <w:bottom w:val="single" w:sz="4" w:space="1" w:color="auto"/>
        </w:pBdr>
        <w:spacing w:after="120" w:line="320" w:lineRule="exact"/>
        <w:jc w:val="both"/>
        <w:rPr>
          <w:rFonts w:ascii="Times New Roman" w:hAnsi="Times New Roman" w:cs="FrankRuehl"/>
          <w:szCs w:val="26"/>
        </w:rPr>
      </w:pPr>
      <w:r>
        <w:rPr>
          <w:rFonts w:ascii="Times New Roman" w:hAnsi="Times New Roman" w:cs="FrankRuehl" w:hint="cs"/>
          <w:szCs w:val="26"/>
          <w:rtl/>
        </w:rPr>
        <w:t xml:space="preserve">* </w:t>
      </w:r>
      <w:r w:rsidRPr="00881993">
        <w:rPr>
          <w:rFonts w:ascii="Times New Roman" w:hAnsi="Times New Roman" w:cs="FrankRuehl" w:hint="cs"/>
          <w:szCs w:val="26"/>
          <w:rtl/>
        </w:rPr>
        <w:t>בית משפט השלום נמנע מהרשעת הנאשם שהודה בהחזקת סם לצריכה עצמית.</w:t>
      </w:r>
    </w:p>
    <w:p w14:paraId="46627187" w14:textId="77777777" w:rsidR="00881993" w:rsidRDefault="00881993" w:rsidP="00881993">
      <w:pPr>
        <w:pBdr>
          <w:top w:val="single" w:sz="4" w:space="0"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הימנעות מהרשעה</w:t>
      </w:r>
    </w:p>
    <w:p w14:paraId="49AA1E49" w14:textId="77777777" w:rsidR="00881993" w:rsidRDefault="00881993" w:rsidP="00881993">
      <w:pPr>
        <w:pBdr>
          <w:top w:val="single" w:sz="4" w:space="0"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E58B2FC" w14:textId="77777777" w:rsidR="00D9705A" w:rsidRPr="00881993" w:rsidRDefault="00D9705A" w:rsidP="00881993">
      <w:pPr>
        <w:pBdr>
          <w:top w:val="single" w:sz="4" w:space="0" w:color="auto"/>
          <w:bottom w:val="single" w:sz="4" w:space="1" w:color="auto"/>
        </w:pBdr>
        <w:spacing w:after="120" w:line="320" w:lineRule="exact"/>
        <w:jc w:val="both"/>
        <w:rPr>
          <w:rFonts w:ascii="Times New Roman" w:hAnsi="Times New Roman" w:cs="FrankRuehl"/>
          <w:szCs w:val="26"/>
        </w:rPr>
      </w:pPr>
      <w:r w:rsidRPr="00881993">
        <w:rPr>
          <w:rFonts w:ascii="Times New Roman" w:hAnsi="Times New Roman" w:cs="FrankRuehl" w:hint="cs"/>
          <w:szCs w:val="26"/>
          <w:rtl/>
        </w:rPr>
        <w:t>גזר דינו של הנאשם שהודה במסגרת הסדר טיעון בהחזקת סם לצריכה עצמית.</w:t>
      </w:r>
    </w:p>
    <w:p w14:paraId="4BD72691" w14:textId="77777777" w:rsidR="00D9705A" w:rsidRPr="00881993" w:rsidRDefault="00881993" w:rsidP="00881993">
      <w:pPr>
        <w:pBdr>
          <w:top w:val="single" w:sz="4" w:space="0" w:color="auto"/>
          <w:bottom w:val="single" w:sz="4" w:space="1" w:color="auto"/>
        </w:pBdr>
        <w:spacing w:after="120" w:line="320" w:lineRule="exact"/>
        <w:jc w:val="both"/>
        <w:rPr>
          <w:rFonts w:ascii="Times New Roman" w:hAnsi="Times New Roman" w:cs="FrankRuehl" w:hint="cs"/>
          <w:szCs w:val="26"/>
        </w:rPr>
      </w:pPr>
      <w:r>
        <w:rPr>
          <w:rFonts w:ascii="Times New Roman" w:hAnsi="Times New Roman" w:cs="FrankRuehl" w:hint="cs"/>
          <w:szCs w:val="26"/>
          <w:rtl/>
        </w:rPr>
        <w:t>.</w:t>
      </w:r>
    </w:p>
    <w:p w14:paraId="17EF6B49" w14:textId="77777777" w:rsidR="00D9705A" w:rsidRPr="00881993" w:rsidRDefault="00D9705A" w:rsidP="00881993">
      <w:pPr>
        <w:pBdr>
          <w:top w:val="single" w:sz="4" w:space="0" w:color="auto"/>
          <w:bottom w:val="single" w:sz="4" w:space="1" w:color="auto"/>
        </w:pBdr>
        <w:spacing w:after="120" w:line="320" w:lineRule="exact"/>
        <w:jc w:val="both"/>
        <w:rPr>
          <w:rFonts w:ascii="Times New Roman" w:hAnsi="Times New Roman" w:cs="FrankRuehl"/>
          <w:szCs w:val="26"/>
        </w:rPr>
      </w:pPr>
      <w:r w:rsidRPr="00881993">
        <w:rPr>
          <w:rFonts w:ascii="Times New Roman" w:hAnsi="Times New Roman" w:cs="FrankRuehl" w:hint="cs"/>
          <w:szCs w:val="26"/>
          <w:rtl/>
        </w:rPr>
        <w:t>בית משפט השלום גזר את דינו של הנאשם ללא הרשעה וקבע כי:</w:t>
      </w:r>
    </w:p>
    <w:p w14:paraId="56F3847E" w14:textId="77777777" w:rsidR="00D9705A" w:rsidRPr="00881993" w:rsidRDefault="00D9705A" w:rsidP="00881993">
      <w:pPr>
        <w:pBdr>
          <w:top w:val="single" w:sz="4" w:space="0" w:color="auto"/>
          <w:bottom w:val="single" w:sz="4" w:space="1" w:color="auto"/>
        </w:pBdr>
        <w:spacing w:after="120" w:line="320" w:lineRule="exact"/>
        <w:jc w:val="both"/>
        <w:rPr>
          <w:rFonts w:ascii="Times New Roman" w:hAnsi="Times New Roman" w:cs="FrankRuehl" w:hint="cs"/>
          <w:szCs w:val="26"/>
          <w:rtl/>
        </w:rPr>
      </w:pPr>
      <w:r w:rsidRPr="00881993">
        <w:rPr>
          <w:rFonts w:ascii="Times New Roman" w:hAnsi="Times New Roman" w:cs="FrankRuehl" w:hint="cs"/>
          <w:szCs w:val="26"/>
          <w:rtl/>
        </w:rPr>
        <w:t>עבירות החזקת סמים לצריכה עצמית הוכרו בפסיקה כעבירות חמורות, ואולם מדיניות הענישה, ואף שאלת ההרשעה בדין, נקבעות בהתחשב בנסיבות העבירה, לרבות כמות הסם המסוכן, סוגו ואופן החזקתו או צריכתו, ועוד יותר מכך, בהתחשב בנסיבות המבצע. רשויות התביעה ובתי המשפט מגלים עמדה עונשית מתונה כלפי נאשמים נעדרי עבר פלילי, אשר מסתבכים לראשונה בעבירת החזקת סמים לצריכה עצמית בכמויות קטנות.</w:t>
      </w:r>
    </w:p>
    <w:p w14:paraId="572EBFB9" w14:textId="77777777" w:rsidR="00D9705A" w:rsidRPr="00881993" w:rsidRDefault="00D9705A" w:rsidP="00881993">
      <w:pPr>
        <w:pBdr>
          <w:top w:val="single" w:sz="4" w:space="0" w:color="auto"/>
          <w:bottom w:val="single" w:sz="4" w:space="1" w:color="auto"/>
        </w:pBdr>
        <w:spacing w:after="120" w:line="320" w:lineRule="exact"/>
        <w:jc w:val="both"/>
        <w:rPr>
          <w:rFonts w:ascii="Times New Roman" w:hAnsi="Times New Roman" w:cs="FrankRuehl" w:hint="cs"/>
          <w:szCs w:val="26"/>
          <w:rtl/>
        </w:rPr>
      </w:pPr>
      <w:r w:rsidRPr="00881993">
        <w:rPr>
          <w:rFonts w:ascii="Times New Roman" w:hAnsi="Times New Roman" w:cs="FrankRuehl" w:hint="cs"/>
          <w:szCs w:val="26"/>
          <w:rtl/>
        </w:rPr>
        <w:t>הכלל הוא, לגבי נאשמים בגירים, כי נאשם שהודה בעובדות כתב האישום יש להרשיעו בדין.</w:t>
      </w:r>
      <w:r w:rsidR="00881993">
        <w:rPr>
          <w:rFonts w:ascii="Times New Roman" w:hAnsi="Times New Roman" w:cs="FrankRuehl" w:hint="cs"/>
          <w:szCs w:val="26"/>
          <w:rtl/>
        </w:rPr>
        <w:t xml:space="preserve"> </w:t>
      </w:r>
      <w:r w:rsidRPr="00881993">
        <w:rPr>
          <w:rFonts w:ascii="Times New Roman" w:hAnsi="Times New Roman" w:cs="FrankRuehl" w:hint="cs"/>
          <w:szCs w:val="26"/>
          <w:rtl/>
        </w:rPr>
        <w:t>הימנעות מהרשעה הנו, לפיכך, חריג לכלל זה. הימנעות מהרשעה בדין אפשרית בהצטבר שני גורמים: ראשית, על ההרשעה לפגוע פגיעה חמורה בשיקום הנאשם, ושנית, סוג העבירה מאפשר לוותר בנסיבות המקרה המסוים על ההרשעה, מבלי לפגוע באופן מהותי בשיקולי הענישה האחרים. בנסיבות המקרה מדובר בעבירה, אשר בנסיבותיה מאפשרת לוותר על ההרשעה, מבלי ששיקולי הענישה ייפגעו פגיעה קשה. לעומת זאת לא נראה כי הנאשם ייפגע חמורות מהרשעה. נראה גם כי הנאשם לא נושא, במידה האופטימ</w:t>
      </w:r>
      <w:r w:rsidR="00881993">
        <w:rPr>
          <w:rFonts w:ascii="Times New Roman" w:hAnsi="Times New Roman" w:cs="FrankRuehl" w:hint="cs"/>
          <w:szCs w:val="26"/>
          <w:rtl/>
        </w:rPr>
        <w:t>א</w:t>
      </w:r>
      <w:r w:rsidRPr="00881993">
        <w:rPr>
          <w:rFonts w:ascii="Times New Roman" w:hAnsi="Times New Roman" w:cs="FrankRuehl" w:hint="cs"/>
          <w:szCs w:val="26"/>
          <w:rtl/>
        </w:rPr>
        <w:t>לית, באחריות למעשיו, אך למרות זאת קבע בית המשפט כי אין להרשיע את הנאשם.</w:t>
      </w:r>
    </w:p>
    <w:p w14:paraId="377DEFE7" w14:textId="77777777" w:rsidR="00D9705A" w:rsidRPr="000E4CA6" w:rsidRDefault="00D9705A">
      <w:pPr>
        <w:pStyle w:val="12"/>
        <w:jc w:val="center"/>
        <w:rPr>
          <w:rFonts w:hint="cs"/>
          <w:sz w:val="32"/>
          <w:szCs w:val="32"/>
          <w:u w:val="none"/>
          <w:rtl/>
        </w:rPr>
      </w:pPr>
      <w:bookmarkStart w:id="8" w:name="ABSTRACT_END"/>
      <w:bookmarkEnd w:id="8"/>
    </w:p>
    <w:p w14:paraId="756946A2" w14:textId="77777777" w:rsidR="000E4CA6" w:rsidRPr="000E4CA6" w:rsidRDefault="00D9705A" w:rsidP="000E4CA6">
      <w:pPr>
        <w:spacing w:line="360" w:lineRule="auto"/>
        <w:jc w:val="center"/>
        <w:rPr>
          <w:rFonts w:ascii="Times New Roman" w:eastAsia="Times New Roman" w:hAnsi="Times New Roman" w:hint="cs"/>
          <w:b/>
          <w:bCs/>
          <w:sz w:val="32"/>
          <w:szCs w:val="32"/>
          <w:u w:val="single"/>
          <w:rtl/>
        </w:rPr>
      </w:pPr>
      <w:bookmarkStart w:id="9" w:name="PsakDin"/>
      <w:bookmarkEnd w:id="0"/>
      <w:bookmarkEnd w:id="5"/>
      <w:r>
        <w:rPr>
          <w:rFonts w:ascii="Times New Roman" w:eastAsia="Times New Roman" w:hAnsi="Times New Roman" w:hint="cs"/>
          <w:b/>
          <w:bCs/>
          <w:sz w:val="32"/>
          <w:szCs w:val="32"/>
          <w:u w:val="single"/>
          <w:rtl/>
        </w:rPr>
        <w:lastRenderedPageBreak/>
        <w:t>גזר דין</w:t>
      </w:r>
    </w:p>
    <w:bookmarkEnd w:id="9"/>
    <w:p w14:paraId="62C7AD42" w14:textId="77777777" w:rsidR="00883A68" w:rsidRDefault="000E4CA6">
      <w:pPr>
        <w:spacing w:after="200" w:line="360" w:lineRule="auto"/>
        <w:ind w:left="720" w:hanging="720"/>
        <w:jc w:val="both"/>
        <w:rPr>
          <w:rFonts w:ascii="Calibri" w:hAnsi="Calibri"/>
        </w:rPr>
      </w:pPr>
      <w:r>
        <w:rPr>
          <w:rtl/>
        </w:rPr>
        <w:t xml:space="preserve"> </w:t>
      </w:r>
      <w:r>
        <w:rPr>
          <w:rFonts w:ascii="Calibri" w:hAnsi="Calibri" w:hint="cs"/>
          <w:rtl/>
        </w:rPr>
        <w:t xml:space="preserve">1. </w:t>
      </w:r>
      <w:r>
        <w:rPr>
          <w:rFonts w:ascii="Calibri" w:hAnsi="Calibri" w:hint="cs"/>
          <w:rtl/>
        </w:rPr>
        <w:tab/>
        <w:t xml:space="preserve">הנאשם הואשם בכך שביום 17.6.13 החזיק בביתו סם מסוכן מסוג חשיש, במשקל כולל של </w:t>
      </w:r>
      <w:smartTag w:uri="urn:schemas-microsoft-com:office:smarttags" w:element="metricconverter">
        <w:smartTagPr>
          <w:attr w:name="ProductID" w:val="4.94 גרם"/>
        </w:smartTagPr>
        <w:r>
          <w:rPr>
            <w:rFonts w:ascii="Calibri" w:hAnsi="Calibri" w:hint="cs"/>
            <w:rtl/>
          </w:rPr>
          <w:t>4.94 גרם</w:t>
        </w:r>
      </w:smartTag>
      <w:r>
        <w:rPr>
          <w:rFonts w:ascii="Calibri" w:hAnsi="Calibri" w:hint="cs"/>
          <w:rtl/>
        </w:rPr>
        <w:t xml:space="preserve"> נטו, לצריכתו העצמית.</w:t>
      </w:r>
    </w:p>
    <w:p w14:paraId="214EB949" w14:textId="77777777" w:rsidR="00883A68" w:rsidRDefault="000E4CA6">
      <w:pPr>
        <w:spacing w:after="200" w:line="360" w:lineRule="auto"/>
        <w:ind w:left="720"/>
        <w:jc w:val="both"/>
        <w:rPr>
          <w:rFonts w:ascii="Calibri" w:hAnsi="Calibri"/>
          <w:rtl/>
        </w:rPr>
      </w:pPr>
      <w:r>
        <w:rPr>
          <w:rFonts w:ascii="Calibri" w:hAnsi="Calibri" w:hint="cs"/>
          <w:rtl/>
        </w:rPr>
        <w:t xml:space="preserve">על בסיס עובדה זו יוחסה לנאשם, בכתב האישום, עבירת החזקת סם לצריכה עצמית, על פי </w:t>
      </w:r>
      <w:hyperlink r:id="rId9" w:history="1">
        <w:r w:rsidR="00043908" w:rsidRPr="00043908">
          <w:rPr>
            <w:rStyle w:val="Hyperlink"/>
            <w:rFonts w:ascii="Calibri" w:hAnsi="Calibri" w:hint="eastAsia"/>
            <w:rtl/>
          </w:rPr>
          <w:t>סעיף</w:t>
        </w:r>
        <w:r w:rsidR="00043908" w:rsidRPr="00043908">
          <w:rPr>
            <w:rStyle w:val="Hyperlink"/>
            <w:rFonts w:ascii="Calibri" w:hAnsi="Calibri"/>
            <w:rtl/>
          </w:rPr>
          <w:t xml:space="preserve"> 7(</w:t>
        </w:r>
        <w:r w:rsidR="00043908" w:rsidRPr="00043908">
          <w:rPr>
            <w:rStyle w:val="Hyperlink"/>
            <w:rFonts w:ascii="Calibri" w:hAnsi="Calibri" w:hint="eastAsia"/>
            <w:rtl/>
          </w:rPr>
          <w:t>א</w:t>
        </w:r>
      </w:hyperlink>
      <w:r>
        <w:rPr>
          <w:rFonts w:ascii="Calibri" w:hAnsi="Calibri" w:hint="cs"/>
          <w:rtl/>
        </w:rPr>
        <w:t>)+</w:t>
      </w:r>
      <w:hyperlink r:id="rId10" w:history="1">
        <w:r w:rsidR="00043908" w:rsidRPr="00043908">
          <w:rPr>
            <w:rStyle w:val="Hyperlink"/>
            <w:rFonts w:ascii="Calibri" w:hAnsi="Calibri"/>
            <w:rtl/>
          </w:rPr>
          <w:t>7(</w:t>
        </w:r>
        <w:r w:rsidR="00043908" w:rsidRPr="00043908">
          <w:rPr>
            <w:rStyle w:val="Hyperlink"/>
            <w:rFonts w:ascii="Calibri" w:hAnsi="Calibri" w:hint="eastAsia"/>
            <w:rtl/>
          </w:rPr>
          <w:t>ג</w:t>
        </w:r>
        <w:r w:rsidR="00043908" w:rsidRPr="00043908">
          <w:rPr>
            <w:rStyle w:val="Hyperlink"/>
            <w:rFonts w:ascii="Calibri" w:hAnsi="Calibri"/>
            <w:rtl/>
          </w:rPr>
          <w:t>)</w:t>
        </w:r>
      </w:hyperlink>
      <w:r>
        <w:rPr>
          <w:rFonts w:ascii="Calibri" w:hAnsi="Calibri" w:hint="cs"/>
          <w:rtl/>
        </w:rPr>
        <w:t xml:space="preserve"> סיפא ל</w:t>
      </w:r>
      <w:hyperlink r:id="rId11" w:history="1">
        <w:r w:rsidRPr="000E4CA6">
          <w:rPr>
            <w:rStyle w:val="Hyperlink"/>
            <w:rFonts w:ascii="Calibri" w:hAnsi="Calibri" w:hint="eastAsia"/>
            <w:rtl/>
          </w:rPr>
          <w:t>פקודת</w:t>
        </w:r>
        <w:r w:rsidRPr="000E4CA6">
          <w:rPr>
            <w:rStyle w:val="Hyperlink"/>
            <w:rFonts w:ascii="Calibri" w:hAnsi="Calibri"/>
            <w:rtl/>
          </w:rPr>
          <w:t xml:space="preserve"> </w:t>
        </w:r>
        <w:r w:rsidRPr="000E4CA6">
          <w:rPr>
            <w:rStyle w:val="Hyperlink"/>
            <w:rFonts w:ascii="Calibri" w:hAnsi="Calibri" w:hint="eastAsia"/>
            <w:rtl/>
          </w:rPr>
          <w:t>הסמים</w:t>
        </w:r>
        <w:r w:rsidRPr="000E4CA6">
          <w:rPr>
            <w:rStyle w:val="Hyperlink"/>
            <w:rFonts w:ascii="Calibri" w:hAnsi="Calibri"/>
            <w:rtl/>
          </w:rPr>
          <w:t xml:space="preserve"> </w:t>
        </w:r>
        <w:r w:rsidRPr="000E4CA6">
          <w:rPr>
            <w:rStyle w:val="Hyperlink"/>
            <w:rFonts w:ascii="Calibri" w:hAnsi="Calibri" w:hint="eastAsia"/>
            <w:rtl/>
          </w:rPr>
          <w:t>המסוכנים</w:t>
        </w:r>
      </w:hyperlink>
      <w:r>
        <w:rPr>
          <w:rFonts w:ascii="Calibri" w:hAnsi="Calibri" w:hint="cs"/>
          <w:rtl/>
        </w:rPr>
        <w:t xml:space="preserve">(נוסח חדש) התשל"ג-1973. </w:t>
      </w:r>
    </w:p>
    <w:p w14:paraId="6426E61B" w14:textId="77777777" w:rsidR="00883A68" w:rsidRDefault="000E4CA6">
      <w:pPr>
        <w:spacing w:after="200" w:line="360" w:lineRule="auto"/>
        <w:jc w:val="both"/>
        <w:rPr>
          <w:rFonts w:ascii="Calibri" w:hAnsi="Calibri"/>
          <w:rtl/>
        </w:rPr>
      </w:pPr>
      <w:r>
        <w:rPr>
          <w:rFonts w:ascii="Calibri" w:hAnsi="Calibri" w:hint="cs"/>
          <w:rtl/>
        </w:rPr>
        <w:t xml:space="preserve">2. </w:t>
      </w:r>
      <w:r>
        <w:rPr>
          <w:rFonts w:ascii="Calibri" w:hAnsi="Calibri" w:hint="cs"/>
          <w:rtl/>
        </w:rPr>
        <w:tab/>
        <w:t>ביום 11.9.14 הודיעו הצדדים על הסדר הטיעון.</w:t>
      </w:r>
    </w:p>
    <w:p w14:paraId="435689AD" w14:textId="77777777" w:rsidR="00883A68" w:rsidRDefault="000E4CA6">
      <w:pPr>
        <w:spacing w:after="200" w:line="360" w:lineRule="auto"/>
        <w:ind w:left="720"/>
        <w:jc w:val="both"/>
        <w:rPr>
          <w:rFonts w:ascii="Calibri" w:hAnsi="Calibri"/>
          <w:rtl/>
        </w:rPr>
      </w:pPr>
      <w:r>
        <w:rPr>
          <w:rFonts w:ascii="Calibri" w:hAnsi="Calibri" w:hint="cs"/>
          <w:rtl/>
        </w:rPr>
        <w:t>הוסכם כי הנאשם יודה בכתב האישום, ייערך בעניינו תסקיר של שירות המבחן, אשר יתייחס, בין היתר לשאלת הרשעתו בדין, וזאת מבלי לחייב את הצדדים. עוד הוסכם כי לאחר קבלת התסקיר, יבוא הצדדים בדברים.</w:t>
      </w:r>
    </w:p>
    <w:p w14:paraId="69EC92F4" w14:textId="77777777" w:rsidR="00883A68" w:rsidRDefault="000E4CA6">
      <w:pPr>
        <w:spacing w:after="200" w:line="360" w:lineRule="auto"/>
        <w:ind w:left="720"/>
        <w:jc w:val="both"/>
        <w:rPr>
          <w:rFonts w:ascii="Calibri" w:hAnsi="Calibri"/>
          <w:rtl/>
        </w:rPr>
      </w:pPr>
      <w:r>
        <w:rPr>
          <w:rFonts w:ascii="Calibri" w:hAnsi="Calibri" w:hint="cs"/>
          <w:rtl/>
        </w:rPr>
        <w:t>הנאשם הודה על בסיס הסדר הטיעון, בעובדות כתב האישום, וביום 11.9.14 נקבע (ע"י כב' השופט ניר מישורי-לב טוב) כי הוא ביצע את עבירת כתב האישום.</w:t>
      </w:r>
    </w:p>
    <w:p w14:paraId="33CE8411" w14:textId="77777777" w:rsidR="00883A68" w:rsidRDefault="000E4CA6">
      <w:pPr>
        <w:spacing w:after="200" w:line="360" w:lineRule="auto"/>
        <w:rPr>
          <w:rFonts w:ascii="Calibri" w:hAnsi="Calibri"/>
          <w:b/>
          <w:bCs/>
          <w:u w:val="single"/>
          <w:rtl/>
        </w:rPr>
      </w:pPr>
      <w:r>
        <w:rPr>
          <w:rFonts w:ascii="Calibri" w:hAnsi="Calibri" w:hint="cs"/>
          <w:rtl/>
        </w:rPr>
        <w:t xml:space="preserve">3. </w:t>
      </w:r>
      <w:r>
        <w:rPr>
          <w:rFonts w:ascii="Calibri" w:hAnsi="Calibri" w:hint="cs"/>
          <w:rtl/>
        </w:rPr>
        <w:tab/>
      </w:r>
      <w:r>
        <w:rPr>
          <w:rFonts w:ascii="Calibri" w:hAnsi="Calibri" w:hint="cs"/>
          <w:b/>
          <w:bCs/>
          <w:u w:val="single"/>
          <w:rtl/>
        </w:rPr>
        <w:t xml:space="preserve">תסקיר שירות המבחן: </w:t>
      </w:r>
    </w:p>
    <w:p w14:paraId="14AD4975" w14:textId="77777777" w:rsidR="00883A68" w:rsidRDefault="000E4CA6">
      <w:pPr>
        <w:spacing w:after="200" w:line="360" w:lineRule="auto"/>
        <w:ind w:left="720"/>
        <w:jc w:val="both"/>
        <w:rPr>
          <w:rFonts w:ascii="Calibri" w:hAnsi="Calibri"/>
          <w:rtl/>
        </w:rPr>
      </w:pPr>
      <w:r>
        <w:rPr>
          <w:rFonts w:ascii="Calibri" w:hAnsi="Calibri" w:hint="cs"/>
          <w:rtl/>
        </w:rPr>
        <w:t xml:space="preserve">בהתאם להסדר הטיעון, הוגש בעניינו של הנאשם, תסקיר מטעם שירות המבחן המפרט את נסיבותיו האישיות והמשפחתיות . </w:t>
      </w:r>
    </w:p>
    <w:p w14:paraId="56E7D9B4" w14:textId="77777777" w:rsidR="00883A68" w:rsidRDefault="000E4CA6">
      <w:pPr>
        <w:spacing w:after="200" w:line="360" w:lineRule="auto"/>
        <w:ind w:left="720"/>
        <w:jc w:val="both"/>
        <w:rPr>
          <w:rFonts w:ascii="Calibri" w:hAnsi="Calibri"/>
          <w:rtl/>
        </w:rPr>
      </w:pPr>
      <w:r>
        <w:rPr>
          <w:rFonts w:ascii="Calibri" w:hAnsi="Calibri" w:hint="cs"/>
          <w:rtl/>
        </w:rPr>
        <w:t>כעולה מהתסקיר, הנאשם בן 56, נשוי ואב ל4 ילדים, מתגורר ביישוב קדמת צבי ובעלים של יקב "בזלת הגולן".</w:t>
      </w:r>
    </w:p>
    <w:p w14:paraId="1797C42E" w14:textId="77777777" w:rsidR="00883A68" w:rsidRDefault="000E4CA6">
      <w:pPr>
        <w:spacing w:after="200" w:line="360" w:lineRule="auto"/>
        <w:ind w:left="720"/>
        <w:jc w:val="both"/>
        <w:rPr>
          <w:rFonts w:ascii="Calibri" w:hAnsi="Calibri"/>
          <w:rtl/>
        </w:rPr>
      </w:pPr>
      <w:r>
        <w:rPr>
          <w:rFonts w:ascii="Calibri" w:hAnsi="Calibri" w:hint="cs"/>
          <w:rtl/>
        </w:rPr>
        <w:t>בתסקיר נאמר כי אין לחובתו של הנאשם הרשעות קודמות וכי רק תלוי ועומד נגדו תיק מב"ד בגין עבירת איומים.</w:t>
      </w:r>
    </w:p>
    <w:p w14:paraId="344DE0DE" w14:textId="77777777" w:rsidR="00883A68" w:rsidRDefault="000E4CA6">
      <w:pPr>
        <w:spacing w:after="200" w:line="360" w:lineRule="auto"/>
        <w:ind w:left="720"/>
        <w:jc w:val="both"/>
        <w:rPr>
          <w:rFonts w:ascii="Calibri" w:hAnsi="Calibri"/>
          <w:rtl/>
        </w:rPr>
      </w:pPr>
      <w:r>
        <w:rPr>
          <w:rFonts w:ascii="Calibri" w:hAnsi="Calibri" w:hint="cs"/>
          <w:rtl/>
        </w:rPr>
        <w:t>הנאשם, קיבל אחריות למעורבותו בעבירה, אך במקביל שלל צריכה כלשהי לסמים והתקשה להסביר המניעים שעמדו מאחורי ביצוע העבירה.</w:t>
      </w:r>
    </w:p>
    <w:p w14:paraId="2AB87B6B" w14:textId="77777777" w:rsidR="00883A68" w:rsidRDefault="000E4CA6">
      <w:pPr>
        <w:spacing w:after="200" w:line="360" w:lineRule="auto"/>
        <w:ind w:left="720"/>
        <w:jc w:val="both"/>
        <w:rPr>
          <w:rFonts w:ascii="Calibri" w:hAnsi="Calibri"/>
          <w:rtl/>
        </w:rPr>
      </w:pPr>
      <w:r>
        <w:rPr>
          <w:rFonts w:ascii="Calibri" w:hAnsi="Calibri" w:hint="cs"/>
          <w:rtl/>
        </w:rPr>
        <w:t>בפני שירות המבחן, מסר הנאשם, כי בבעלותו בית קטן אשר משמש לאירוח והממוקם במסוך ליקב, ובתקופה הסמוכה לעבירה, ידידתו השתמשה בבית לצורך מסיבה, שבסיומה מצא בבית קופסא עם שאריות סם וחרף ידיעתו כי המדובר בקופסא שמכילה סם, החליט להעבירה למשרדו ביקב כפריט קישוט, וללא כל כוונה מצידו לעשות שימוש כלשהו בסם.</w:t>
      </w:r>
    </w:p>
    <w:p w14:paraId="02637863" w14:textId="77777777" w:rsidR="00883A68" w:rsidRDefault="000E4CA6">
      <w:pPr>
        <w:spacing w:after="200" w:line="360" w:lineRule="auto"/>
        <w:ind w:left="720"/>
        <w:jc w:val="both"/>
        <w:rPr>
          <w:rFonts w:ascii="Calibri" w:hAnsi="Calibri"/>
          <w:rtl/>
        </w:rPr>
      </w:pPr>
      <w:r>
        <w:rPr>
          <w:rFonts w:ascii="Calibri" w:hAnsi="Calibri" w:hint="cs"/>
          <w:rtl/>
        </w:rPr>
        <w:t>הנאשם הוסיף ומסר, כי אינו משתמש בסם מאחר ותחום עיסוקו מצריך ריכוז וערנות ואינו חש צורך לשימוש בסמים.</w:t>
      </w:r>
    </w:p>
    <w:p w14:paraId="3D0E3080" w14:textId="77777777" w:rsidR="00883A68" w:rsidRDefault="000E4CA6">
      <w:pPr>
        <w:spacing w:after="200" w:line="360" w:lineRule="auto"/>
        <w:ind w:firstLine="720"/>
        <w:jc w:val="both"/>
        <w:rPr>
          <w:rFonts w:ascii="Calibri" w:hAnsi="Calibri"/>
          <w:rtl/>
        </w:rPr>
      </w:pPr>
      <w:r>
        <w:rPr>
          <w:rFonts w:ascii="Calibri" w:hAnsi="Calibri" w:hint="cs"/>
          <w:rtl/>
        </w:rPr>
        <w:t>בדיקות שתן אשר נערכו לנאשם בשירות המבחן, העידו על ניקיונו מסמים.</w:t>
      </w:r>
    </w:p>
    <w:p w14:paraId="646783BB" w14:textId="77777777" w:rsidR="00883A68" w:rsidRDefault="000E4CA6">
      <w:pPr>
        <w:spacing w:after="200" w:line="360" w:lineRule="auto"/>
        <w:ind w:left="720"/>
        <w:jc w:val="both"/>
        <w:rPr>
          <w:rFonts w:ascii="Calibri" w:hAnsi="Calibri"/>
          <w:rtl/>
        </w:rPr>
      </w:pPr>
      <w:r>
        <w:rPr>
          <w:rFonts w:ascii="Calibri" w:hAnsi="Calibri" w:hint="cs"/>
          <w:rtl/>
        </w:rPr>
        <w:t>להתרשמות שירות המבחן, כי המדובר באדם המתפקד היטב בהיבט המשפחתי והתעסוקתי, ותורם כפי שיכולתו לטובת הציבור.</w:t>
      </w:r>
    </w:p>
    <w:p w14:paraId="7235769F" w14:textId="77777777" w:rsidR="00883A68" w:rsidRDefault="000E4CA6">
      <w:pPr>
        <w:spacing w:after="200" w:line="360" w:lineRule="auto"/>
        <w:ind w:left="720"/>
        <w:jc w:val="both"/>
        <w:rPr>
          <w:rFonts w:ascii="Calibri" w:hAnsi="Calibri"/>
          <w:rtl/>
        </w:rPr>
      </w:pPr>
      <w:r>
        <w:rPr>
          <w:rFonts w:ascii="Calibri" w:hAnsi="Calibri" w:hint="cs"/>
          <w:rtl/>
        </w:rPr>
        <w:lastRenderedPageBreak/>
        <w:t>במהלך פגישתו עם שירות המבחן, שלל הנאשם כל שימוש בסם. עם זאת, גילה עמדות חיוביות כלפי שימוש בסמים, הביע תרעומת רבה על כך שמתנהל כנגדו הליך משפטי והורגשה תוקפנות מצידו במהלך הפגישה.</w:t>
      </w:r>
    </w:p>
    <w:p w14:paraId="08149BDD" w14:textId="77777777" w:rsidR="00883A68" w:rsidRDefault="000E4CA6">
      <w:pPr>
        <w:spacing w:after="200" w:line="360" w:lineRule="auto"/>
        <w:ind w:left="720"/>
        <w:jc w:val="both"/>
        <w:rPr>
          <w:rFonts w:ascii="Calibri" w:hAnsi="Calibri"/>
          <w:rtl/>
        </w:rPr>
      </w:pPr>
      <w:r>
        <w:rPr>
          <w:rFonts w:ascii="Calibri" w:hAnsi="Calibri" w:hint="cs"/>
          <w:rtl/>
        </w:rPr>
        <w:t>בהתייחס לאפשרות הרשעתו בדין, מסר הנאשם כי הרשעה בדין תפגע בתדמיתו כלפי החברה ועלולה לפגוע בתחום התפתחותו המקצועי והאישי. בהיעדר אינדיקציה לקיומה של בעיית שימוש בסמים, ומתוך הנחה שלהרשעה יהיו השלכות קשות כלפי, המליץ שירות המבחן להימנע מהרשעתו של הנאשם בדין.</w:t>
      </w:r>
    </w:p>
    <w:p w14:paraId="19AC288E" w14:textId="77777777" w:rsidR="00883A68" w:rsidRDefault="000E4CA6">
      <w:pPr>
        <w:spacing w:after="200" w:line="360" w:lineRule="auto"/>
        <w:ind w:left="720"/>
        <w:jc w:val="both"/>
        <w:rPr>
          <w:rFonts w:ascii="Calibri" w:hAnsi="Calibri"/>
          <w:rtl/>
        </w:rPr>
      </w:pPr>
      <w:r>
        <w:rPr>
          <w:rFonts w:ascii="Calibri" w:hAnsi="Calibri" w:hint="cs"/>
          <w:rtl/>
        </w:rPr>
        <w:t>בהיעדר ביטוי מצוקה רגשית והיעדר חיבור למוקדי התערבות טיפולית, לא המליץ שירות המבחן להעמיד את הנאשם בצו מבחן, ובהתחשב בכך שהנאשם תורם לחברה, המליץ שירות המבחן להטיל עליו צו של"צ בהיקף מופחת של 60 שעות, אשר להערכת שירות המבחן עשוי להקטין את הסיכון להישנות ביצוע עבירות.</w:t>
      </w:r>
    </w:p>
    <w:p w14:paraId="7C9C9D0F" w14:textId="77777777" w:rsidR="00883A68" w:rsidRDefault="000E4CA6">
      <w:pPr>
        <w:spacing w:after="200" w:line="360" w:lineRule="auto"/>
        <w:jc w:val="both"/>
        <w:rPr>
          <w:rFonts w:ascii="Calibri" w:hAnsi="Calibri"/>
          <w:b/>
          <w:bCs/>
          <w:u w:val="single"/>
          <w:rtl/>
        </w:rPr>
      </w:pPr>
      <w:r>
        <w:rPr>
          <w:rFonts w:ascii="Calibri" w:hAnsi="Calibri" w:hint="cs"/>
          <w:rtl/>
        </w:rPr>
        <w:t>4.</w:t>
      </w:r>
      <w:r>
        <w:rPr>
          <w:rFonts w:ascii="Calibri" w:hAnsi="Calibri" w:hint="cs"/>
          <w:b/>
          <w:bCs/>
          <w:rtl/>
        </w:rPr>
        <w:t xml:space="preserve"> </w:t>
      </w:r>
      <w:r>
        <w:rPr>
          <w:rFonts w:ascii="Calibri" w:hAnsi="Calibri" w:hint="cs"/>
          <w:b/>
          <w:bCs/>
          <w:rtl/>
        </w:rPr>
        <w:tab/>
      </w:r>
      <w:r>
        <w:rPr>
          <w:rFonts w:ascii="Calibri" w:hAnsi="Calibri" w:hint="cs"/>
          <w:b/>
          <w:bCs/>
          <w:u w:val="single"/>
          <w:rtl/>
        </w:rPr>
        <w:t xml:space="preserve">טיעוני ב"כ המאשימה לעונש: </w:t>
      </w:r>
    </w:p>
    <w:p w14:paraId="1F42419C" w14:textId="77777777" w:rsidR="00883A68" w:rsidRDefault="000E4CA6">
      <w:pPr>
        <w:spacing w:after="200" w:line="360" w:lineRule="auto"/>
        <w:ind w:left="720"/>
        <w:jc w:val="both"/>
        <w:rPr>
          <w:rFonts w:ascii="Calibri" w:hAnsi="Calibri"/>
          <w:rtl/>
        </w:rPr>
      </w:pPr>
      <w:r>
        <w:rPr>
          <w:rFonts w:ascii="Calibri" w:hAnsi="Calibri" w:hint="cs"/>
          <w:rtl/>
        </w:rPr>
        <w:t>ב"כ המאשימה, בטיעוניו לעונש הגיש גיליון הרשעותיו הקודמות של הנאשם (ת/1), ממנו עולה כי לנאשם הרשעה קודמת משנת 2002 ואשר התיישנה.</w:t>
      </w:r>
    </w:p>
    <w:p w14:paraId="4BDBCC92" w14:textId="77777777" w:rsidR="00883A68" w:rsidRDefault="000E4CA6">
      <w:pPr>
        <w:spacing w:after="200" w:line="360" w:lineRule="auto"/>
        <w:ind w:left="720"/>
        <w:jc w:val="both"/>
        <w:rPr>
          <w:rFonts w:ascii="Calibri" w:hAnsi="Calibri"/>
          <w:rtl/>
        </w:rPr>
      </w:pPr>
      <w:r>
        <w:rPr>
          <w:rFonts w:ascii="Calibri" w:hAnsi="Calibri" w:hint="cs"/>
          <w:rtl/>
        </w:rPr>
        <w:t>באשר לשאלת הרשעתו של הנאשם בדין, ציין ב"כ המאשימה, כי לא ברור מהתסקיר מה הוא  עיסוקו של הנאשם ולא ברור עד כמה בכוחה של ההרשעה לפגוע בעיסוקו. ב"כ המאשימה, הוסיף כי לנוכח קיומה של הרשעה קודמת לחובת הנאשם, הדברים שנמסרו בהקשר זה בפני שירות המבחן אינם רלוונטיים.</w:t>
      </w:r>
    </w:p>
    <w:p w14:paraId="4A43E125" w14:textId="77777777" w:rsidR="00883A68" w:rsidRDefault="000E4CA6">
      <w:pPr>
        <w:spacing w:after="200" w:line="360" w:lineRule="auto"/>
        <w:ind w:left="720"/>
        <w:jc w:val="both"/>
        <w:rPr>
          <w:rFonts w:ascii="Calibri" w:hAnsi="Calibri"/>
          <w:rtl/>
        </w:rPr>
      </w:pPr>
      <w:r>
        <w:rPr>
          <w:rFonts w:ascii="Calibri" w:hAnsi="Calibri" w:hint="cs"/>
          <w:rtl/>
        </w:rPr>
        <w:t xml:space="preserve">ב"כ המאשימה, עתר, לפיכך להרשיע את הנאשם בדין ולהטיל עליו מאסר על תנאי, התחייבות ולהורות על השמדת המוצגים. </w:t>
      </w:r>
    </w:p>
    <w:p w14:paraId="292115B2" w14:textId="77777777" w:rsidR="00883A68" w:rsidRDefault="000E4CA6">
      <w:pPr>
        <w:spacing w:after="200" w:line="360" w:lineRule="auto"/>
        <w:jc w:val="both"/>
        <w:rPr>
          <w:rFonts w:ascii="Calibri" w:hAnsi="Calibri"/>
          <w:b/>
          <w:bCs/>
          <w:u w:val="single"/>
          <w:rtl/>
        </w:rPr>
      </w:pPr>
      <w:r>
        <w:rPr>
          <w:rFonts w:ascii="Calibri" w:hAnsi="Calibri" w:hint="cs"/>
          <w:rtl/>
        </w:rPr>
        <w:t xml:space="preserve">5. </w:t>
      </w:r>
      <w:r>
        <w:rPr>
          <w:rFonts w:ascii="Calibri" w:hAnsi="Calibri" w:hint="cs"/>
          <w:rtl/>
        </w:rPr>
        <w:tab/>
      </w:r>
      <w:r>
        <w:rPr>
          <w:rFonts w:ascii="Calibri" w:hAnsi="Calibri" w:hint="cs"/>
          <w:b/>
          <w:bCs/>
          <w:u w:val="single"/>
          <w:rtl/>
        </w:rPr>
        <w:t>טיעוני ב"כ הנאשם לעונש:</w:t>
      </w:r>
    </w:p>
    <w:p w14:paraId="754A0B8D" w14:textId="77777777" w:rsidR="00883A68" w:rsidRDefault="000E4CA6">
      <w:pPr>
        <w:spacing w:after="200" w:line="360" w:lineRule="auto"/>
        <w:ind w:left="720"/>
        <w:jc w:val="both"/>
        <w:rPr>
          <w:rFonts w:ascii="Calibri" w:hAnsi="Calibri"/>
          <w:rtl/>
        </w:rPr>
      </w:pPr>
      <w:r>
        <w:rPr>
          <w:rFonts w:ascii="Calibri" w:hAnsi="Calibri" w:hint="cs"/>
          <w:rtl/>
        </w:rPr>
        <w:t>בטיעוניה לעונש, ציינה ב"כ הנאשם כי, המדובר בנאשם שתורם לחברה רבות, מארח בעסקו קבוצות כולל חיילים, ועצם הרשעתו תפגע בתדמיתו מול קבוצות אלה.</w:t>
      </w:r>
    </w:p>
    <w:p w14:paraId="34AA21C6" w14:textId="77777777" w:rsidR="00883A68" w:rsidRDefault="000E4CA6">
      <w:pPr>
        <w:spacing w:after="200" w:line="360" w:lineRule="auto"/>
        <w:ind w:left="720"/>
        <w:jc w:val="both"/>
        <w:rPr>
          <w:rFonts w:ascii="Calibri" w:hAnsi="Calibri"/>
          <w:rtl/>
        </w:rPr>
      </w:pPr>
      <w:r>
        <w:rPr>
          <w:rFonts w:ascii="Calibri" w:hAnsi="Calibri" w:hint="cs"/>
          <w:rtl/>
        </w:rPr>
        <w:t xml:space="preserve">ב"כ הנאשם הפנתה לנסיבות ביצוע העבירה ולפסיקה רלוונטית, ועתרה לאמץ המלצות התסקיר ולהטיל על הנאשם צו של"צ בהיקף של 60 שעות, ללא הרשעה. </w:t>
      </w:r>
    </w:p>
    <w:p w14:paraId="7DDE8503" w14:textId="77777777" w:rsidR="00883A68" w:rsidRDefault="000E4CA6">
      <w:pPr>
        <w:spacing w:after="200" w:line="360" w:lineRule="auto"/>
        <w:jc w:val="both"/>
        <w:rPr>
          <w:rFonts w:ascii="Calibri" w:hAnsi="Calibri"/>
          <w:rtl/>
        </w:rPr>
      </w:pPr>
      <w:r>
        <w:rPr>
          <w:rFonts w:ascii="Calibri" w:hAnsi="Calibri" w:hint="cs"/>
          <w:rtl/>
        </w:rPr>
        <w:t xml:space="preserve">6. </w:t>
      </w:r>
      <w:r>
        <w:rPr>
          <w:rFonts w:ascii="Calibri" w:hAnsi="Calibri" w:hint="cs"/>
          <w:rtl/>
        </w:rPr>
        <w:tab/>
      </w:r>
      <w:r>
        <w:rPr>
          <w:rFonts w:ascii="Calibri" w:hAnsi="Calibri" w:hint="cs"/>
          <w:b/>
          <w:bCs/>
          <w:u w:val="single"/>
          <w:rtl/>
        </w:rPr>
        <w:t>טיעוני הנאשם</w:t>
      </w:r>
      <w:r>
        <w:rPr>
          <w:rFonts w:ascii="Calibri" w:hAnsi="Calibri" w:hint="cs"/>
          <w:rtl/>
        </w:rPr>
        <w:t xml:space="preserve"> :</w:t>
      </w:r>
    </w:p>
    <w:p w14:paraId="5CA1CD5B" w14:textId="77777777" w:rsidR="00883A68" w:rsidRDefault="000E4CA6">
      <w:pPr>
        <w:spacing w:after="200" w:line="360" w:lineRule="auto"/>
        <w:ind w:left="720"/>
        <w:jc w:val="both"/>
        <w:rPr>
          <w:rFonts w:ascii="Calibri" w:hAnsi="Calibri"/>
          <w:rtl/>
        </w:rPr>
      </w:pPr>
      <w:r>
        <w:rPr>
          <w:rFonts w:ascii="Calibri" w:hAnsi="Calibri" w:hint="cs"/>
          <w:rtl/>
        </w:rPr>
        <w:t xml:space="preserve">הנאשם הביע תרעומת על כך שמתנהלים כנגדו הליכים משפטיים, וציין כי יגיש ערעור במידה ויורשע בתיק זה. </w:t>
      </w:r>
    </w:p>
    <w:p w14:paraId="46501345" w14:textId="77777777" w:rsidR="00883A68" w:rsidRDefault="000E4CA6">
      <w:pPr>
        <w:spacing w:after="200" w:line="360" w:lineRule="auto"/>
        <w:jc w:val="both"/>
        <w:rPr>
          <w:rFonts w:ascii="Calibri" w:hAnsi="Calibri"/>
          <w:b/>
          <w:bCs/>
          <w:u w:val="single"/>
          <w:rtl/>
        </w:rPr>
      </w:pPr>
      <w:r>
        <w:rPr>
          <w:rFonts w:ascii="Calibri" w:hAnsi="Calibri" w:hint="cs"/>
          <w:rtl/>
        </w:rPr>
        <w:t xml:space="preserve">7. </w:t>
      </w:r>
      <w:r>
        <w:rPr>
          <w:rFonts w:ascii="Calibri" w:hAnsi="Calibri" w:hint="cs"/>
          <w:rtl/>
        </w:rPr>
        <w:tab/>
      </w:r>
      <w:r>
        <w:rPr>
          <w:rFonts w:ascii="Calibri" w:hAnsi="Calibri" w:hint="cs"/>
          <w:b/>
          <w:bCs/>
          <w:u w:val="single"/>
          <w:rtl/>
        </w:rPr>
        <w:t xml:space="preserve">דיון: </w:t>
      </w:r>
    </w:p>
    <w:p w14:paraId="09001789" w14:textId="77777777" w:rsidR="00883A68" w:rsidRDefault="000E4CA6">
      <w:pPr>
        <w:spacing w:after="200" w:line="360" w:lineRule="auto"/>
        <w:ind w:left="720"/>
        <w:jc w:val="both"/>
        <w:rPr>
          <w:rFonts w:ascii="Calibri" w:hAnsi="Calibri"/>
          <w:rtl/>
        </w:rPr>
      </w:pPr>
      <w:r>
        <w:rPr>
          <w:rFonts w:ascii="Calibri" w:hAnsi="Calibri" w:hint="cs"/>
          <w:rtl/>
        </w:rPr>
        <w:t>עבירות החזקת סמים לצריכה עצמית, הוכרו בפסיקה כעבירות חמורות, ואולם מדיניות הענישה, ואף שאלת ההרשעה בדין, נקבעות בהתחשב בנסיבות העבירה</w:t>
      </w:r>
      <w:r>
        <w:rPr>
          <w:rFonts w:ascii="Calibri" w:hAnsi="Calibri" w:hint="cs"/>
          <w:b/>
          <w:bCs/>
          <w:rtl/>
        </w:rPr>
        <w:t xml:space="preserve">, </w:t>
      </w:r>
      <w:r>
        <w:rPr>
          <w:rFonts w:ascii="Calibri" w:hAnsi="Calibri" w:hint="cs"/>
          <w:rtl/>
        </w:rPr>
        <w:t>לרבות כמות הסם המסוכן, סוגו ואופן החזקתו או צריכתו, ועוד יותר מכך, בהתחשב בנסיבות המבצע.</w:t>
      </w:r>
    </w:p>
    <w:p w14:paraId="63939199" w14:textId="77777777" w:rsidR="00883A68" w:rsidRDefault="000E4CA6">
      <w:pPr>
        <w:spacing w:after="200" w:line="360" w:lineRule="auto"/>
        <w:ind w:left="720"/>
        <w:jc w:val="both"/>
        <w:rPr>
          <w:rFonts w:ascii="Calibri" w:hAnsi="Calibri"/>
          <w:rtl/>
        </w:rPr>
      </w:pPr>
      <w:r>
        <w:rPr>
          <w:rFonts w:ascii="Calibri" w:hAnsi="Calibri" w:hint="cs"/>
          <w:rtl/>
        </w:rPr>
        <w:t>הערך החברתי המוגן אשר נפגע כתוצאה מביצוע העבירה, הינו ההגנה על הציבור מפני נגע הסמים, וההשלכות ההרסניות שיש לסמים על האוכלוסייה.</w:t>
      </w:r>
    </w:p>
    <w:p w14:paraId="2F458894" w14:textId="77777777" w:rsidR="00883A68" w:rsidRDefault="000E4CA6">
      <w:pPr>
        <w:spacing w:after="200" w:line="360" w:lineRule="auto"/>
        <w:ind w:left="720"/>
        <w:jc w:val="both"/>
        <w:rPr>
          <w:rFonts w:ascii="Calibri" w:hAnsi="Calibri"/>
          <w:rtl/>
        </w:rPr>
      </w:pPr>
      <w:r>
        <w:rPr>
          <w:rFonts w:ascii="Calibri" w:hAnsi="Calibri" w:hint="cs"/>
          <w:rtl/>
        </w:rPr>
        <w:t>יפים הם דברי כב' השופט (כתוארו אז) מ' חשין ב</w:t>
      </w:r>
      <w:hyperlink r:id="rId12" w:history="1">
        <w:r w:rsidR="00881993" w:rsidRPr="00881993">
          <w:rPr>
            <w:rStyle w:val="Hyperlink"/>
            <w:rFonts w:ascii="Calibri" w:hAnsi="Calibri" w:hint="eastAsia"/>
            <w:rtl/>
          </w:rPr>
          <w:t>ע</w:t>
        </w:r>
        <w:r w:rsidR="00881993" w:rsidRPr="00881993">
          <w:rPr>
            <w:rStyle w:val="Hyperlink"/>
            <w:rFonts w:ascii="Calibri" w:hAnsi="Calibri"/>
            <w:rtl/>
          </w:rPr>
          <w:t>"</w:t>
        </w:r>
        <w:r w:rsidR="00881993" w:rsidRPr="00881993">
          <w:rPr>
            <w:rStyle w:val="Hyperlink"/>
            <w:rFonts w:ascii="Calibri" w:hAnsi="Calibri" w:hint="eastAsia"/>
            <w:rtl/>
          </w:rPr>
          <w:t>פ</w:t>
        </w:r>
        <w:r w:rsidR="00881993" w:rsidRPr="00881993">
          <w:rPr>
            <w:rStyle w:val="Hyperlink"/>
            <w:rFonts w:ascii="Calibri" w:hAnsi="Calibri"/>
            <w:rtl/>
          </w:rPr>
          <w:t xml:space="preserve"> 4998/98 </w:t>
        </w:r>
        <w:r w:rsidR="00881993" w:rsidRPr="00881993">
          <w:rPr>
            <w:rStyle w:val="Hyperlink"/>
            <w:rFonts w:ascii="Calibri" w:hAnsi="Calibri" w:hint="eastAsia"/>
            <w:rtl/>
          </w:rPr>
          <w:t>מדינת</w:t>
        </w:r>
        <w:r w:rsidR="00881993" w:rsidRPr="00881993">
          <w:rPr>
            <w:rStyle w:val="Hyperlink"/>
            <w:rFonts w:ascii="Calibri" w:hAnsi="Calibri"/>
            <w:rtl/>
          </w:rPr>
          <w:t xml:space="preserve"> </w:t>
        </w:r>
        <w:r w:rsidR="00881993" w:rsidRPr="00881993">
          <w:rPr>
            <w:rStyle w:val="Hyperlink"/>
            <w:rFonts w:ascii="Calibri" w:hAnsi="Calibri" w:hint="eastAsia"/>
            <w:rtl/>
          </w:rPr>
          <w:t>ישראל</w:t>
        </w:r>
        <w:r w:rsidR="00881993" w:rsidRPr="00881993">
          <w:rPr>
            <w:rStyle w:val="Hyperlink"/>
            <w:rFonts w:ascii="Calibri" w:hAnsi="Calibri"/>
            <w:rtl/>
          </w:rPr>
          <w:t xml:space="preserve"> </w:t>
        </w:r>
        <w:r w:rsidR="00881993" w:rsidRPr="00881993">
          <w:rPr>
            <w:rStyle w:val="Hyperlink"/>
            <w:rFonts w:ascii="Calibri" w:hAnsi="Calibri" w:hint="eastAsia"/>
            <w:rtl/>
          </w:rPr>
          <w:t>נ</w:t>
        </w:r>
        <w:r w:rsidR="00881993" w:rsidRPr="00881993">
          <w:rPr>
            <w:rStyle w:val="Hyperlink"/>
            <w:rFonts w:ascii="Calibri" w:hAnsi="Calibri"/>
            <w:rtl/>
          </w:rPr>
          <w:t xml:space="preserve">' </w:t>
        </w:r>
        <w:r w:rsidR="00881993" w:rsidRPr="00881993">
          <w:rPr>
            <w:rStyle w:val="Hyperlink"/>
            <w:rFonts w:ascii="Calibri" w:hAnsi="Calibri" w:hint="eastAsia"/>
            <w:rtl/>
          </w:rPr>
          <w:t>קרדוסו</w:t>
        </w:r>
        <w:r w:rsidR="00881993" w:rsidRPr="00881993">
          <w:rPr>
            <w:rStyle w:val="Hyperlink"/>
            <w:rFonts w:ascii="Calibri" w:hAnsi="Calibri"/>
            <w:rtl/>
          </w:rPr>
          <w:t xml:space="preserve">, </w:t>
        </w:r>
        <w:r w:rsidR="00881993" w:rsidRPr="00881993">
          <w:rPr>
            <w:rStyle w:val="Hyperlink"/>
            <w:rFonts w:ascii="Calibri" w:hAnsi="Calibri" w:hint="eastAsia"/>
            <w:rtl/>
          </w:rPr>
          <w:t>פ</w:t>
        </w:r>
        <w:r w:rsidR="00881993" w:rsidRPr="00881993">
          <w:rPr>
            <w:rStyle w:val="Hyperlink"/>
            <w:rFonts w:ascii="Calibri" w:hAnsi="Calibri"/>
            <w:rtl/>
          </w:rPr>
          <w:t>"</w:t>
        </w:r>
        <w:r w:rsidR="00881993" w:rsidRPr="00881993">
          <w:rPr>
            <w:rStyle w:val="Hyperlink"/>
            <w:rFonts w:ascii="Calibri" w:hAnsi="Calibri" w:hint="eastAsia"/>
            <w:rtl/>
          </w:rPr>
          <w:t>ד</w:t>
        </w:r>
        <w:r w:rsidR="00881993" w:rsidRPr="00881993">
          <w:rPr>
            <w:rStyle w:val="Hyperlink"/>
            <w:rFonts w:ascii="Calibri" w:hAnsi="Calibri"/>
            <w:rtl/>
          </w:rPr>
          <w:t xml:space="preserve"> </w:t>
        </w:r>
        <w:r w:rsidR="00881993" w:rsidRPr="00881993">
          <w:rPr>
            <w:rStyle w:val="Hyperlink"/>
            <w:rFonts w:ascii="Calibri" w:hAnsi="Calibri" w:hint="eastAsia"/>
            <w:rtl/>
          </w:rPr>
          <w:t>נא</w:t>
        </w:r>
      </w:hyperlink>
      <w:r>
        <w:rPr>
          <w:rFonts w:ascii="Calibri" w:hAnsi="Calibri" w:hint="cs"/>
          <w:rtl/>
        </w:rPr>
        <w:t>(3) 769 (1997), כי:</w:t>
      </w:r>
    </w:p>
    <w:p w14:paraId="1995621F" w14:textId="77777777" w:rsidR="00883A68" w:rsidRDefault="000E4CA6">
      <w:pPr>
        <w:spacing w:after="200" w:line="360" w:lineRule="auto"/>
        <w:ind w:left="720"/>
        <w:jc w:val="both"/>
        <w:rPr>
          <w:rFonts w:ascii="Calibri" w:hAnsi="Calibri"/>
          <w:b/>
          <w:bCs/>
          <w:rtl/>
        </w:rPr>
      </w:pPr>
      <w:r>
        <w:rPr>
          <w:rFonts w:ascii="Calibri" w:hAnsi="Calibri" w:hint="cs"/>
          <w:b/>
          <w:bCs/>
          <w:rtl/>
        </w:rPr>
        <w:t xml:space="preserve">" לעולם נזכור עבירת סמים מה היא, ומה הם ערכי-החברה שאנו נדרשים להגן עליהם. מעבר מזה עומדים המערערים –הם ואחרים שכמותם-אנשים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 רע לכיסיהם... מלחמת החורמה בעברייני סמים נמשכת והולכת. מלחמה קשה היא, מלחמה ארוכה, והיא כמלחמת ישראל בעמלק" . </w:t>
      </w:r>
    </w:p>
    <w:p w14:paraId="12E1F643" w14:textId="77777777" w:rsidR="00883A68" w:rsidRDefault="000E4CA6">
      <w:pPr>
        <w:spacing w:after="200" w:line="360" w:lineRule="auto"/>
        <w:ind w:left="720"/>
        <w:jc w:val="both"/>
        <w:rPr>
          <w:rFonts w:ascii="Calibri" w:hAnsi="Calibri"/>
          <w:rtl/>
        </w:rPr>
      </w:pPr>
      <w:r>
        <w:rPr>
          <w:rFonts w:ascii="Calibri" w:hAnsi="Calibri" w:hint="cs"/>
          <w:rtl/>
        </w:rPr>
        <w:t>מדיניות הענישה הנוהגת, נעה בין צו מבחן/של"צ (לעיתים ללא הרשעה),מאסר על תנאי ועד למאסר בפועל של מס' חודשים , פסילה בפועל ועל תנאי, התחייבות וקנס.</w:t>
      </w:r>
    </w:p>
    <w:p w14:paraId="01B12842" w14:textId="77777777" w:rsidR="00883A68" w:rsidRDefault="000E4CA6">
      <w:pPr>
        <w:spacing w:after="200" w:line="360" w:lineRule="auto"/>
        <w:ind w:left="720"/>
        <w:jc w:val="both"/>
        <w:rPr>
          <w:rFonts w:ascii="Calibri" w:hAnsi="Calibri"/>
          <w:rtl/>
        </w:rPr>
      </w:pPr>
      <w:r>
        <w:rPr>
          <w:rFonts w:ascii="Calibri" w:hAnsi="Calibri" w:hint="cs"/>
          <w:rtl/>
        </w:rPr>
        <w:t>ניתן לומר כי רשויות התביעה ובתי המשפט מגלים עמדה עונשית מתונה כלפי נאשמים נעדרי עבר פלילי, אשר מסתבכים לראשונה בעבירת החזקת סמים לצריכה עצמית בכמויות קטנות. הסדרי טיעון, שבהם מוסכם על ענישה ללא הרשעה, הם חזון תדיר בכתבי אישום לגבי מה שמכונה "סמים קלים", בכמות קטנה, וללא עבר פלילי.</w:t>
      </w:r>
    </w:p>
    <w:p w14:paraId="04621D22" w14:textId="77777777" w:rsidR="00883A68" w:rsidRDefault="000E4CA6">
      <w:pPr>
        <w:spacing w:after="200" w:line="360" w:lineRule="auto"/>
        <w:ind w:left="720"/>
        <w:jc w:val="both"/>
        <w:rPr>
          <w:rFonts w:ascii="Calibri" w:hAnsi="Calibri"/>
          <w:rtl/>
        </w:rPr>
      </w:pPr>
      <w:r>
        <w:rPr>
          <w:rFonts w:ascii="Calibri" w:hAnsi="Calibri" w:hint="cs"/>
          <w:rtl/>
        </w:rPr>
        <w:t>הרשעה בדין,  וענישה משמעותית יותר,  נגזרת על צרכני סמים בעלי רישום פלילי, או כאלה אשר נסיבותיהם האישיות לא מזכים אותם בהטבה, הניתנת לאלה המועדים לראשונה, ומבצעים עבירת סמים, וזאת מתוך המגמה למחול על הסתבכות  ראשונה.</w:t>
      </w:r>
    </w:p>
    <w:p w14:paraId="43045AD3" w14:textId="77777777" w:rsidR="00883A68" w:rsidRDefault="000E4CA6">
      <w:pPr>
        <w:spacing w:after="200" w:line="360" w:lineRule="auto"/>
        <w:ind w:left="720"/>
        <w:jc w:val="both"/>
        <w:rPr>
          <w:rFonts w:ascii="Calibri" w:hAnsi="Calibri"/>
          <w:rtl/>
        </w:rPr>
      </w:pPr>
      <w:r>
        <w:rPr>
          <w:rFonts w:ascii="Calibri" w:hAnsi="Calibri" w:hint="cs"/>
          <w:rtl/>
        </w:rPr>
        <w:t>ב</w:t>
      </w:r>
      <w:hyperlink r:id="rId13" w:history="1">
        <w:r w:rsidRPr="000E4CA6">
          <w:rPr>
            <w:rStyle w:val="Hyperlink"/>
            <w:rFonts w:ascii="Calibri" w:hAnsi="Calibri" w:hint="eastAsia"/>
            <w:rtl/>
          </w:rPr>
          <w:t>רע</w:t>
        </w:r>
        <w:r w:rsidRPr="000E4CA6">
          <w:rPr>
            <w:rStyle w:val="Hyperlink"/>
            <w:rFonts w:ascii="Calibri" w:hAnsi="Calibri"/>
            <w:rtl/>
          </w:rPr>
          <w:t>"</w:t>
        </w:r>
        <w:r w:rsidRPr="000E4CA6">
          <w:rPr>
            <w:rStyle w:val="Hyperlink"/>
            <w:rFonts w:ascii="Calibri" w:hAnsi="Calibri" w:hint="eastAsia"/>
            <w:rtl/>
          </w:rPr>
          <w:t>פ</w:t>
        </w:r>
        <w:r w:rsidRPr="000E4CA6">
          <w:rPr>
            <w:rStyle w:val="Hyperlink"/>
            <w:rFonts w:ascii="Calibri" w:hAnsi="Calibri"/>
            <w:rtl/>
          </w:rPr>
          <w:t xml:space="preserve"> 6138/09</w:t>
        </w:r>
      </w:hyperlink>
      <w:r>
        <w:rPr>
          <w:rFonts w:ascii="Calibri" w:hAnsi="Calibri" w:hint="cs"/>
          <w:rtl/>
        </w:rPr>
        <w:t xml:space="preserve"> </w:t>
      </w:r>
      <w:r>
        <w:rPr>
          <w:rFonts w:ascii="Calibri" w:hAnsi="Calibri" w:hint="cs"/>
          <w:b/>
          <w:bCs/>
          <w:u w:val="single"/>
          <w:rtl/>
        </w:rPr>
        <w:t>איליה פרדזב נ' מדינת ישראל</w:t>
      </w:r>
      <w:r>
        <w:rPr>
          <w:rFonts w:ascii="Calibri" w:hAnsi="Calibri" w:hint="cs"/>
          <w:rtl/>
        </w:rPr>
        <w:t xml:space="preserve"> </w:t>
      </w:r>
      <w:r w:rsidR="00881993" w:rsidRPr="00881993">
        <w:rPr>
          <w:rFonts w:ascii="Times New Roman" w:hAnsi="Times New Roman"/>
          <w:sz w:val="22"/>
          <w:rtl/>
        </w:rPr>
        <w:t>[</w:t>
      </w:r>
      <w:r w:rsidR="00881993" w:rsidRPr="00881993">
        <w:rPr>
          <w:rFonts w:ascii="Times New Roman" w:hAnsi="Times New Roman" w:hint="eastAsia"/>
          <w:sz w:val="22"/>
          <w:rtl/>
        </w:rPr>
        <w:t>פורסם</w:t>
      </w:r>
      <w:r w:rsidR="00881993" w:rsidRPr="00881993">
        <w:rPr>
          <w:rFonts w:ascii="Times New Roman" w:hAnsi="Times New Roman"/>
          <w:sz w:val="22"/>
          <w:rtl/>
        </w:rPr>
        <w:t xml:space="preserve"> </w:t>
      </w:r>
      <w:r w:rsidR="00881993" w:rsidRPr="00881993">
        <w:rPr>
          <w:rFonts w:ascii="Times New Roman" w:hAnsi="Times New Roman" w:hint="eastAsia"/>
          <w:sz w:val="22"/>
          <w:rtl/>
        </w:rPr>
        <w:t>בנבו</w:t>
      </w:r>
      <w:r w:rsidR="00881993" w:rsidRPr="00881993">
        <w:rPr>
          <w:rFonts w:ascii="Times New Roman" w:hAnsi="Times New Roman"/>
          <w:sz w:val="22"/>
          <w:rtl/>
        </w:rPr>
        <w:t xml:space="preserve">] </w:t>
      </w:r>
      <w:r>
        <w:rPr>
          <w:rFonts w:ascii="Calibri" w:hAnsi="Calibri" w:hint="cs"/>
          <w:rtl/>
        </w:rPr>
        <w:t xml:space="preserve">(2.8.09), הורשע הנאשם בבית משפט השלום בנצרת בעבריות של החזקת סם מסוכן מסוג חשיש במשקל </w:t>
      </w:r>
      <w:smartTag w:uri="urn:schemas-microsoft-com:office:smarttags" w:element="metricconverter">
        <w:smartTagPr>
          <w:attr w:name="ProductID" w:val="2.54 גרם"/>
        </w:smartTagPr>
        <w:r>
          <w:rPr>
            <w:rFonts w:ascii="Calibri" w:hAnsi="Calibri" w:hint="cs"/>
            <w:rtl/>
          </w:rPr>
          <w:t>2.54 גרם</w:t>
        </w:r>
      </w:smartTag>
      <w:r>
        <w:rPr>
          <w:rFonts w:ascii="Calibri" w:hAnsi="Calibri" w:hint="cs"/>
          <w:rtl/>
        </w:rPr>
        <w:t xml:space="preserve"> לצריכה עצמית ונידון ל-6 חודשי מאסר בפועל , הפעלת מאסר על תנאי בן 4 חודשים התלוי ועומד נגדו בתיק אחר באופן שחודשים ממנו ירוצו במצטבר והיתרה בחופף ובהס"כ ירצה הנאשם 8 חודשי מאסר בפועל, מאסר על תנאי, קנס ופסילה בפועל. הערעור לבית המשפט המחוזי בנצרת נדחה. בקשת רשות הערעור שהוגשה לבית משפט העליון נדחתה אף היא. </w:t>
      </w:r>
    </w:p>
    <w:p w14:paraId="191D2756" w14:textId="77777777" w:rsidR="00883A68" w:rsidRDefault="000E4CA6">
      <w:pPr>
        <w:spacing w:after="200" w:line="360" w:lineRule="auto"/>
        <w:ind w:left="720"/>
        <w:jc w:val="both"/>
        <w:rPr>
          <w:rFonts w:ascii="Calibri" w:hAnsi="Calibri"/>
          <w:rtl/>
        </w:rPr>
      </w:pPr>
      <w:r>
        <w:rPr>
          <w:rFonts w:ascii="Calibri" w:hAnsi="Calibri" w:hint="cs"/>
          <w:rtl/>
        </w:rPr>
        <w:t>ב</w:t>
      </w:r>
      <w:hyperlink r:id="rId14" w:history="1">
        <w:r w:rsidRPr="000E4CA6">
          <w:rPr>
            <w:rStyle w:val="Hyperlink"/>
            <w:rFonts w:ascii="Calibri" w:hAnsi="Calibri" w:hint="eastAsia"/>
            <w:rtl/>
          </w:rPr>
          <w:t>ת</w:t>
        </w:r>
        <w:r w:rsidRPr="000E4CA6">
          <w:rPr>
            <w:rStyle w:val="Hyperlink"/>
            <w:rFonts w:ascii="Calibri" w:hAnsi="Calibri"/>
            <w:rtl/>
          </w:rPr>
          <w:t>.</w:t>
        </w:r>
        <w:r w:rsidRPr="000E4CA6">
          <w:rPr>
            <w:rStyle w:val="Hyperlink"/>
            <w:rFonts w:ascii="Calibri" w:hAnsi="Calibri" w:hint="eastAsia"/>
            <w:rtl/>
          </w:rPr>
          <w:t>פ</w:t>
        </w:r>
        <w:r w:rsidRPr="000E4CA6">
          <w:rPr>
            <w:rStyle w:val="Hyperlink"/>
            <w:rFonts w:ascii="Calibri" w:hAnsi="Calibri"/>
            <w:rtl/>
          </w:rPr>
          <w:t>(</w:t>
        </w:r>
        <w:r w:rsidRPr="000E4CA6">
          <w:rPr>
            <w:rStyle w:val="Hyperlink"/>
            <w:rFonts w:ascii="Calibri" w:hAnsi="Calibri" w:hint="eastAsia"/>
            <w:rtl/>
          </w:rPr>
          <w:t>שלום</w:t>
        </w:r>
        <w:r w:rsidRPr="000E4CA6">
          <w:rPr>
            <w:rStyle w:val="Hyperlink"/>
            <w:rFonts w:ascii="Calibri" w:hAnsi="Calibri"/>
            <w:rtl/>
          </w:rPr>
          <w:t>-</w:t>
        </w:r>
        <w:r w:rsidRPr="000E4CA6">
          <w:rPr>
            <w:rStyle w:val="Hyperlink"/>
            <w:rFonts w:ascii="Calibri" w:hAnsi="Calibri" w:hint="eastAsia"/>
            <w:rtl/>
          </w:rPr>
          <w:t>נתניה</w:t>
        </w:r>
        <w:r w:rsidRPr="000E4CA6">
          <w:rPr>
            <w:rStyle w:val="Hyperlink"/>
            <w:rFonts w:ascii="Calibri" w:hAnsi="Calibri"/>
            <w:rtl/>
          </w:rPr>
          <w:t>) 11303-09-11</w:t>
        </w:r>
      </w:hyperlink>
      <w:r>
        <w:rPr>
          <w:rFonts w:ascii="Calibri" w:hAnsi="Calibri" w:hint="cs"/>
          <w:rtl/>
        </w:rPr>
        <w:t xml:space="preserve"> </w:t>
      </w:r>
      <w:r>
        <w:rPr>
          <w:rFonts w:ascii="Calibri" w:hAnsi="Calibri" w:hint="cs"/>
          <w:b/>
          <w:bCs/>
          <w:u w:val="single"/>
          <w:rtl/>
        </w:rPr>
        <w:t>מדינת ישראל נ' בן עזרא</w:t>
      </w:r>
      <w:r>
        <w:rPr>
          <w:rFonts w:ascii="Calibri" w:hAnsi="Calibri" w:hint="cs"/>
          <w:rtl/>
        </w:rPr>
        <w:t xml:space="preserve"> </w:t>
      </w:r>
      <w:r w:rsidR="00881993" w:rsidRPr="00881993">
        <w:rPr>
          <w:rFonts w:ascii="Times New Roman" w:hAnsi="Times New Roman"/>
          <w:sz w:val="22"/>
          <w:rtl/>
        </w:rPr>
        <w:t>[</w:t>
      </w:r>
      <w:r w:rsidR="00881993" w:rsidRPr="00881993">
        <w:rPr>
          <w:rFonts w:ascii="Times New Roman" w:hAnsi="Times New Roman" w:hint="eastAsia"/>
          <w:sz w:val="22"/>
          <w:rtl/>
        </w:rPr>
        <w:t>פורסם</w:t>
      </w:r>
      <w:r w:rsidR="00881993" w:rsidRPr="00881993">
        <w:rPr>
          <w:rFonts w:ascii="Times New Roman" w:hAnsi="Times New Roman"/>
          <w:sz w:val="22"/>
          <w:rtl/>
        </w:rPr>
        <w:t xml:space="preserve"> </w:t>
      </w:r>
      <w:r w:rsidR="00881993" w:rsidRPr="00881993">
        <w:rPr>
          <w:rFonts w:ascii="Times New Roman" w:hAnsi="Times New Roman" w:hint="eastAsia"/>
          <w:sz w:val="22"/>
          <w:rtl/>
        </w:rPr>
        <w:t>בנבו</w:t>
      </w:r>
      <w:r w:rsidR="00881993" w:rsidRPr="00881993">
        <w:rPr>
          <w:rFonts w:ascii="Times New Roman" w:hAnsi="Times New Roman"/>
          <w:sz w:val="22"/>
          <w:rtl/>
        </w:rPr>
        <w:t xml:space="preserve">] </w:t>
      </w:r>
      <w:r>
        <w:rPr>
          <w:rFonts w:ascii="Calibri" w:hAnsi="Calibri" w:hint="cs"/>
          <w:rtl/>
        </w:rPr>
        <w:t xml:space="preserve">(19.2.13), יוחסה לנאשם עבירה של החזקת סם מסוכן מסוג חשיש במשקל של </w:t>
      </w:r>
      <w:smartTag w:uri="urn:schemas-microsoft-com:office:smarttags" w:element="metricconverter">
        <w:smartTagPr>
          <w:attr w:name="ProductID" w:val="4 גרם"/>
        </w:smartTagPr>
        <w:r>
          <w:rPr>
            <w:rFonts w:ascii="Calibri" w:hAnsi="Calibri" w:hint="cs"/>
            <w:rtl/>
          </w:rPr>
          <w:t>4 גרם</w:t>
        </w:r>
      </w:smartTag>
      <w:r>
        <w:rPr>
          <w:rFonts w:ascii="Calibri" w:hAnsi="Calibri" w:hint="cs"/>
          <w:rtl/>
        </w:rPr>
        <w:t xml:space="preserve"> לצריכה עצמית ובמהלך שלושת החודשים שקדמו לך מכר לידי אדם אחר פלטת חשיש תמורת סך של 2000 ₪, לנאשם אין הרשעות קודמות ובית המשפט הטיל עליו צו של"צ בהיקף 400 שעות, מאסר על תנאי, צו מבחן לשנה וקנס.</w:t>
      </w:r>
    </w:p>
    <w:p w14:paraId="0E7ADEDE" w14:textId="77777777" w:rsidR="00883A68" w:rsidRDefault="000E4CA6">
      <w:pPr>
        <w:spacing w:after="200" w:line="360" w:lineRule="auto"/>
        <w:ind w:left="720"/>
        <w:jc w:val="both"/>
        <w:rPr>
          <w:rFonts w:ascii="Calibri" w:hAnsi="Calibri"/>
          <w:rtl/>
        </w:rPr>
      </w:pPr>
      <w:r>
        <w:rPr>
          <w:rFonts w:ascii="Calibri" w:hAnsi="Calibri" w:hint="cs"/>
          <w:rtl/>
        </w:rPr>
        <w:t>ב</w:t>
      </w:r>
      <w:hyperlink r:id="rId15" w:history="1">
        <w:r w:rsidR="00881993" w:rsidRPr="00881993">
          <w:rPr>
            <w:rStyle w:val="Hyperlink"/>
            <w:rFonts w:ascii="Calibri" w:hAnsi="Calibri" w:hint="eastAsia"/>
            <w:rtl/>
          </w:rPr>
          <w:t>ת</w:t>
        </w:r>
        <w:r w:rsidR="00881993" w:rsidRPr="00881993">
          <w:rPr>
            <w:rStyle w:val="Hyperlink"/>
            <w:rFonts w:ascii="Calibri" w:hAnsi="Calibri"/>
            <w:rtl/>
          </w:rPr>
          <w:t>.</w:t>
        </w:r>
        <w:r w:rsidR="00881993" w:rsidRPr="00881993">
          <w:rPr>
            <w:rStyle w:val="Hyperlink"/>
            <w:rFonts w:ascii="Calibri" w:hAnsi="Calibri" w:hint="eastAsia"/>
            <w:rtl/>
          </w:rPr>
          <w:t>פ</w:t>
        </w:r>
        <w:r w:rsidR="00881993">
          <w:rPr>
            <w:rStyle w:val="Hyperlink"/>
            <w:rFonts w:ascii="Calibri" w:hAnsi="Calibri" w:hint="cs"/>
            <w:rtl/>
          </w:rPr>
          <w:t xml:space="preserve"> </w:t>
        </w:r>
        <w:r w:rsidR="00881993" w:rsidRPr="00881993">
          <w:rPr>
            <w:rStyle w:val="Hyperlink"/>
            <w:rFonts w:ascii="Calibri" w:hAnsi="Calibri"/>
            <w:rtl/>
          </w:rPr>
          <w:t>(</w:t>
        </w:r>
        <w:r w:rsidR="00881993" w:rsidRPr="00881993">
          <w:rPr>
            <w:rStyle w:val="Hyperlink"/>
            <w:rFonts w:ascii="Calibri" w:hAnsi="Calibri" w:hint="eastAsia"/>
            <w:rtl/>
          </w:rPr>
          <w:t>שלום</w:t>
        </w:r>
        <w:r w:rsidR="00881993" w:rsidRPr="00881993">
          <w:rPr>
            <w:rStyle w:val="Hyperlink"/>
            <w:rFonts w:ascii="Calibri" w:hAnsi="Calibri"/>
            <w:rtl/>
          </w:rPr>
          <w:t>-</w:t>
        </w:r>
        <w:r w:rsidR="00881993" w:rsidRPr="00881993">
          <w:rPr>
            <w:rStyle w:val="Hyperlink"/>
            <w:rFonts w:ascii="Calibri" w:hAnsi="Calibri" w:hint="eastAsia"/>
            <w:rtl/>
          </w:rPr>
          <w:t>אשדוד</w:t>
        </w:r>
        <w:r w:rsidR="00881993" w:rsidRPr="00881993">
          <w:rPr>
            <w:rStyle w:val="Hyperlink"/>
            <w:rFonts w:ascii="Calibri" w:hAnsi="Calibri"/>
            <w:rtl/>
          </w:rPr>
          <w:t>) 306/08</w:t>
        </w:r>
      </w:hyperlink>
      <w:r>
        <w:rPr>
          <w:rFonts w:ascii="Calibri" w:hAnsi="Calibri" w:hint="cs"/>
          <w:rtl/>
        </w:rPr>
        <w:t xml:space="preserve"> </w:t>
      </w:r>
      <w:r>
        <w:rPr>
          <w:rFonts w:ascii="Calibri" w:hAnsi="Calibri" w:hint="cs"/>
          <w:b/>
          <w:bCs/>
          <w:u w:val="single"/>
          <w:rtl/>
        </w:rPr>
        <w:t>מדינת ישראל נ' אלון ללום</w:t>
      </w:r>
      <w:r>
        <w:rPr>
          <w:rFonts w:ascii="Calibri" w:hAnsi="Calibri" w:hint="cs"/>
          <w:rtl/>
        </w:rPr>
        <w:t xml:space="preserve"> </w:t>
      </w:r>
      <w:r w:rsidR="00881993" w:rsidRPr="00881993">
        <w:rPr>
          <w:rFonts w:ascii="Times New Roman" w:hAnsi="Times New Roman"/>
          <w:sz w:val="22"/>
          <w:rtl/>
        </w:rPr>
        <w:t>[</w:t>
      </w:r>
      <w:r w:rsidR="00881993" w:rsidRPr="00881993">
        <w:rPr>
          <w:rFonts w:ascii="Times New Roman" w:hAnsi="Times New Roman" w:hint="eastAsia"/>
          <w:sz w:val="22"/>
          <w:rtl/>
        </w:rPr>
        <w:t>פורסם</w:t>
      </w:r>
      <w:r w:rsidR="00881993" w:rsidRPr="00881993">
        <w:rPr>
          <w:rFonts w:ascii="Times New Roman" w:hAnsi="Times New Roman"/>
          <w:sz w:val="22"/>
          <w:rtl/>
        </w:rPr>
        <w:t xml:space="preserve"> </w:t>
      </w:r>
      <w:r w:rsidR="00881993" w:rsidRPr="00881993">
        <w:rPr>
          <w:rFonts w:ascii="Times New Roman" w:hAnsi="Times New Roman" w:hint="eastAsia"/>
          <w:sz w:val="22"/>
          <w:rtl/>
        </w:rPr>
        <w:t>בנבו</w:t>
      </w:r>
      <w:r w:rsidR="00881993" w:rsidRPr="00881993">
        <w:rPr>
          <w:rFonts w:ascii="Times New Roman" w:hAnsi="Times New Roman"/>
          <w:sz w:val="22"/>
          <w:rtl/>
        </w:rPr>
        <w:t xml:space="preserve">] </w:t>
      </w:r>
      <w:r>
        <w:rPr>
          <w:rFonts w:ascii="Calibri" w:hAnsi="Calibri" w:hint="cs"/>
          <w:rtl/>
        </w:rPr>
        <w:t xml:space="preserve">(21.4.10), הורשע הנאשם על פי הודאתו בהחזקת סם מסוכן מסוג חשיש במשקל </w:t>
      </w:r>
      <w:smartTag w:uri="urn:schemas-microsoft-com:office:smarttags" w:element="metricconverter">
        <w:smartTagPr>
          <w:attr w:name="ProductID" w:val="4 גרם"/>
        </w:smartTagPr>
        <w:r>
          <w:rPr>
            <w:rFonts w:ascii="Calibri" w:hAnsi="Calibri" w:hint="cs"/>
            <w:rtl/>
          </w:rPr>
          <w:t>4 גרם</w:t>
        </w:r>
      </w:smartTag>
      <w:r>
        <w:rPr>
          <w:rFonts w:ascii="Calibri" w:hAnsi="Calibri" w:hint="cs"/>
          <w:rtl/>
        </w:rPr>
        <w:t>. הנאשם נידון למאסר על תנאי, פסילה על תנאי וקנס.</w:t>
      </w:r>
    </w:p>
    <w:p w14:paraId="1AC4AF36" w14:textId="77777777" w:rsidR="00883A68" w:rsidRDefault="000E4CA6">
      <w:pPr>
        <w:spacing w:after="200" w:line="360" w:lineRule="auto"/>
        <w:ind w:left="720"/>
        <w:jc w:val="both"/>
        <w:rPr>
          <w:rFonts w:ascii="Calibri" w:hAnsi="Calibri"/>
          <w:rtl/>
        </w:rPr>
      </w:pPr>
      <w:r>
        <w:rPr>
          <w:rFonts w:ascii="Calibri" w:hAnsi="Calibri" w:hint="cs"/>
          <w:rtl/>
        </w:rPr>
        <w:t>ב</w:t>
      </w:r>
      <w:hyperlink r:id="rId16" w:history="1">
        <w:r w:rsidR="00881993" w:rsidRPr="00881993">
          <w:rPr>
            <w:rStyle w:val="Hyperlink"/>
            <w:rFonts w:ascii="Calibri" w:hAnsi="Calibri" w:hint="eastAsia"/>
            <w:rtl/>
          </w:rPr>
          <w:t>ת</w:t>
        </w:r>
        <w:r w:rsidR="00881993" w:rsidRPr="00881993">
          <w:rPr>
            <w:rStyle w:val="Hyperlink"/>
            <w:rFonts w:ascii="Calibri" w:hAnsi="Calibri"/>
            <w:rtl/>
          </w:rPr>
          <w:t>.</w:t>
        </w:r>
        <w:r w:rsidR="00881993" w:rsidRPr="00881993">
          <w:rPr>
            <w:rStyle w:val="Hyperlink"/>
            <w:rFonts w:ascii="Calibri" w:hAnsi="Calibri" w:hint="eastAsia"/>
            <w:rtl/>
          </w:rPr>
          <w:t>פ</w:t>
        </w:r>
        <w:r w:rsidR="00881993" w:rsidRPr="00881993">
          <w:rPr>
            <w:rStyle w:val="Hyperlink"/>
            <w:rFonts w:ascii="Calibri" w:hAnsi="Calibri"/>
            <w:rtl/>
          </w:rPr>
          <w:t xml:space="preserve"> (</w:t>
        </w:r>
        <w:r w:rsidR="00881993" w:rsidRPr="00881993">
          <w:rPr>
            <w:rStyle w:val="Hyperlink"/>
            <w:rFonts w:ascii="Calibri" w:hAnsi="Calibri" w:hint="eastAsia"/>
            <w:rtl/>
          </w:rPr>
          <w:t>שלום</w:t>
        </w:r>
        <w:r w:rsidR="00881993" w:rsidRPr="00881993">
          <w:rPr>
            <w:rStyle w:val="Hyperlink"/>
            <w:rFonts w:ascii="Calibri" w:hAnsi="Calibri"/>
            <w:rtl/>
          </w:rPr>
          <w:t>-</w:t>
        </w:r>
        <w:r w:rsidR="00881993" w:rsidRPr="00881993">
          <w:rPr>
            <w:rStyle w:val="Hyperlink"/>
            <w:rFonts w:ascii="Calibri" w:hAnsi="Calibri" w:hint="eastAsia"/>
            <w:rtl/>
          </w:rPr>
          <w:t>ת</w:t>
        </w:r>
        <w:r w:rsidR="00881993" w:rsidRPr="00881993">
          <w:rPr>
            <w:rStyle w:val="Hyperlink"/>
            <w:rFonts w:ascii="Calibri" w:hAnsi="Calibri"/>
            <w:rtl/>
          </w:rPr>
          <w:t>"</w:t>
        </w:r>
        <w:r w:rsidR="00881993" w:rsidRPr="00881993">
          <w:rPr>
            <w:rStyle w:val="Hyperlink"/>
            <w:rFonts w:ascii="Calibri" w:hAnsi="Calibri" w:hint="eastAsia"/>
            <w:rtl/>
          </w:rPr>
          <w:t>א</w:t>
        </w:r>
        <w:r w:rsidR="00881993" w:rsidRPr="00881993">
          <w:rPr>
            <w:rStyle w:val="Hyperlink"/>
            <w:rFonts w:ascii="Calibri" w:hAnsi="Calibri"/>
            <w:rtl/>
          </w:rPr>
          <w:t>) 2434/09</w:t>
        </w:r>
      </w:hyperlink>
      <w:r>
        <w:rPr>
          <w:rFonts w:ascii="Calibri" w:hAnsi="Calibri" w:hint="cs"/>
          <w:rtl/>
        </w:rPr>
        <w:t xml:space="preserve"> </w:t>
      </w:r>
      <w:r>
        <w:rPr>
          <w:rFonts w:ascii="Calibri" w:hAnsi="Calibri" w:hint="cs"/>
          <w:b/>
          <w:bCs/>
          <w:u w:val="single"/>
          <w:rtl/>
        </w:rPr>
        <w:t>מדינת ישראל נ' ישראלי</w:t>
      </w:r>
      <w:r>
        <w:rPr>
          <w:rFonts w:ascii="Calibri" w:hAnsi="Calibri" w:hint="cs"/>
          <w:rtl/>
        </w:rPr>
        <w:t xml:space="preserve"> </w:t>
      </w:r>
      <w:r w:rsidR="00881993" w:rsidRPr="00881993">
        <w:rPr>
          <w:rFonts w:ascii="Times New Roman" w:hAnsi="Times New Roman"/>
          <w:sz w:val="22"/>
          <w:rtl/>
        </w:rPr>
        <w:t>[</w:t>
      </w:r>
      <w:r w:rsidR="00881993" w:rsidRPr="00881993">
        <w:rPr>
          <w:rFonts w:ascii="Times New Roman" w:hAnsi="Times New Roman" w:hint="eastAsia"/>
          <w:sz w:val="22"/>
          <w:rtl/>
        </w:rPr>
        <w:t>פורסם</w:t>
      </w:r>
      <w:r w:rsidR="00881993" w:rsidRPr="00881993">
        <w:rPr>
          <w:rFonts w:ascii="Times New Roman" w:hAnsi="Times New Roman"/>
          <w:sz w:val="22"/>
          <w:rtl/>
        </w:rPr>
        <w:t xml:space="preserve"> </w:t>
      </w:r>
      <w:r w:rsidR="00881993" w:rsidRPr="00881993">
        <w:rPr>
          <w:rFonts w:ascii="Times New Roman" w:hAnsi="Times New Roman" w:hint="eastAsia"/>
          <w:sz w:val="22"/>
          <w:rtl/>
        </w:rPr>
        <w:t>בנבו</w:t>
      </w:r>
      <w:r w:rsidR="00881993" w:rsidRPr="00881993">
        <w:rPr>
          <w:rFonts w:ascii="Times New Roman" w:hAnsi="Times New Roman"/>
          <w:sz w:val="22"/>
          <w:rtl/>
        </w:rPr>
        <w:t xml:space="preserve">] </w:t>
      </w:r>
      <w:r>
        <w:rPr>
          <w:rFonts w:ascii="Calibri" w:hAnsi="Calibri" w:hint="cs"/>
          <w:rtl/>
        </w:rPr>
        <w:t>(21.2.10), הורשע הנאשם על פי הודאתו בהחזקתכ-</w:t>
      </w:r>
      <w:smartTag w:uri="urn:schemas-microsoft-com:office:smarttags" w:element="metricconverter">
        <w:smartTagPr>
          <w:attr w:name="ProductID" w:val="2 גרם"/>
        </w:smartTagPr>
        <w:r>
          <w:rPr>
            <w:rFonts w:ascii="Calibri" w:hAnsi="Calibri" w:hint="cs"/>
            <w:rtl/>
          </w:rPr>
          <w:t>2 גרם</w:t>
        </w:r>
      </w:smartTag>
      <w:r>
        <w:rPr>
          <w:rFonts w:ascii="Calibri" w:hAnsi="Calibri" w:hint="cs"/>
          <w:rtl/>
        </w:rPr>
        <w:t xml:space="preserve"> חשיש לצריכה עצמית. הנאשם נידון למאסר על תנאי והתחייבות.</w:t>
      </w:r>
    </w:p>
    <w:p w14:paraId="068265D0" w14:textId="77777777" w:rsidR="00883A68" w:rsidRDefault="000E4CA6">
      <w:pPr>
        <w:spacing w:after="200" w:line="360" w:lineRule="auto"/>
        <w:ind w:left="720"/>
        <w:jc w:val="both"/>
        <w:rPr>
          <w:rFonts w:ascii="Calibri" w:hAnsi="Calibri"/>
          <w:rtl/>
        </w:rPr>
      </w:pPr>
      <w:r>
        <w:rPr>
          <w:rFonts w:ascii="Calibri" w:hAnsi="Calibri" w:hint="cs"/>
          <w:rtl/>
        </w:rPr>
        <w:t>ב</w:t>
      </w:r>
      <w:hyperlink r:id="rId17" w:history="1">
        <w:r w:rsidRPr="000E4CA6">
          <w:rPr>
            <w:rStyle w:val="Hyperlink"/>
            <w:rFonts w:ascii="Calibri" w:hAnsi="Calibri" w:hint="eastAsia"/>
            <w:rtl/>
          </w:rPr>
          <w:t>ת</w:t>
        </w:r>
        <w:r w:rsidRPr="000E4CA6">
          <w:rPr>
            <w:rStyle w:val="Hyperlink"/>
            <w:rFonts w:ascii="Calibri" w:hAnsi="Calibri"/>
            <w:rtl/>
          </w:rPr>
          <w:t>.</w:t>
        </w:r>
        <w:r w:rsidRPr="000E4CA6">
          <w:rPr>
            <w:rStyle w:val="Hyperlink"/>
            <w:rFonts w:ascii="Calibri" w:hAnsi="Calibri" w:hint="eastAsia"/>
            <w:rtl/>
          </w:rPr>
          <w:t>פ</w:t>
        </w:r>
        <w:r w:rsidRPr="000E4CA6">
          <w:rPr>
            <w:rStyle w:val="Hyperlink"/>
            <w:rFonts w:ascii="Calibri" w:hAnsi="Calibri"/>
            <w:rtl/>
          </w:rPr>
          <w:t>(</w:t>
        </w:r>
        <w:r w:rsidRPr="000E4CA6">
          <w:rPr>
            <w:rStyle w:val="Hyperlink"/>
            <w:rFonts w:ascii="Calibri" w:hAnsi="Calibri" w:hint="eastAsia"/>
            <w:rtl/>
          </w:rPr>
          <w:t>שלום</w:t>
        </w:r>
        <w:r w:rsidRPr="000E4CA6">
          <w:rPr>
            <w:rStyle w:val="Hyperlink"/>
            <w:rFonts w:ascii="Calibri" w:hAnsi="Calibri"/>
            <w:rtl/>
          </w:rPr>
          <w:t>-</w:t>
        </w:r>
        <w:r w:rsidRPr="000E4CA6">
          <w:rPr>
            <w:rStyle w:val="Hyperlink"/>
            <w:rFonts w:ascii="Calibri" w:hAnsi="Calibri" w:hint="eastAsia"/>
            <w:rtl/>
          </w:rPr>
          <w:t>נצרת</w:t>
        </w:r>
        <w:r w:rsidRPr="000E4CA6">
          <w:rPr>
            <w:rStyle w:val="Hyperlink"/>
            <w:rFonts w:ascii="Calibri" w:hAnsi="Calibri"/>
            <w:rtl/>
          </w:rPr>
          <w:t>) 9985-07-08</w:t>
        </w:r>
      </w:hyperlink>
      <w:r>
        <w:rPr>
          <w:rFonts w:ascii="Calibri" w:hAnsi="Calibri" w:hint="cs"/>
          <w:rtl/>
        </w:rPr>
        <w:t xml:space="preserve"> </w:t>
      </w:r>
      <w:r>
        <w:rPr>
          <w:rFonts w:ascii="Calibri" w:hAnsi="Calibri" w:hint="cs"/>
          <w:b/>
          <w:bCs/>
          <w:u w:val="single"/>
          <w:rtl/>
        </w:rPr>
        <w:t>מדינת ישראל נ' אבו דבוס</w:t>
      </w:r>
      <w:r>
        <w:rPr>
          <w:rFonts w:ascii="Calibri" w:hAnsi="Calibri" w:hint="cs"/>
          <w:rtl/>
        </w:rPr>
        <w:t xml:space="preserve"> </w:t>
      </w:r>
      <w:r w:rsidR="00881993" w:rsidRPr="00881993">
        <w:rPr>
          <w:rFonts w:ascii="Times New Roman" w:hAnsi="Times New Roman"/>
          <w:sz w:val="22"/>
          <w:rtl/>
        </w:rPr>
        <w:t>[</w:t>
      </w:r>
      <w:r w:rsidR="00881993" w:rsidRPr="00881993">
        <w:rPr>
          <w:rFonts w:ascii="Times New Roman" w:hAnsi="Times New Roman" w:hint="eastAsia"/>
          <w:sz w:val="22"/>
          <w:rtl/>
        </w:rPr>
        <w:t>פורסם</w:t>
      </w:r>
      <w:r w:rsidR="00881993" w:rsidRPr="00881993">
        <w:rPr>
          <w:rFonts w:ascii="Times New Roman" w:hAnsi="Times New Roman"/>
          <w:sz w:val="22"/>
          <w:rtl/>
        </w:rPr>
        <w:t xml:space="preserve"> </w:t>
      </w:r>
      <w:r w:rsidR="00881993" w:rsidRPr="00881993">
        <w:rPr>
          <w:rFonts w:ascii="Times New Roman" w:hAnsi="Times New Roman" w:hint="eastAsia"/>
          <w:sz w:val="22"/>
          <w:rtl/>
        </w:rPr>
        <w:t>בנבו</w:t>
      </w:r>
      <w:r w:rsidR="00881993" w:rsidRPr="00881993">
        <w:rPr>
          <w:rFonts w:ascii="Times New Roman" w:hAnsi="Times New Roman"/>
          <w:sz w:val="22"/>
          <w:rtl/>
        </w:rPr>
        <w:t xml:space="preserve">] </w:t>
      </w:r>
      <w:r>
        <w:rPr>
          <w:rFonts w:ascii="Calibri" w:hAnsi="Calibri" w:hint="cs"/>
          <w:rtl/>
        </w:rPr>
        <w:t xml:space="preserve">(23.6.09), הורשע הנאשם בעבירה של החזקת חשיש במשקל </w:t>
      </w:r>
      <w:smartTag w:uri="urn:schemas-microsoft-com:office:smarttags" w:element="metricconverter">
        <w:smartTagPr>
          <w:attr w:name="ProductID" w:val="4 גרם"/>
        </w:smartTagPr>
        <w:r>
          <w:rPr>
            <w:rFonts w:ascii="Calibri" w:hAnsi="Calibri" w:hint="cs"/>
            <w:rtl/>
          </w:rPr>
          <w:t>4 גרם</w:t>
        </w:r>
      </w:smartTag>
      <w:r>
        <w:rPr>
          <w:rFonts w:ascii="Calibri" w:hAnsi="Calibri" w:hint="cs"/>
          <w:rtl/>
        </w:rPr>
        <w:t xml:space="preserve"> לצריכתו העצמית. בהתאם להסדר הטיעון, הוטל על הנאשם עונש הכולל מאסר על תנאי והתחייבות.</w:t>
      </w:r>
    </w:p>
    <w:p w14:paraId="5388A312" w14:textId="77777777" w:rsidR="00883A68" w:rsidRDefault="000E4CA6">
      <w:pPr>
        <w:spacing w:after="200" w:line="276" w:lineRule="auto"/>
        <w:jc w:val="both"/>
        <w:rPr>
          <w:rFonts w:ascii="Calibri" w:hAnsi="Calibri"/>
          <w:b/>
          <w:bCs/>
          <w:u w:val="single"/>
          <w:rtl/>
        </w:rPr>
      </w:pPr>
      <w:r>
        <w:rPr>
          <w:rFonts w:ascii="Calibri" w:hAnsi="Calibri" w:hint="cs"/>
          <w:rtl/>
        </w:rPr>
        <w:t>8.</w:t>
      </w:r>
      <w:r>
        <w:rPr>
          <w:rFonts w:ascii="Calibri" w:hAnsi="Calibri" w:hint="cs"/>
          <w:b/>
          <w:bCs/>
          <w:rtl/>
        </w:rPr>
        <w:t xml:space="preserve"> </w:t>
      </w:r>
      <w:r>
        <w:rPr>
          <w:rFonts w:ascii="Calibri" w:hAnsi="Calibri" w:hint="cs"/>
          <w:b/>
          <w:bCs/>
          <w:rtl/>
        </w:rPr>
        <w:tab/>
      </w:r>
      <w:r>
        <w:rPr>
          <w:rFonts w:ascii="Calibri" w:hAnsi="Calibri" w:hint="cs"/>
          <w:b/>
          <w:bCs/>
          <w:u w:val="single"/>
          <w:rtl/>
        </w:rPr>
        <w:t>שאלת ההרשעה בדין :</w:t>
      </w:r>
    </w:p>
    <w:p w14:paraId="3BE4C075" w14:textId="77777777" w:rsidR="00883A68" w:rsidRDefault="000E4CA6">
      <w:pPr>
        <w:spacing w:after="200" w:line="360" w:lineRule="auto"/>
        <w:ind w:left="720"/>
        <w:jc w:val="both"/>
        <w:rPr>
          <w:rFonts w:ascii="Calibri" w:hAnsi="Calibri"/>
          <w:rtl/>
        </w:rPr>
      </w:pPr>
      <w:r>
        <w:rPr>
          <w:rFonts w:ascii="Calibri" w:hAnsi="Calibri" w:hint="cs"/>
          <w:rtl/>
        </w:rPr>
        <w:t>הכלל הוא, לגבי נאשמים בגירים, כי נאשם שהודה  בעובדות כתב האישום יש להרשיעו בדין.  הימנעות מהרשעה הנו, לפיכך, חריג לכלל זה.</w:t>
      </w:r>
    </w:p>
    <w:p w14:paraId="51B816F4" w14:textId="77777777" w:rsidR="00883A68" w:rsidRDefault="000E4CA6">
      <w:pPr>
        <w:spacing w:line="360" w:lineRule="auto"/>
        <w:ind w:left="720"/>
        <w:jc w:val="both"/>
        <w:rPr>
          <w:rFonts w:ascii="Times New Roman" w:hAnsi="Times New Roman"/>
          <w:rtl/>
        </w:rPr>
      </w:pPr>
      <w:r>
        <w:rPr>
          <w:rFonts w:hint="cs"/>
          <w:rtl/>
        </w:rPr>
        <w:t>ב</w:t>
      </w:r>
      <w:hyperlink r:id="rId18" w:history="1">
        <w:r w:rsidRPr="000E4CA6">
          <w:rPr>
            <w:rStyle w:val="Hyperlink"/>
            <w:rFonts w:hint="eastAsia"/>
            <w:rtl/>
          </w:rPr>
          <w:t>ע</w:t>
        </w:r>
        <w:r w:rsidRPr="000E4CA6">
          <w:rPr>
            <w:rStyle w:val="Hyperlink"/>
            <w:rtl/>
          </w:rPr>
          <w:t>"פ 2083/96 תמר כתב  נ' מדינת ישראל, פ"ד נב</w:t>
        </w:r>
      </w:hyperlink>
      <w:r>
        <w:rPr>
          <w:rFonts w:hint="cs"/>
          <w:rtl/>
        </w:rPr>
        <w:t xml:space="preserve">(3) 337  (להלן: </w:t>
      </w:r>
      <w:r>
        <w:rPr>
          <w:rFonts w:hint="cs"/>
          <w:b/>
          <w:bCs/>
          <w:rtl/>
        </w:rPr>
        <w:t>"פסק דין כתב"</w:t>
      </w:r>
      <w:r>
        <w:rPr>
          <w:rFonts w:hint="cs"/>
          <w:rtl/>
        </w:rPr>
        <w:t xml:space="preserve"> ), נקבעו בין היתר, התנאים הנדרשים להימנעות מהרשעת הנאשם בדין ולפיהם, הימנעות מהרשעה בדין אפשרית בהצטבר שני גורמים: ראשית, על ההרשעה לפגוע פגיעה חמורה בשיקום הנאשם, ושנית, סוג העבירה מאפשר לוותר בנסיבות המקרה המסוים על ההרשעה, מבלי לפגוע באופן מהותי בשיקולי הענישה האחרים .</w:t>
      </w:r>
    </w:p>
    <w:p w14:paraId="1E556F4D" w14:textId="77777777" w:rsidR="00883A68" w:rsidRDefault="000E4CA6">
      <w:pPr>
        <w:spacing w:line="360" w:lineRule="auto"/>
        <w:jc w:val="both"/>
        <w:rPr>
          <w:rtl/>
        </w:rPr>
      </w:pPr>
      <w:r>
        <w:rPr>
          <w:rFonts w:hint="cs"/>
          <w:rtl/>
        </w:rPr>
        <w:t xml:space="preserve">                                    </w:t>
      </w:r>
    </w:p>
    <w:p w14:paraId="4E9B9C96" w14:textId="77777777" w:rsidR="00883A68" w:rsidRDefault="000E4CA6">
      <w:pPr>
        <w:spacing w:after="200" w:line="360" w:lineRule="auto"/>
        <w:ind w:left="720"/>
        <w:jc w:val="both"/>
        <w:rPr>
          <w:rFonts w:ascii="Calibri" w:hAnsi="Calibri"/>
          <w:b/>
          <w:bCs/>
          <w:rtl/>
        </w:rPr>
      </w:pPr>
      <w:r>
        <w:rPr>
          <w:rFonts w:ascii="Calibri" w:hAnsi="Calibri" w:hint="cs"/>
          <w:b/>
          <w:bCs/>
          <w:rtl/>
        </w:rPr>
        <w:t>לאחר עיון ושקילה של כלל הנסיבות – החלטתי, אם כי יצויין שלא בלי התלבטות, שלא להרשיע את הנאשם בדין.</w:t>
      </w:r>
    </w:p>
    <w:p w14:paraId="42D30880" w14:textId="77777777" w:rsidR="00883A68" w:rsidRDefault="000E4CA6">
      <w:pPr>
        <w:spacing w:after="200" w:line="360" w:lineRule="auto"/>
        <w:ind w:firstLine="720"/>
        <w:jc w:val="both"/>
        <w:rPr>
          <w:rFonts w:ascii="Calibri" w:hAnsi="Calibri"/>
          <w:rtl/>
        </w:rPr>
      </w:pPr>
      <w:r>
        <w:rPr>
          <w:rFonts w:ascii="Calibri" w:hAnsi="Calibri" w:hint="cs"/>
          <w:rtl/>
        </w:rPr>
        <w:t>אפרט להלן את נימוקי החלטתי:</w:t>
      </w:r>
    </w:p>
    <w:p w14:paraId="34F9E075" w14:textId="77777777" w:rsidR="00883A68" w:rsidRDefault="000E4CA6">
      <w:pPr>
        <w:spacing w:after="200" w:line="360" w:lineRule="auto"/>
        <w:ind w:left="720"/>
        <w:jc w:val="both"/>
        <w:rPr>
          <w:rFonts w:ascii="Calibri" w:hAnsi="Calibri"/>
          <w:rtl/>
        </w:rPr>
      </w:pPr>
      <w:r>
        <w:rPr>
          <w:rFonts w:ascii="Calibri" w:hAnsi="Calibri" w:hint="cs"/>
          <w:rtl/>
        </w:rPr>
        <w:t>המבחן השני שבפסק דין כתב, זה שבו נשקלת חומרת העבירה, מביא למסקנה כי מדובר בעבירה, אשר בנסיבותיה, מאפשרת לוותר על ההרשעה, מבלי ששיקולי הענישה ייפגעו פגיעה קשה. כפי שציינתי לעיל, אני מוצאת שבפועל, עבריינים בעבירה מהסוג האמור, המועדים לראשונה, לעיתים קרובות מסיימים את ההליך הפלילי בפסק דין ללא הרשעה.</w:t>
      </w:r>
    </w:p>
    <w:p w14:paraId="7124A6B1" w14:textId="77777777" w:rsidR="00883A68" w:rsidRDefault="000E4CA6">
      <w:pPr>
        <w:spacing w:after="200" w:line="360" w:lineRule="auto"/>
        <w:ind w:left="720"/>
        <w:jc w:val="both"/>
        <w:rPr>
          <w:rFonts w:ascii="Calibri" w:hAnsi="Calibri"/>
          <w:rtl/>
        </w:rPr>
      </w:pPr>
      <w:r>
        <w:rPr>
          <w:rFonts w:ascii="Calibri" w:hAnsi="Calibri" w:hint="cs"/>
          <w:rtl/>
        </w:rPr>
        <w:t>העובדה כי התביעה באה עם הנאשם לכדי הסדר טיעון לפיו הוסכם על קבלת תסקיר טרם הרשעה, ובנוסף, התחייבה לבוא בדברים עם הנאשם לאחר המלצות התסקיר, מחזקת את הנאמר לעיל לגבי מדיניות הענישה בתחום זה.</w:t>
      </w:r>
    </w:p>
    <w:p w14:paraId="261BCB5D" w14:textId="77777777" w:rsidR="00883A68" w:rsidRDefault="000E4CA6">
      <w:pPr>
        <w:spacing w:after="200" w:line="360" w:lineRule="auto"/>
        <w:ind w:left="720"/>
        <w:jc w:val="both"/>
        <w:rPr>
          <w:rFonts w:ascii="Calibri" w:hAnsi="Calibri"/>
          <w:rtl/>
        </w:rPr>
      </w:pPr>
      <w:r>
        <w:rPr>
          <w:rFonts w:ascii="Calibri" w:hAnsi="Calibri" w:hint="cs"/>
          <w:rtl/>
        </w:rPr>
        <w:t>מעבר לכך, מצאתי כי עמדת התביעה, אף שאיננה מהווה משום התחייבות לקבל את המלצת התסקיר, הרי שיש בה משום הבעת עמדה לפיה יש ותאומץ המלצה שלא להרשיע את הנאשם. בסופו של דבר, עתרה התביעה, כאמור, להרשיע את הנאשם. אגע בכך בהמשך, אך אומר כבר כעת, כי עמדה זו תישקל אל מול העמדה שהוצגה בעת הצגת הסדר הטיעון, כאמור לעיל.</w:t>
      </w:r>
    </w:p>
    <w:p w14:paraId="13557A64" w14:textId="77777777" w:rsidR="00883A68" w:rsidRDefault="000E4CA6">
      <w:pPr>
        <w:spacing w:after="200" w:line="360" w:lineRule="auto"/>
        <w:ind w:left="720"/>
        <w:jc w:val="both"/>
        <w:rPr>
          <w:rFonts w:ascii="Calibri" w:hAnsi="Calibri"/>
          <w:rtl/>
        </w:rPr>
      </w:pPr>
      <w:r>
        <w:rPr>
          <w:rFonts w:ascii="Calibri" w:hAnsi="Calibri" w:hint="cs"/>
          <w:rtl/>
        </w:rPr>
        <w:t>בעוד שמצאתי, כאמור, הצדקה להימנע מהרשעה, על פי המבחן השני של פסק דין כתב, הרי שהתלבטתי מעט לגבי המבחן הראשון, שעניינו שקילת הפגיעה שעלולה להיגרם לנאשם עקב הרשעתו.  לא ניתן לומר כי טיעוני הנאשם, או הנאמר בתסקיר המבחן, שכנעוני כי חיי הנאשם ישתנו, או כי ייפגע חמורות מהרשעה בדין. הטענה שהושמעה, ולפיה על הנאשם לשמור על צלילות בעבודתו, לא רלוונטית, כמובן, לשאלת ההרשעה, אלא נוגעת לשאלת שימוש או הימנעות משימוש בסמים.</w:t>
      </w:r>
    </w:p>
    <w:p w14:paraId="51450C5E" w14:textId="77777777" w:rsidR="00883A68" w:rsidRDefault="000E4CA6">
      <w:pPr>
        <w:spacing w:after="200" w:line="360" w:lineRule="auto"/>
        <w:ind w:left="720"/>
        <w:jc w:val="both"/>
        <w:rPr>
          <w:rFonts w:ascii="Calibri" w:hAnsi="Calibri"/>
          <w:rtl/>
        </w:rPr>
      </w:pPr>
      <w:r>
        <w:rPr>
          <w:rFonts w:ascii="Calibri" w:hAnsi="Calibri" w:hint="cs"/>
          <w:rtl/>
        </w:rPr>
        <w:t xml:space="preserve">יחד עם זאת, בסופו של דבר,  מצאתי לנכון לקבל את טענת הנאשם לפיה עלולה להיגרם לו פגיעה מההרשעה, על השלכותיה, נוכח עיסוקו בתיירות ובהדרכת קבוצות. </w:t>
      </w:r>
    </w:p>
    <w:p w14:paraId="60F85B45" w14:textId="77777777" w:rsidR="00883A68" w:rsidRDefault="000E4CA6">
      <w:pPr>
        <w:spacing w:after="200" w:line="360" w:lineRule="auto"/>
        <w:ind w:left="720"/>
        <w:jc w:val="both"/>
        <w:rPr>
          <w:rFonts w:ascii="Calibri" w:hAnsi="Calibri"/>
          <w:rtl/>
        </w:rPr>
      </w:pPr>
      <w:r>
        <w:rPr>
          <w:rFonts w:ascii="Calibri" w:hAnsi="Calibri" w:hint="cs"/>
          <w:rtl/>
        </w:rPr>
        <w:t xml:space="preserve">מדובר באדם בן 56, נורמטיבי, אב לילדים קטנים, ואף לילדים בוגרים, אשר מלבד הרשעה אחת </w:t>
      </w:r>
      <w:r>
        <w:rPr>
          <w:rFonts w:ascii="Calibri" w:hAnsi="Calibri" w:hint="cs"/>
          <w:b/>
          <w:bCs/>
          <w:rtl/>
        </w:rPr>
        <w:t>שהתיישנה</w:t>
      </w:r>
      <w:r>
        <w:rPr>
          <w:rFonts w:ascii="Calibri" w:hAnsi="Calibri" w:hint="cs"/>
          <w:rtl/>
        </w:rPr>
        <w:t xml:space="preserve">, ושעניינה איננו סמים, לא הסתבך בפלילים. </w:t>
      </w:r>
    </w:p>
    <w:p w14:paraId="32D26033" w14:textId="77777777" w:rsidR="00883A68" w:rsidRDefault="000E4CA6">
      <w:pPr>
        <w:spacing w:after="200" w:line="360" w:lineRule="auto"/>
        <w:ind w:left="720"/>
        <w:jc w:val="both"/>
        <w:rPr>
          <w:rFonts w:ascii="Calibri" w:hAnsi="Calibri"/>
          <w:rtl/>
        </w:rPr>
      </w:pPr>
      <w:r>
        <w:rPr>
          <w:rFonts w:ascii="Calibri" w:hAnsi="Calibri" w:hint="cs"/>
          <w:rtl/>
        </w:rPr>
        <w:t>לנוכח התיישנותה של הרשעתו היחידה בפלילים, התייחסתי אליו כאל מי שלא הורשע בפלילים כלל.</w:t>
      </w:r>
    </w:p>
    <w:p w14:paraId="4BC16137" w14:textId="77777777" w:rsidR="00883A68" w:rsidRDefault="000E4CA6">
      <w:pPr>
        <w:spacing w:after="200" w:line="360" w:lineRule="auto"/>
        <w:ind w:left="720"/>
        <w:jc w:val="both"/>
        <w:rPr>
          <w:rFonts w:ascii="Calibri" w:hAnsi="Calibri"/>
          <w:rtl/>
        </w:rPr>
      </w:pPr>
      <w:r>
        <w:rPr>
          <w:rFonts w:ascii="Calibri" w:hAnsi="Calibri" w:hint="cs"/>
          <w:rtl/>
        </w:rPr>
        <w:t>היות וקבעתי כי יש להתייחס לנאשם כאל מי שלא הורשע בפלילים – הרי שעמדת התביעה להרשעה, המנומקת בעיקרה בכך שהוא איננו מי שעברו נקי – נחלשת במידה רבה.</w:t>
      </w:r>
    </w:p>
    <w:p w14:paraId="54BB48E8" w14:textId="77777777" w:rsidR="00883A68" w:rsidRDefault="000E4CA6">
      <w:pPr>
        <w:spacing w:after="200" w:line="360" w:lineRule="auto"/>
        <w:ind w:left="720"/>
        <w:jc w:val="both"/>
        <w:rPr>
          <w:rFonts w:ascii="Calibri" w:hAnsi="Calibri"/>
          <w:rtl/>
        </w:rPr>
      </w:pPr>
      <w:r>
        <w:rPr>
          <w:rFonts w:ascii="Calibri" w:hAnsi="Calibri" w:hint="cs"/>
          <w:rtl/>
        </w:rPr>
        <w:t>עניין נוסף הוא יחסו של הנאשם לעבירה. הנאשם גילה, במידה מסויימת ,אם כי לא מכרעת, הסתייגות לקבלת אחריות. הנאשם טען, בפני שרות המבחן, כי הסמים שנתפסו והוחזקו על ידו אינם שלו.  לא מצאתי בדברים אלה משום טיעון לטובת הנאשם, ויש בדברים נימה של אי לקיחת אחריות. לצד דברים אלה בולטת לרעה התרעומת שניכרת ביחסו של הנאשם להליך המשפטי, הימנעותו מלשלול שימוש בסמים כעקרון, כפי שהובאו בתסקיר, וגם בדיון בפני.</w:t>
      </w:r>
    </w:p>
    <w:p w14:paraId="2FE8C286" w14:textId="77777777" w:rsidR="00883A68" w:rsidRDefault="000E4CA6">
      <w:pPr>
        <w:spacing w:after="200" w:line="360" w:lineRule="auto"/>
        <w:ind w:left="720"/>
        <w:jc w:val="both"/>
        <w:rPr>
          <w:rFonts w:ascii="Calibri" w:hAnsi="Calibri"/>
          <w:rtl/>
        </w:rPr>
      </w:pPr>
      <w:r>
        <w:rPr>
          <w:rFonts w:ascii="Calibri" w:hAnsi="Calibri" w:hint="cs"/>
          <w:rtl/>
        </w:rPr>
        <w:t>נראה כי הנאשם לא נושא, במידה האופטימלית, באחריות למעשיו.</w:t>
      </w:r>
    </w:p>
    <w:p w14:paraId="0F7B6B25" w14:textId="77777777" w:rsidR="00883A68" w:rsidRDefault="000E4CA6">
      <w:pPr>
        <w:spacing w:after="200" w:line="360" w:lineRule="auto"/>
        <w:ind w:left="720"/>
        <w:jc w:val="both"/>
        <w:rPr>
          <w:rFonts w:ascii="Calibri" w:hAnsi="Calibri"/>
          <w:rtl/>
        </w:rPr>
      </w:pPr>
      <w:r>
        <w:rPr>
          <w:rFonts w:ascii="Calibri" w:hAnsi="Calibri" w:hint="cs"/>
          <w:rtl/>
        </w:rPr>
        <w:t>ואולם, למרות שהוא מתרעם על הרשויות המחייבות אותו לקחת חלק בהליך הפלילי, הרי שבפועל הנאשם הודה בהזדמנות הראשונה, עמד במוטל עליו, ומילא את חלקו בהליך.</w:t>
      </w:r>
    </w:p>
    <w:p w14:paraId="0CCA2377" w14:textId="77777777" w:rsidR="00883A68" w:rsidRDefault="000E4CA6">
      <w:pPr>
        <w:spacing w:after="200" w:line="360" w:lineRule="auto"/>
        <w:ind w:left="720"/>
        <w:jc w:val="both"/>
        <w:rPr>
          <w:rFonts w:ascii="Calibri" w:hAnsi="Calibri"/>
          <w:rtl/>
        </w:rPr>
      </w:pPr>
      <w:r>
        <w:rPr>
          <w:rFonts w:ascii="Calibri" w:hAnsi="Calibri" w:hint="cs"/>
          <w:rtl/>
        </w:rPr>
        <w:t>לא מצאתי, לנוכח נתוני הנאשם, כי היעדר המלצה טיפולית, או עמדתו המסוייגת כלפי ההליך המשפטי, היא נקודה לחובתו, באופן המחייב את הרשעתו בדין.</w:t>
      </w:r>
    </w:p>
    <w:p w14:paraId="41BF4879" w14:textId="77777777" w:rsidR="00883A68" w:rsidRDefault="000E4CA6">
      <w:pPr>
        <w:spacing w:after="200" w:line="360" w:lineRule="auto"/>
        <w:ind w:left="720"/>
        <w:jc w:val="both"/>
        <w:rPr>
          <w:rFonts w:ascii="Calibri" w:hAnsi="Calibri"/>
          <w:rtl/>
        </w:rPr>
      </w:pPr>
      <w:r>
        <w:rPr>
          <w:rFonts w:ascii="Calibri" w:hAnsi="Calibri" w:hint="cs"/>
          <w:rtl/>
        </w:rPr>
        <w:t>שרות המבחן קבע כי הנאשם אינו זקוק לטיפול, המליץ שלא להרשיעו, ולהסתפק בצו של"צ לגביו, ואף אני, בסופו של דבר, החלטתי לקבל את ההמלצה כלשונה.</w:t>
      </w:r>
    </w:p>
    <w:p w14:paraId="624C254B" w14:textId="77777777" w:rsidR="00883A68" w:rsidRDefault="000E4CA6">
      <w:pPr>
        <w:spacing w:after="200" w:line="360" w:lineRule="auto"/>
        <w:ind w:left="720"/>
        <w:jc w:val="both"/>
        <w:rPr>
          <w:rFonts w:ascii="Calibri" w:hAnsi="Calibri"/>
          <w:rtl/>
        </w:rPr>
      </w:pPr>
      <w:r>
        <w:rPr>
          <w:rFonts w:ascii="Calibri" w:hAnsi="Calibri" w:hint="cs"/>
          <w:rtl/>
        </w:rPr>
        <w:t xml:space="preserve">אשר על כן - </w:t>
      </w:r>
      <w:r>
        <w:rPr>
          <w:rFonts w:ascii="Calibri" w:hAnsi="Calibri" w:hint="cs"/>
          <w:b/>
          <w:bCs/>
          <w:u w:val="single"/>
          <w:rtl/>
        </w:rPr>
        <w:t>אני נמנעת מהרשעתו של הנאשם בדין.</w:t>
      </w:r>
    </w:p>
    <w:p w14:paraId="1E3F9832" w14:textId="77777777" w:rsidR="00883A68" w:rsidRDefault="000E4CA6">
      <w:pPr>
        <w:spacing w:after="200" w:line="360" w:lineRule="auto"/>
        <w:jc w:val="both"/>
        <w:rPr>
          <w:rFonts w:ascii="Calibri" w:hAnsi="Calibri"/>
          <w:u w:val="single"/>
          <w:rtl/>
        </w:rPr>
      </w:pPr>
      <w:r>
        <w:rPr>
          <w:rFonts w:ascii="Calibri" w:hAnsi="Calibri" w:hint="cs"/>
          <w:rtl/>
        </w:rPr>
        <w:t xml:space="preserve">9. </w:t>
      </w:r>
      <w:r>
        <w:rPr>
          <w:rFonts w:ascii="Calibri" w:hAnsi="Calibri" w:hint="cs"/>
          <w:rtl/>
        </w:rPr>
        <w:tab/>
      </w:r>
      <w:r>
        <w:rPr>
          <w:rFonts w:ascii="Calibri" w:hAnsi="Calibri" w:hint="cs"/>
          <w:b/>
          <w:bCs/>
          <w:u w:val="single"/>
          <w:rtl/>
        </w:rPr>
        <w:t>ענישה:</w:t>
      </w:r>
    </w:p>
    <w:p w14:paraId="08BE89DD" w14:textId="77777777" w:rsidR="00883A68" w:rsidRDefault="000E4CA6">
      <w:pPr>
        <w:spacing w:after="200" w:line="360" w:lineRule="auto"/>
        <w:jc w:val="both"/>
        <w:rPr>
          <w:rFonts w:ascii="Calibri" w:hAnsi="Calibri"/>
          <w:rtl/>
        </w:rPr>
      </w:pPr>
      <w:r>
        <w:rPr>
          <w:rFonts w:ascii="Calibri" w:hAnsi="Calibri" w:hint="cs"/>
          <w:rtl/>
        </w:rPr>
        <w:tab/>
        <w:t>שרות המבחן המליץ להטיל על הנאשם צו של"צ מופחת למשך 60 שעות.</w:t>
      </w:r>
    </w:p>
    <w:p w14:paraId="10BB92A5" w14:textId="77777777" w:rsidR="00883A68" w:rsidRDefault="000E4CA6">
      <w:pPr>
        <w:spacing w:after="200" w:line="360" w:lineRule="auto"/>
        <w:ind w:left="720"/>
        <w:jc w:val="both"/>
        <w:rPr>
          <w:rFonts w:ascii="Calibri" w:hAnsi="Calibri"/>
          <w:rtl/>
        </w:rPr>
      </w:pPr>
      <w:r>
        <w:rPr>
          <w:rFonts w:ascii="Calibri" w:hAnsi="Calibri" w:hint="cs"/>
          <w:rtl/>
        </w:rPr>
        <w:t>לנוכח ההתלבטויות וההסתייגויות שפורטו לעיל, מצאתי לנכון להכביד עם הנאשם מעבר  להמלצה.</w:t>
      </w:r>
    </w:p>
    <w:p w14:paraId="06F56FA1" w14:textId="77777777" w:rsidR="00883A68" w:rsidRDefault="000E4CA6">
      <w:pPr>
        <w:spacing w:after="200" w:line="360" w:lineRule="auto"/>
        <w:jc w:val="both"/>
        <w:rPr>
          <w:rFonts w:ascii="Calibri" w:hAnsi="Calibri"/>
          <w:b/>
          <w:bCs/>
          <w:u w:val="single"/>
          <w:rtl/>
        </w:rPr>
      </w:pPr>
      <w:r>
        <w:rPr>
          <w:rFonts w:ascii="Calibri" w:hAnsi="Calibri" w:hint="cs"/>
          <w:rtl/>
        </w:rPr>
        <w:tab/>
      </w:r>
      <w:r>
        <w:rPr>
          <w:rFonts w:ascii="Calibri" w:hAnsi="Calibri" w:hint="cs"/>
          <w:b/>
          <w:bCs/>
          <w:u w:val="single"/>
          <w:rtl/>
        </w:rPr>
        <w:t>אני מחייבת את הנאשם ב 100 שעות של"צ, על פי התכנית שתוכן ע"י שרות המבחן.</w:t>
      </w:r>
    </w:p>
    <w:p w14:paraId="10C822FF" w14:textId="77777777" w:rsidR="00883A68" w:rsidRDefault="000E4CA6">
      <w:pPr>
        <w:spacing w:line="360" w:lineRule="auto"/>
        <w:jc w:val="both"/>
        <w:rPr>
          <w:sz w:val="6"/>
          <w:szCs w:val="6"/>
          <w:rtl/>
        </w:rPr>
      </w:pPr>
      <w:r>
        <w:rPr>
          <w:sz w:val="6"/>
          <w:szCs w:val="6"/>
          <w:rtl/>
        </w:rPr>
        <w:t>&lt;#3#&gt;</w:t>
      </w:r>
    </w:p>
    <w:p w14:paraId="68F34A41" w14:textId="77777777" w:rsidR="00883A68" w:rsidRDefault="00883A68">
      <w:pPr>
        <w:jc w:val="right"/>
        <w:rPr>
          <w:rtl/>
        </w:rPr>
      </w:pPr>
    </w:p>
    <w:p w14:paraId="5874939A" w14:textId="77777777" w:rsidR="00883A68" w:rsidRDefault="000E4CA6" w:rsidP="00881993">
      <w:pPr>
        <w:jc w:val="center"/>
        <w:rPr>
          <w:rFonts w:hint="cs"/>
          <w:rtl/>
        </w:rPr>
      </w:pPr>
      <w:r w:rsidRPr="000E4CA6">
        <w:rPr>
          <w:b/>
          <w:bCs/>
          <w:color w:val="FFFFFF"/>
          <w:sz w:val="2"/>
          <w:szCs w:val="2"/>
          <w:rtl/>
        </w:rPr>
        <w:t>529371</w:t>
      </w:r>
      <w:r>
        <w:rPr>
          <w:b/>
          <w:bCs/>
          <w:rtl/>
        </w:rPr>
        <w:t xml:space="preserve">ניתן והודע היום ט' שבט תשע"ה, 29/01/2015 במעמד הנוכחים. </w:t>
      </w:r>
    </w:p>
    <w:p w14:paraId="0B4F5BAE" w14:textId="77777777" w:rsidR="00881993" w:rsidRDefault="00881993" w:rsidP="00881993">
      <w:pPr>
        <w:jc w:val="center"/>
        <w:rPr>
          <w:rFonts w:hint="cs"/>
          <w:rtl/>
        </w:rPr>
      </w:pPr>
    </w:p>
    <w:p w14:paraId="7E7CE8CA" w14:textId="77777777" w:rsidR="00881993" w:rsidRDefault="00881993" w:rsidP="00881993">
      <w:pPr>
        <w:jc w:val="center"/>
        <w:rPr>
          <w:rFonts w:hint="cs"/>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83A68" w14:paraId="060EBE42" w14:textId="77777777">
        <w:trPr>
          <w:trHeight w:val="361"/>
          <w:jc w:val="right"/>
        </w:trPr>
        <w:tc>
          <w:tcPr>
            <w:tcW w:w="3936" w:type="dxa"/>
          </w:tcPr>
          <w:p w14:paraId="18FB91A2" w14:textId="77777777" w:rsidR="00883A68" w:rsidRDefault="000E4CA6">
            <w:pPr>
              <w:jc w:val="center"/>
              <w:rPr>
                <w:rFonts w:ascii="Times New Roman" w:eastAsia="Times New Roman" w:hAnsi="Times New Roman"/>
                <w:b/>
                <w:bCs/>
                <w:rtl/>
              </w:rPr>
            </w:pPr>
            <w:r>
              <w:rPr>
                <w:rFonts w:ascii="Times New Roman" w:eastAsia="Times New Roman" w:hAnsi="Times New Roman" w:hint="cs"/>
                <w:b/>
                <w:bCs/>
                <w:rtl/>
              </w:rPr>
              <w:t>רות שפילברג 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7EA5AB9C" w14:textId="77777777" w:rsidR="00883A68" w:rsidRDefault="00883A68">
      <w:pPr>
        <w:jc w:val="right"/>
        <w:rPr>
          <w:rtl/>
        </w:rPr>
      </w:pPr>
      <w:bookmarkStart w:id="10" w:name="_GoBack"/>
      <w:bookmarkEnd w:id="10"/>
    </w:p>
    <w:p w14:paraId="34B5845F" w14:textId="77777777" w:rsidR="00883A68" w:rsidRDefault="00883A68">
      <w:pPr>
        <w:jc w:val="both"/>
        <w:rPr>
          <w:rtl/>
        </w:rPr>
      </w:pPr>
    </w:p>
    <w:p w14:paraId="32A3FE5D" w14:textId="77777777" w:rsidR="00883A68" w:rsidRDefault="00883A68">
      <w:pPr>
        <w:spacing w:line="360" w:lineRule="auto"/>
        <w:jc w:val="both"/>
        <w:rPr>
          <w:rtl/>
        </w:rPr>
      </w:pPr>
    </w:p>
    <w:p w14:paraId="5862050F" w14:textId="77777777" w:rsidR="00883A68" w:rsidRDefault="000E4CA6">
      <w:r>
        <w:rPr>
          <w:rtl/>
        </w:rPr>
        <w:t>הוקלד</w:t>
      </w:r>
      <w:r>
        <w:t xml:space="preserve"> </w:t>
      </w:r>
      <w:r>
        <w:rPr>
          <w:rtl/>
        </w:rPr>
        <w:t>על</w:t>
      </w:r>
      <w:r>
        <w:t xml:space="preserve"> </w:t>
      </w:r>
      <w:r>
        <w:rPr>
          <w:rtl/>
        </w:rPr>
        <w:t>ידי</w:t>
      </w:r>
      <w:r>
        <w:t xml:space="preserve"> </w:t>
      </w:r>
      <w:r>
        <w:rPr>
          <w:rtl/>
        </w:rPr>
        <w:t>איה</w:t>
      </w:r>
      <w:r>
        <w:t xml:space="preserve"> </w:t>
      </w:r>
      <w:r>
        <w:rPr>
          <w:rtl/>
        </w:rPr>
        <w:t>שטורק</w:t>
      </w:r>
    </w:p>
    <w:p w14:paraId="4368F108" w14:textId="77777777" w:rsidR="000E4CA6" w:rsidRPr="000E4CA6" w:rsidRDefault="000E4CA6" w:rsidP="000E4CA6">
      <w:pPr>
        <w:keepNext/>
        <w:rPr>
          <w:color w:val="000000"/>
          <w:sz w:val="22"/>
          <w:szCs w:val="22"/>
          <w:rtl/>
        </w:rPr>
      </w:pPr>
    </w:p>
    <w:p w14:paraId="2BF39EEB" w14:textId="77777777" w:rsidR="000E4CA6" w:rsidRPr="000E4CA6" w:rsidRDefault="000E4CA6" w:rsidP="000E4CA6">
      <w:pPr>
        <w:keepNext/>
        <w:rPr>
          <w:color w:val="000000"/>
          <w:sz w:val="22"/>
          <w:szCs w:val="22"/>
          <w:rtl/>
        </w:rPr>
      </w:pPr>
      <w:r w:rsidRPr="000E4CA6">
        <w:rPr>
          <w:color w:val="000000"/>
          <w:sz w:val="22"/>
          <w:szCs w:val="22"/>
          <w:rtl/>
        </w:rPr>
        <w:t>רות שפילברג כהן 54678313</w:t>
      </w:r>
    </w:p>
    <w:p w14:paraId="3C245D23" w14:textId="77777777" w:rsidR="000E4CA6" w:rsidRDefault="000E4CA6" w:rsidP="000E4CA6">
      <w:r w:rsidRPr="000E4CA6">
        <w:rPr>
          <w:color w:val="000000"/>
          <w:rtl/>
        </w:rPr>
        <w:t>נוסח מסמך זה כפוף לשינויי ניסוח ועריכה</w:t>
      </w:r>
    </w:p>
    <w:p w14:paraId="5A15D14B" w14:textId="77777777" w:rsidR="000E4CA6" w:rsidRDefault="000E4CA6" w:rsidP="000E4CA6">
      <w:pPr>
        <w:rPr>
          <w:rtl/>
        </w:rPr>
      </w:pPr>
    </w:p>
    <w:p w14:paraId="120B1253" w14:textId="77777777" w:rsidR="000E4CA6" w:rsidRDefault="000E4CA6" w:rsidP="000E4CA6">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DCAB917" w14:textId="77777777" w:rsidR="00883A68" w:rsidRPr="000E4CA6" w:rsidRDefault="00883A68" w:rsidP="000E4CA6">
      <w:pPr>
        <w:jc w:val="center"/>
        <w:rPr>
          <w:color w:val="0000FF"/>
          <w:u w:val="single"/>
        </w:rPr>
      </w:pPr>
    </w:p>
    <w:sectPr w:rsidR="00883A68" w:rsidRPr="000E4CA6" w:rsidSect="000E4CA6">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54502" w14:textId="77777777" w:rsidR="00692A6D" w:rsidRPr="00BD6A4D" w:rsidRDefault="00692A6D">
      <w:pPr>
        <w:rPr>
          <w:rFonts w:cs="Arial"/>
          <w:szCs w:val="20"/>
        </w:rPr>
      </w:pPr>
      <w:r>
        <w:separator/>
      </w:r>
    </w:p>
  </w:endnote>
  <w:endnote w:type="continuationSeparator" w:id="0">
    <w:p w14:paraId="594CAB8F" w14:textId="77777777" w:rsidR="00692A6D" w:rsidRPr="00BD6A4D" w:rsidRDefault="00692A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E58D5" w14:textId="77777777" w:rsidR="000E4CA6" w:rsidRDefault="000E4CA6" w:rsidP="000E4C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4542B739" w14:textId="77777777" w:rsidR="00883A68" w:rsidRPr="000E4CA6" w:rsidRDefault="000E4CA6" w:rsidP="000E4CA6">
    <w:pPr>
      <w:pStyle w:val="a4"/>
      <w:pBdr>
        <w:top w:val="single" w:sz="4" w:space="1" w:color="auto"/>
        <w:between w:val="single" w:sz="4" w:space="0" w:color="auto"/>
      </w:pBdr>
      <w:spacing w:after="60"/>
      <w:jc w:val="center"/>
      <w:rPr>
        <w:rFonts w:ascii="FrankRuehl" w:hAnsi="FrankRuehl" w:cs="FrankRuehl"/>
        <w:color w:val="000000"/>
      </w:rPr>
    </w:pPr>
    <w:r w:rsidRPr="000E4C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45E97" w14:textId="77777777" w:rsidR="000E4CA6" w:rsidRDefault="000E4CA6" w:rsidP="000E4C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7A8E">
      <w:rPr>
        <w:rFonts w:ascii="FrankRuehl" w:hAnsi="FrankRuehl" w:cs="FrankRuehl"/>
        <w:noProof/>
        <w:rtl/>
      </w:rPr>
      <w:t>1</w:t>
    </w:r>
    <w:r>
      <w:rPr>
        <w:rFonts w:ascii="FrankRuehl" w:hAnsi="FrankRuehl" w:cs="FrankRuehl"/>
        <w:rtl/>
      </w:rPr>
      <w:fldChar w:fldCharType="end"/>
    </w:r>
  </w:p>
  <w:p w14:paraId="619D9D79" w14:textId="77777777" w:rsidR="00883A68" w:rsidRPr="000E4CA6" w:rsidRDefault="000E4CA6" w:rsidP="000E4CA6">
    <w:pPr>
      <w:pStyle w:val="a4"/>
      <w:pBdr>
        <w:top w:val="single" w:sz="4" w:space="1" w:color="auto"/>
        <w:between w:val="single" w:sz="4" w:space="0" w:color="auto"/>
      </w:pBdr>
      <w:spacing w:after="60"/>
      <w:jc w:val="center"/>
      <w:rPr>
        <w:rFonts w:ascii="FrankRuehl" w:hAnsi="FrankRuehl" w:cs="FrankRuehl"/>
        <w:color w:val="000000"/>
      </w:rPr>
    </w:pPr>
    <w:r w:rsidRPr="000E4CA6">
      <w:rPr>
        <w:rFonts w:ascii="FrankRuehl" w:hAnsi="FrankRuehl" w:cs="FrankRuehl"/>
        <w:color w:val="000000"/>
      </w:rPr>
      <w:pict w14:anchorId="20B0F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B068F" w14:textId="77777777" w:rsidR="00692A6D" w:rsidRPr="00BD6A4D" w:rsidRDefault="00692A6D">
      <w:pPr>
        <w:rPr>
          <w:rFonts w:cs="Arial"/>
          <w:szCs w:val="20"/>
        </w:rPr>
      </w:pPr>
      <w:r>
        <w:separator/>
      </w:r>
    </w:p>
  </w:footnote>
  <w:footnote w:type="continuationSeparator" w:id="0">
    <w:p w14:paraId="416E4D56" w14:textId="77777777" w:rsidR="00692A6D" w:rsidRPr="00BD6A4D" w:rsidRDefault="00692A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BE0A8" w14:textId="77777777" w:rsidR="000E4CA6" w:rsidRPr="000E4CA6" w:rsidRDefault="000E4CA6" w:rsidP="000E4CA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38875-11-13</w:t>
    </w:r>
    <w:r>
      <w:rPr>
        <w:color w:val="000000"/>
        <w:sz w:val="22"/>
        <w:szCs w:val="22"/>
        <w:rtl/>
      </w:rPr>
      <w:tab/>
      <w:t xml:space="preserve"> תביעות צפת נ' יואב רפאל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B470" w14:textId="77777777" w:rsidR="000E4CA6" w:rsidRPr="000E4CA6" w:rsidRDefault="000E4CA6" w:rsidP="000E4CA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38875-11-13</w:t>
    </w:r>
    <w:r>
      <w:rPr>
        <w:color w:val="000000"/>
        <w:sz w:val="22"/>
        <w:szCs w:val="22"/>
        <w:rtl/>
      </w:rPr>
      <w:tab/>
      <w:t xml:space="preserve"> תביעות צפת נ' יואב רפאל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3A68"/>
    <w:rsid w:val="00043908"/>
    <w:rsid w:val="00057A8E"/>
    <w:rsid w:val="000E4CA6"/>
    <w:rsid w:val="00522FFF"/>
    <w:rsid w:val="0056561D"/>
    <w:rsid w:val="00692A6D"/>
    <w:rsid w:val="007D7B09"/>
    <w:rsid w:val="00881993"/>
    <w:rsid w:val="00883A68"/>
    <w:rsid w:val="00C700D3"/>
    <w:rsid w:val="00D970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CA8089A"/>
  <w15:chartTrackingRefBased/>
  <w15:docId w15:val="{988EF388-1ECD-4FB7-9307-94FB65C6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A6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83A68"/>
    <w:pPr>
      <w:tabs>
        <w:tab w:val="center" w:pos="4153"/>
        <w:tab w:val="right" w:pos="8306"/>
      </w:tabs>
    </w:pPr>
  </w:style>
  <w:style w:type="paragraph" w:styleId="a4">
    <w:name w:val="footer"/>
    <w:basedOn w:val="a"/>
    <w:rsid w:val="00883A68"/>
    <w:pPr>
      <w:tabs>
        <w:tab w:val="center" w:pos="4153"/>
        <w:tab w:val="right" w:pos="8306"/>
      </w:tabs>
    </w:pPr>
  </w:style>
  <w:style w:type="character" w:styleId="a5">
    <w:name w:val="page number"/>
    <w:basedOn w:val="a0"/>
    <w:rsid w:val="00883A68"/>
  </w:style>
  <w:style w:type="character" w:customStyle="1" w:styleId="TimesNewRomanTimesNewRoman">
    <w:name w:val="סגנון (לטיני) Times New Roman (עברית ושפות אחרות) Times New Roman..."/>
    <w:basedOn w:val="a0"/>
    <w:rsid w:val="00883A6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83A6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83A68"/>
    <w:pPr>
      <w:spacing w:line="360" w:lineRule="auto"/>
      <w:jc w:val="both"/>
    </w:pPr>
    <w:rPr>
      <w:rFonts w:ascii="Times New Roman" w:eastAsia="Times New Roman" w:hAnsi="Times New Roman"/>
    </w:rPr>
  </w:style>
  <w:style w:type="character" w:styleId="a6">
    <w:name w:val="line number"/>
    <w:basedOn w:val="a0"/>
    <w:rsid w:val="00883A68"/>
  </w:style>
  <w:style w:type="character" w:styleId="Hyperlink">
    <w:name w:val="Hyperlink"/>
    <w:basedOn w:val="a0"/>
    <w:rsid w:val="000E4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6051623" TargetMode="External"/><Relationship Id="rId18" Type="http://schemas.openxmlformats.org/officeDocument/2006/relationships/hyperlink" Target="http://www.nevo.co.il/case/5810781"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7.a" TargetMode="External"/><Relationship Id="rId12" Type="http://schemas.openxmlformats.org/officeDocument/2006/relationships/hyperlink" Target="http://www.nevo.co.il/case/5988308" TargetMode="External"/><Relationship Id="rId17" Type="http://schemas.openxmlformats.org/officeDocument/2006/relationships/hyperlink" Target="http://www.nevo.co.il/case/609083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540654"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374766" TargetMode="External"/><Relationship Id="rId23"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case/2571152"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2028</Words>
  <Characters>10145</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12149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3407991</vt:i4>
      </vt:variant>
      <vt:variant>
        <vt:i4>33</vt:i4>
      </vt:variant>
      <vt:variant>
        <vt:i4>0</vt:i4>
      </vt:variant>
      <vt:variant>
        <vt:i4>5</vt:i4>
      </vt:variant>
      <vt:variant>
        <vt:lpwstr>http://www.nevo.co.il/case/6090833</vt:lpwstr>
      </vt:variant>
      <vt:variant>
        <vt:lpwstr/>
      </vt:variant>
      <vt:variant>
        <vt:i4>3407988</vt:i4>
      </vt:variant>
      <vt:variant>
        <vt:i4>30</vt:i4>
      </vt:variant>
      <vt:variant>
        <vt:i4>0</vt:i4>
      </vt:variant>
      <vt:variant>
        <vt:i4>5</vt:i4>
      </vt:variant>
      <vt:variant>
        <vt:lpwstr>http://www.nevo.co.il/case/2540654</vt:lpwstr>
      </vt:variant>
      <vt:variant>
        <vt:lpwstr/>
      </vt:variant>
      <vt:variant>
        <vt:i4>3407989</vt:i4>
      </vt:variant>
      <vt:variant>
        <vt:i4>27</vt:i4>
      </vt:variant>
      <vt:variant>
        <vt:i4>0</vt:i4>
      </vt:variant>
      <vt:variant>
        <vt:i4>5</vt:i4>
      </vt:variant>
      <vt:variant>
        <vt:lpwstr>http://www.nevo.co.il/case/2374766</vt:lpwstr>
      </vt:variant>
      <vt:variant>
        <vt:lpwstr/>
      </vt:variant>
      <vt:variant>
        <vt:i4>3539061</vt:i4>
      </vt:variant>
      <vt:variant>
        <vt:i4>24</vt:i4>
      </vt:variant>
      <vt:variant>
        <vt:i4>0</vt:i4>
      </vt:variant>
      <vt:variant>
        <vt:i4>5</vt:i4>
      </vt:variant>
      <vt:variant>
        <vt:lpwstr>http://www.nevo.co.il/case/2571152</vt:lpwstr>
      </vt:variant>
      <vt:variant>
        <vt:lpwstr/>
      </vt:variant>
      <vt:variant>
        <vt:i4>3539063</vt:i4>
      </vt:variant>
      <vt:variant>
        <vt:i4>21</vt:i4>
      </vt:variant>
      <vt:variant>
        <vt:i4>0</vt:i4>
      </vt:variant>
      <vt:variant>
        <vt:i4>5</vt:i4>
      </vt:variant>
      <vt:variant>
        <vt:lpwstr>http://www.nevo.co.il/case/6051623</vt:lpwstr>
      </vt:variant>
      <vt:variant>
        <vt:lpwstr/>
      </vt:variant>
      <vt:variant>
        <vt:i4>3539061</vt:i4>
      </vt:variant>
      <vt:variant>
        <vt:i4>18</vt:i4>
      </vt:variant>
      <vt:variant>
        <vt:i4>0</vt:i4>
      </vt:variant>
      <vt:variant>
        <vt:i4>5</vt:i4>
      </vt:variant>
      <vt:variant>
        <vt:lpwstr>http://www.nevo.co.il/case/5988308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38875</vt:lpwstr>
  </property>
  <property fmtid="{D5CDD505-2E9C-101B-9397-08002B2CF9AE}" pid="6" name="NEWPARTB">
    <vt:lpwstr>11</vt:lpwstr>
  </property>
  <property fmtid="{D5CDD505-2E9C-101B-9397-08002B2CF9AE}" pid="7" name="NEWPARTC">
    <vt:lpwstr>13</vt:lpwstr>
  </property>
  <property fmtid="{D5CDD505-2E9C-101B-9397-08002B2CF9AE}" pid="8" name="APPELLANT">
    <vt:lpwstr>תביעות צפת</vt:lpwstr>
  </property>
  <property fmtid="{D5CDD505-2E9C-101B-9397-08002B2CF9AE}" pid="9" name="APPELLEE">
    <vt:lpwstr>יואב רפאל לוי</vt:lpwstr>
  </property>
  <property fmtid="{D5CDD505-2E9C-101B-9397-08002B2CF9AE}" pid="10" name="LAWYER">
    <vt:lpwstr>מאור מזרחי;רולא ברכאת</vt:lpwstr>
  </property>
  <property fmtid="{D5CDD505-2E9C-101B-9397-08002B2CF9AE}" pid="11" name="JUDGE">
    <vt:lpwstr>רות שפילברג כהן</vt:lpwstr>
  </property>
  <property fmtid="{D5CDD505-2E9C-101B-9397-08002B2CF9AE}" pid="12" name="CITY">
    <vt:lpwstr>ק"ש</vt:lpwstr>
  </property>
  <property fmtid="{D5CDD505-2E9C-101B-9397-08002B2CF9AE}" pid="13" name="DATE">
    <vt:lpwstr>20150129</vt:lpwstr>
  </property>
  <property fmtid="{D5CDD505-2E9C-101B-9397-08002B2CF9AE}" pid="14" name="TYPE_N_DATE">
    <vt:lpwstr>38020150129</vt:lpwstr>
  </property>
  <property fmtid="{D5CDD505-2E9C-101B-9397-08002B2CF9AE}" pid="15" name="WORDNUMPAGES">
    <vt:lpwstr>7</vt:lpwstr>
  </property>
  <property fmtid="{D5CDD505-2E9C-101B-9397-08002B2CF9AE}" pid="16" name="TYPE_ABS_DATE">
    <vt:lpwstr>380120150129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יעל</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11695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הימנעות מהרשעה</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20150318</vt:lpwstr>
  </property>
  <property fmtid="{D5CDD505-2E9C-101B-9397-08002B2CF9AE}" pid="70" name="CASESLISTTMP1">
    <vt:lpwstr>5988308;6051623;2571152;2374766;2540654;6090833;5810781</vt:lpwstr>
  </property>
  <property fmtid="{D5CDD505-2E9C-101B-9397-08002B2CF9AE}" pid="71" name="LAWLISTTMP1">
    <vt:lpwstr>4216/007.a;007.c</vt:lpwstr>
  </property>
</Properties>
</file>