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611C24" w:rsidRPr="002A0FA1" w14:paraId="15704E02" w14:textId="77777777" w:rsidTr="002A0FA1">
        <w:trPr>
          <w:trHeight w:hRule="exact" w:val="418"/>
          <w:jc w:val="center"/>
        </w:trPr>
        <w:tc>
          <w:tcPr>
            <w:tcW w:w="8720" w:type="dxa"/>
            <w:gridSpan w:val="3"/>
          </w:tcPr>
          <w:p w14:paraId="07710242" w14:textId="77777777" w:rsidR="00611C24" w:rsidRPr="002A0FA1" w:rsidRDefault="00611C24" w:rsidP="002A0FA1">
            <w:pPr>
              <w:pStyle w:val="a4"/>
              <w:tabs>
                <w:tab w:val="clear" w:pos="8306"/>
              </w:tabs>
              <w:jc w:val="center"/>
              <w:rPr>
                <w:rFonts w:ascii="Tahoma" w:hAnsi="Tahoma" w:cs="Tahoma"/>
                <w:b/>
                <w:bCs/>
                <w:color w:val="000080"/>
                <w:sz w:val="20"/>
                <w:szCs w:val="20"/>
                <w:rtl/>
              </w:rPr>
            </w:pPr>
            <w:bookmarkStart w:id="0" w:name="LastJudge"/>
            <w:r w:rsidRPr="002A0FA1">
              <w:rPr>
                <w:rFonts w:ascii="Tahoma" w:hAnsi="Tahoma" w:cs="Tahoma"/>
                <w:b/>
                <w:bCs/>
                <w:color w:val="000080"/>
                <w:sz w:val="20"/>
                <w:szCs w:val="20"/>
                <w:rtl/>
              </w:rPr>
              <w:t>בית משפט השלום בנתניה</w:t>
            </w:r>
          </w:p>
        </w:tc>
      </w:tr>
      <w:tr w:rsidR="00611C24" w:rsidRPr="002A0FA1" w14:paraId="00A087C7" w14:textId="77777777" w:rsidTr="002A0FA1">
        <w:trPr>
          <w:trHeight w:val="337"/>
          <w:jc w:val="center"/>
        </w:trPr>
        <w:tc>
          <w:tcPr>
            <w:tcW w:w="6396" w:type="dxa"/>
          </w:tcPr>
          <w:p w14:paraId="106D66C4" w14:textId="77777777" w:rsidR="00611C24" w:rsidRPr="002A0FA1" w:rsidRDefault="00611C24" w:rsidP="002A0FA1">
            <w:pPr>
              <w:rPr>
                <w:b/>
                <w:bCs/>
                <w:sz w:val="26"/>
                <w:szCs w:val="26"/>
                <w:rtl/>
              </w:rPr>
            </w:pPr>
            <w:r w:rsidRPr="002A0FA1">
              <w:rPr>
                <w:b/>
                <w:bCs/>
                <w:sz w:val="26"/>
                <w:szCs w:val="26"/>
                <w:rtl/>
              </w:rPr>
              <w:t>ת"פ</w:t>
            </w:r>
            <w:r w:rsidRPr="002A0FA1">
              <w:rPr>
                <w:rFonts w:hint="cs"/>
                <w:b/>
                <w:bCs/>
                <w:sz w:val="26"/>
                <w:szCs w:val="26"/>
                <w:rtl/>
              </w:rPr>
              <w:t xml:space="preserve"> </w:t>
            </w:r>
            <w:r w:rsidRPr="002A0FA1">
              <w:rPr>
                <w:b/>
                <w:bCs/>
                <w:sz w:val="26"/>
                <w:szCs w:val="26"/>
                <w:rtl/>
              </w:rPr>
              <w:t>32523-12-13</w:t>
            </w:r>
            <w:r w:rsidRPr="002A0FA1">
              <w:rPr>
                <w:rFonts w:hint="cs"/>
                <w:b/>
                <w:bCs/>
                <w:sz w:val="26"/>
                <w:szCs w:val="26"/>
                <w:rtl/>
              </w:rPr>
              <w:t xml:space="preserve"> </w:t>
            </w:r>
            <w:r w:rsidRPr="002A0FA1">
              <w:rPr>
                <w:b/>
                <w:bCs/>
                <w:sz w:val="26"/>
                <w:szCs w:val="26"/>
                <w:rtl/>
              </w:rPr>
              <w:t>מדינת ישראל נ' ג'נאח</w:t>
            </w:r>
            <w:r w:rsidRPr="002A0FA1">
              <w:rPr>
                <w:b/>
                <w:bCs/>
                <w:sz w:val="26"/>
                <w:szCs w:val="26"/>
                <w:rtl/>
              </w:rPr>
              <w:br/>
            </w:r>
            <w:r w:rsidRPr="002A0FA1">
              <w:rPr>
                <w:rFonts w:hint="cs"/>
                <w:rtl/>
              </w:rPr>
              <w:t>ת"פ 40790-04-14</w:t>
            </w:r>
          </w:p>
          <w:p w14:paraId="500C1DFB" w14:textId="77777777" w:rsidR="00611C24" w:rsidRPr="002A0FA1" w:rsidRDefault="00611C24" w:rsidP="002A0FA1">
            <w:pPr>
              <w:rPr>
                <w:b/>
                <w:bCs/>
                <w:sz w:val="26"/>
                <w:szCs w:val="26"/>
                <w:rtl/>
              </w:rPr>
            </w:pPr>
          </w:p>
        </w:tc>
        <w:tc>
          <w:tcPr>
            <w:tcW w:w="236" w:type="dxa"/>
          </w:tcPr>
          <w:p w14:paraId="7BE70989" w14:textId="77777777" w:rsidR="00611C24" w:rsidRPr="002A0FA1" w:rsidRDefault="00611C24" w:rsidP="002A0FA1">
            <w:pPr>
              <w:pStyle w:val="a4"/>
              <w:jc w:val="right"/>
              <w:rPr>
                <w:b/>
                <w:bCs/>
                <w:sz w:val="26"/>
                <w:szCs w:val="26"/>
                <w:rtl/>
              </w:rPr>
            </w:pPr>
          </w:p>
        </w:tc>
        <w:tc>
          <w:tcPr>
            <w:tcW w:w="2088" w:type="dxa"/>
          </w:tcPr>
          <w:p w14:paraId="6965C76D" w14:textId="77777777" w:rsidR="00611C24" w:rsidRPr="002A0FA1" w:rsidRDefault="00611C24" w:rsidP="002A0FA1">
            <w:pPr>
              <w:pStyle w:val="a4"/>
              <w:tabs>
                <w:tab w:val="clear" w:pos="4153"/>
              </w:tabs>
              <w:jc w:val="right"/>
              <w:rPr>
                <w:b/>
                <w:bCs/>
                <w:sz w:val="26"/>
                <w:szCs w:val="26"/>
                <w:rtl/>
              </w:rPr>
            </w:pPr>
            <w:r w:rsidRPr="002A0FA1">
              <w:rPr>
                <w:b/>
                <w:bCs/>
                <w:sz w:val="26"/>
                <w:szCs w:val="26"/>
                <w:rtl/>
              </w:rPr>
              <w:t>15 מרץ 2017</w:t>
            </w:r>
          </w:p>
        </w:tc>
      </w:tr>
    </w:tbl>
    <w:p w14:paraId="29859557" w14:textId="77777777" w:rsidR="00611C24" w:rsidRPr="002A0FA1" w:rsidRDefault="00611C24" w:rsidP="00611C24">
      <w:pPr>
        <w:pStyle w:val="a4"/>
        <w:jc w:val="center"/>
        <w:rPr>
          <w:rFonts w:ascii="Tahoma" w:hAnsi="Tahoma" w:cs="Tahoma"/>
          <w:b/>
          <w:bCs/>
          <w:color w:val="000080"/>
          <w:sz w:val="20"/>
          <w:szCs w:val="20"/>
          <w:rtl/>
        </w:rPr>
      </w:pPr>
    </w:p>
    <w:p w14:paraId="04BEFF5B" w14:textId="77777777" w:rsidR="00611C24" w:rsidRPr="002A0FA1" w:rsidRDefault="00611C24" w:rsidP="00611C24">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611C24" w:rsidRPr="002A0FA1" w14:paraId="582A4FF7" w14:textId="77777777" w:rsidTr="002A0FA1">
        <w:trPr>
          <w:gridAfter w:val="1"/>
          <w:wAfter w:w="56" w:type="dxa"/>
        </w:trPr>
        <w:tc>
          <w:tcPr>
            <w:tcW w:w="8718" w:type="dxa"/>
            <w:gridSpan w:val="2"/>
            <w:shd w:val="clear" w:color="auto" w:fill="auto"/>
          </w:tcPr>
          <w:p w14:paraId="2E56EF62" w14:textId="77777777" w:rsidR="00611C24" w:rsidRPr="002A0FA1" w:rsidRDefault="00611C24" w:rsidP="002A0FA1">
            <w:pPr>
              <w:rPr>
                <w:rFonts w:ascii="Times New Roman" w:eastAsia="Times New Roman" w:hAnsi="Times New Roman"/>
                <w:b/>
                <w:bCs/>
                <w:sz w:val="26"/>
                <w:szCs w:val="26"/>
                <w:rtl/>
              </w:rPr>
            </w:pPr>
            <w:r w:rsidRPr="002A0FA1">
              <w:rPr>
                <w:rFonts w:ascii="Times New Roman" w:eastAsia="Times New Roman" w:hAnsi="Times New Roman" w:hint="cs"/>
                <w:b/>
                <w:bCs/>
                <w:sz w:val="26"/>
                <w:szCs w:val="26"/>
                <w:rtl/>
              </w:rPr>
              <w:t>לפני כבוד ה</w:t>
            </w:r>
            <w:r w:rsidRPr="002A0FA1">
              <w:rPr>
                <w:rFonts w:ascii="Times New Roman" w:eastAsia="Times New Roman" w:hAnsi="Times New Roman" w:hint="cs"/>
                <w:rtl/>
              </w:rPr>
              <w:t>שופט עמית פרייז</w:t>
            </w:r>
            <w:r w:rsidRPr="002A0FA1">
              <w:rPr>
                <w:rStyle w:val="TimesNewRomanTimesNewRoman"/>
                <w:rFonts w:eastAsia="Times New Roman"/>
                <w:rtl/>
              </w:rPr>
              <w:t xml:space="preserve"> </w:t>
            </w:r>
          </w:p>
        </w:tc>
      </w:tr>
      <w:tr w:rsidR="00611C24" w:rsidRPr="002A0FA1" w14:paraId="357779F4" w14:textId="77777777" w:rsidTr="002A0FA1">
        <w:trPr>
          <w:cantSplit/>
          <w:trHeight w:val="724"/>
        </w:trPr>
        <w:tc>
          <w:tcPr>
            <w:tcW w:w="2880" w:type="dxa"/>
            <w:shd w:val="clear" w:color="auto" w:fill="auto"/>
          </w:tcPr>
          <w:p w14:paraId="6A4A9241" w14:textId="77777777" w:rsidR="00611C24" w:rsidRPr="002A0FA1" w:rsidRDefault="00611C24" w:rsidP="002A0FA1">
            <w:pPr>
              <w:ind w:left="26"/>
              <w:rPr>
                <w:rFonts w:ascii="Times New Roman" w:eastAsia="Times New Roman" w:hAnsi="Times New Roman"/>
                <w:b/>
                <w:bCs/>
                <w:sz w:val="26"/>
                <w:szCs w:val="26"/>
                <w:rtl/>
              </w:rPr>
            </w:pPr>
            <w:bookmarkStart w:id="1" w:name="FirstAppellant"/>
          </w:p>
          <w:p w14:paraId="49D9AFC3" w14:textId="77777777" w:rsidR="00611C24" w:rsidRPr="002A0FA1" w:rsidRDefault="00611C24" w:rsidP="002A0FA1">
            <w:pPr>
              <w:ind w:left="26"/>
              <w:rPr>
                <w:rFonts w:ascii="Times New Roman" w:eastAsia="Times New Roman" w:hAnsi="Times New Roman"/>
                <w:b/>
                <w:bCs/>
                <w:sz w:val="26"/>
                <w:szCs w:val="26"/>
                <w:rtl/>
              </w:rPr>
            </w:pPr>
            <w:r w:rsidRPr="002A0FA1">
              <w:rPr>
                <w:rFonts w:ascii="Times New Roman" w:eastAsia="Times New Roman" w:hAnsi="Times New Roman" w:hint="cs"/>
                <w:b/>
                <w:bCs/>
                <w:sz w:val="26"/>
                <w:szCs w:val="26"/>
                <w:rtl/>
              </w:rPr>
              <w:t>המאשימה</w:t>
            </w:r>
          </w:p>
        </w:tc>
        <w:tc>
          <w:tcPr>
            <w:tcW w:w="5922" w:type="dxa"/>
            <w:gridSpan w:val="2"/>
            <w:shd w:val="clear" w:color="auto" w:fill="auto"/>
          </w:tcPr>
          <w:p w14:paraId="3F38B81D" w14:textId="77777777" w:rsidR="00611C24" w:rsidRPr="002A0FA1" w:rsidRDefault="00611C24" w:rsidP="002A0FA1">
            <w:pPr>
              <w:rPr>
                <w:rFonts w:ascii="Times New Roman" w:eastAsia="Times New Roman" w:hAnsi="Times New Roman" w:cs="Times New Roman"/>
                <w:rtl/>
              </w:rPr>
            </w:pPr>
          </w:p>
          <w:p w14:paraId="7DFBF611" w14:textId="77777777" w:rsidR="00611C24" w:rsidRPr="002A0FA1" w:rsidRDefault="00611C24" w:rsidP="002A0FA1">
            <w:pPr>
              <w:rPr>
                <w:rFonts w:ascii="Times New Roman" w:eastAsia="Times New Roman" w:hAnsi="Times New Roman"/>
                <w:b/>
                <w:bCs/>
                <w:sz w:val="26"/>
                <w:szCs w:val="26"/>
                <w:rtl/>
              </w:rPr>
            </w:pPr>
            <w:r w:rsidRPr="002A0FA1">
              <w:rPr>
                <w:rFonts w:ascii="Times New Roman" w:eastAsia="Times New Roman" w:hAnsi="Times New Roman" w:cs="Times New Roman" w:hint="cs"/>
                <w:rtl/>
              </w:rPr>
              <w:t xml:space="preserve"> </w:t>
            </w:r>
            <w:r w:rsidRPr="002A0FA1">
              <w:rPr>
                <w:rFonts w:ascii="Times New Roman" w:eastAsia="Times New Roman" w:hAnsi="Times New Roman" w:hint="cs"/>
                <w:rtl/>
              </w:rPr>
              <w:t>מדינת ישראל</w:t>
            </w:r>
          </w:p>
          <w:p w14:paraId="461BD998" w14:textId="77777777" w:rsidR="00611C24" w:rsidRPr="002A0FA1" w:rsidRDefault="00611C24" w:rsidP="002A0FA1">
            <w:pPr>
              <w:rPr>
                <w:rFonts w:ascii="Times New Roman" w:eastAsia="Times New Roman" w:hAnsi="Times New Roman"/>
                <w:b/>
                <w:bCs/>
                <w:sz w:val="26"/>
                <w:szCs w:val="26"/>
                <w:rtl/>
              </w:rPr>
            </w:pPr>
          </w:p>
        </w:tc>
      </w:tr>
      <w:bookmarkEnd w:id="1"/>
      <w:tr w:rsidR="00611C24" w:rsidRPr="002A0FA1" w14:paraId="61677921" w14:textId="77777777" w:rsidTr="002A0FA1">
        <w:tc>
          <w:tcPr>
            <w:tcW w:w="8802" w:type="dxa"/>
            <w:gridSpan w:val="3"/>
            <w:shd w:val="clear" w:color="auto" w:fill="auto"/>
            <w:vAlign w:val="center"/>
          </w:tcPr>
          <w:p w14:paraId="438E6865" w14:textId="77777777" w:rsidR="00611C24" w:rsidRPr="002A0FA1" w:rsidRDefault="00611C24" w:rsidP="002A0FA1">
            <w:pPr>
              <w:jc w:val="center"/>
              <w:rPr>
                <w:rFonts w:ascii="Arial" w:eastAsia="Times New Roman" w:hAnsi="Arial"/>
                <w:b/>
                <w:bCs/>
                <w:sz w:val="26"/>
                <w:szCs w:val="26"/>
                <w:rtl/>
              </w:rPr>
            </w:pPr>
          </w:p>
          <w:p w14:paraId="4947D3F7" w14:textId="77777777" w:rsidR="00611C24" w:rsidRPr="002A0FA1" w:rsidRDefault="00611C24" w:rsidP="002A0FA1">
            <w:pPr>
              <w:jc w:val="center"/>
              <w:rPr>
                <w:rFonts w:ascii="Arial" w:eastAsia="Times New Roman" w:hAnsi="Arial"/>
                <w:b/>
                <w:bCs/>
                <w:sz w:val="26"/>
                <w:szCs w:val="26"/>
                <w:rtl/>
              </w:rPr>
            </w:pPr>
            <w:r w:rsidRPr="002A0FA1">
              <w:rPr>
                <w:rFonts w:ascii="Arial" w:eastAsia="Times New Roman" w:hAnsi="Arial"/>
                <w:b/>
                <w:bCs/>
                <w:sz w:val="26"/>
                <w:szCs w:val="26"/>
                <w:rtl/>
              </w:rPr>
              <w:t>נגד</w:t>
            </w:r>
          </w:p>
          <w:p w14:paraId="639B8C6F" w14:textId="77777777" w:rsidR="00611C24" w:rsidRPr="002A0FA1" w:rsidRDefault="00611C24" w:rsidP="002A0FA1">
            <w:pPr>
              <w:rPr>
                <w:rFonts w:ascii="Arial" w:eastAsia="Times New Roman" w:hAnsi="Arial"/>
                <w:b/>
                <w:bCs/>
                <w:sz w:val="26"/>
                <w:szCs w:val="26"/>
              </w:rPr>
            </w:pPr>
          </w:p>
        </w:tc>
      </w:tr>
      <w:tr w:rsidR="00611C24" w:rsidRPr="002A0FA1" w14:paraId="28DE5959" w14:textId="77777777" w:rsidTr="002A0FA1">
        <w:tc>
          <w:tcPr>
            <w:tcW w:w="2880" w:type="dxa"/>
            <w:shd w:val="clear" w:color="auto" w:fill="auto"/>
          </w:tcPr>
          <w:p w14:paraId="599EDC06" w14:textId="77777777" w:rsidR="00611C24" w:rsidRPr="002A0FA1" w:rsidRDefault="00611C24" w:rsidP="002A0FA1">
            <w:pPr>
              <w:ind w:left="26"/>
              <w:rPr>
                <w:rFonts w:ascii="Times New Roman" w:eastAsia="Times New Roman" w:hAnsi="Times New Roman"/>
                <w:b/>
                <w:bCs/>
                <w:sz w:val="26"/>
                <w:szCs w:val="26"/>
                <w:rtl/>
              </w:rPr>
            </w:pPr>
            <w:r w:rsidRPr="002A0FA1">
              <w:rPr>
                <w:rFonts w:ascii="Times New Roman" w:eastAsia="Times New Roman" w:hAnsi="Times New Roman" w:hint="cs"/>
                <w:b/>
                <w:bCs/>
                <w:sz w:val="26"/>
                <w:szCs w:val="26"/>
                <w:rtl/>
              </w:rPr>
              <w:t>הנאשם</w:t>
            </w:r>
          </w:p>
        </w:tc>
        <w:tc>
          <w:tcPr>
            <w:tcW w:w="5922" w:type="dxa"/>
            <w:gridSpan w:val="2"/>
            <w:shd w:val="clear" w:color="auto" w:fill="auto"/>
          </w:tcPr>
          <w:p w14:paraId="3E6BC7BE" w14:textId="77777777" w:rsidR="00611C24" w:rsidRPr="002A0FA1" w:rsidRDefault="00611C24" w:rsidP="002A0FA1">
            <w:pPr>
              <w:rPr>
                <w:rFonts w:ascii="Times New Roman" w:eastAsia="Times New Roman" w:hAnsi="Times New Roman"/>
                <w:b/>
                <w:bCs/>
                <w:sz w:val="26"/>
                <w:szCs w:val="26"/>
                <w:rtl/>
              </w:rPr>
            </w:pPr>
            <w:r w:rsidRPr="002A0FA1">
              <w:rPr>
                <w:rFonts w:ascii="Times New Roman" w:eastAsia="Times New Roman" w:hAnsi="Times New Roman" w:cs="Times New Roman" w:hint="cs"/>
                <w:rtl/>
              </w:rPr>
              <w:t xml:space="preserve"> </w:t>
            </w:r>
            <w:r w:rsidRPr="002A0FA1">
              <w:rPr>
                <w:rFonts w:ascii="Times New Roman" w:eastAsia="Times New Roman" w:hAnsi="Times New Roman" w:hint="cs"/>
                <w:rtl/>
              </w:rPr>
              <w:t>יעקב ג'נאח</w:t>
            </w:r>
            <w:r w:rsidRPr="002A0FA1">
              <w:rPr>
                <w:rFonts w:ascii="Times New Roman" w:eastAsia="Times New Roman" w:hAnsi="Times New Roman" w:cs="Times New Roman" w:hint="cs"/>
                <w:rtl/>
              </w:rPr>
              <w:t xml:space="preserve"> </w:t>
            </w:r>
            <w:r w:rsidRPr="002A0FA1">
              <w:rPr>
                <w:rFonts w:ascii="Times New Roman" w:eastAsia="Times New Roman" w:hAnsi="Times New Roman" w:hint="cs"/>
                <w:b/>
                <w:bCs/>
                <w:sz w:val="26"/>
                <w:szCs w:val="26"/>
                <w:rtl/>
              </w:rPr>
              <w:t>ת.ז.</w:t>
            </w:r>
            <w:r w:rsidRPr="002A0FA1">
              <w:rPr>
                <w:rFonts w:ascii="Times New Roman" w:eastAsia="Times New Roman" w:hAnsi="Times New Roman"/>
                <w:b/>
                <w:bCs/>
                <w:sz w:val="26"/>
                <w:szCs w:val="26"/>
                <w:rtl/>
              </w:rPr>
              <w:t xml:space="preserve"> </w:t>
            </w:r>
            <w:r w:rsidRPr="002A0FA1">
              <w:rPr>
                <w:rFonts w:ascii="Times New Roman" w:eastAsia="Times New Roman" w:hAnsi="Times New Roman" w:hint="cs"/>
                <w:b/>
                <w:bCs/>
                <w:sz w:val="26"/>
                <w:szCs w:val="26"/>
                <w:rtl/>
              </w:rPr>
              <w:t xml:space="preserve"> </w:t>
            </w:r>
            <w:r w:rsidR="002A0FA1">
              <w:rPr>
                <w:rFonts w:ascii="Times New Roman" w:eastAsia="Times New Roman" w:hAnsi="Times New Roman"/>
                <w:b/>
                <w:bCs/>
                <w:sz w:val="26"/>
                <w:szCs w:val="26"/>
              </w:rPr>
              <w:t>xxxxxxxxxx</w:t>
            </w:r>
          </w:p>
          <w:p w14:paraId="47DA9DA3" w14:textId="77777777" w:rsidR="00611C24" w:rsidRPr="002A0FA1" w:rsidRDefault="00611C24" w:rsidP="002A0FA1">
            <w:pPr>
              <w:rPr>
                <w:rFonts w:ascii="Times New Roman" w:eastAsia="Times New Roman" w:hAnsi="Times New Roman"/>
                <w:b/>
                <w:bCs/>
                <w:sz w:val="26"/>
                <w:szCs w:val="26"/>
                <w:rtl/>
              </w:rPr>
            </w:pPr>
          </w:p>
        </w:tc>
      </w:tr>
    </w:tbl>
    <w:p w14:paraId="75166AB8" w14:textId="77777777" w:rsidR="00611C24" w:rsidRPr="002A0FA1" w:rsidRDefault="00611C24" w:rsidP="00611C24">
      <w:pPr>
        <w:spacing w:line="360" w:lineRule="auto"/>
        <w:jc w:val="both"/>
        <w:rPr>
          <w:rtl/>
        </w:rPr>
      </w:pPr>
    </w:p>
    <w:p w14:paraId="7809084E" w14:textId="77777777" w:rsidR="00611C24" w:rsidRPr="002A0FA1" w:rsidRDefault="00611C24" w:rsidP="00611C24">
      <w:pPr>
        <w:spacing w:line="360" w:lineRule="auto"/>
        <w:jc w:val="both"/>
        <w:rPr>
          <w:sz w:val="6"/>
          <w:szCs w:val="6"/>
          <w:rtl/>
        </w:rPr>
      </w:pPr>
      <w:r w:rsidRPr="002A0FA1">
        <w:rPr>
          <w:sz w:val="6"/>
          <w:szCs w:val="6"/>
          <w:rtl/>
        </w:rPr>
        <w:t>&lt;#2#&gt;</w:t>
      </w:r>
    </w:p>
    <w:p w14:paraId="0D909518" w14:textId="77777777" w:rsidR="00611C24" w:rsidRPr="002A0FA1" w:rsidRDefault="00611C24" w:rsidP="00611C24">
      <w:pPr>
        <w:pStyle w:val="12"/>
        <w:rPr>
          <w:u w:val="none"/>
          <w:rtl/>
        </w:rPr>
      </w:pPr>
      <w:r w:rsidRPr="002A0FA1">
        <w:rPr>
          <w:rFonts w:hint="cs"/>
          <w:u w:val="none"/>
          <w:rtl/>
        </w:rPr>
        <w:t>נוכחים:</w:t>
      </w:r>
    </w:p>
    <w:p w14:paraId="7EB47DD3" w14:textId="77777777" w:rsidR="00611C24" w:rsidRPr="002A0FA1" w:rsidRDefault="00611C24" w:rsidP="00611C24">
      <w:pPr>
        <w:pStyle w:val="12"/>
        <w:rPr>
          <w:b w:val="0"/>
          <w:bCs w:val="0"/>
          <w:u w:val="none"/>
        </w:rPr>
      </w:pPr>
      <w:bookmarkStart w:id="2" w:name="FirstLawyer"/>
      <w:r w:rsidRPr="002A0FA1">
        <w:rPr>
          <w:rFonts w:hint="cs"/>
          <w:b w:val="0"/>
          <w:bCs w:val="0"/>
          <w:u w:val="none"/>
          <w:rtl/>
        </w:rPr>
        <w:t>ב"כ</w:t>
      </w:r>
      <w:bookmarkEnd w:id="2"/>
      <w:r w:rsidRPr="002A0FA1">
        <w:rPr>
          <w:rFonts w:hint="cs"/>
          <w:b w:val="0"/>
          <w:bCs w:val="0"/>
          <w:u w:val="none"/>
          <w:rtl/>
        </w:rPr>
        <w:t xml:space="preserve"> המאשימה עו"ד יפעת פינצ'ובר</w:t>
      </w:r>
    </w:p>
    <w:p w14:paraId="6D4C0C20" w14:textId="77777777" w:rsidR="00611C24" w:rsidRPr="002A0FA1" w:rsidRDefault="00611C24" w:rsidP="00611C24">
      <w:pPr>
        <w:pStyle w:val="12"/>
        <w:rPr>
          <w:b w:val="0"/>
          <w:bCs w:val="0"/>
          <w:u w:val="none"/>
          <w:rtl/>
        </w:rPr>
      </w:pPr>
      <w:r w:rsidRPr="002A0FA1">
        <w:rPr>
          <w:rFonts w:hint="cs"/>
          <w:b w:val="0"/>
          <w:bCs w:val="0"/>
          <w:u w:val="none"/>
          <w:rtl/>
        </w:rPr>
        <w:t xml:space="preserve">הנאשם וב"כ עו"ד  שי לוי </w:t>
      </w:r>
      <w:r w:rsidRPr="002A0FA1">
        <w:rPr>
          <w:rFonts w:hint="cs"/>
          <w:b w:val="0"/>
          <w:bCs w:val="0"/>
          <w:u w:val="none"/>
        </w:rPr>
        <w:t xml:space="preserve"> </w:t>
      </w:r>
    </w:p>
    <w:p w14:paraId="197A06DD" w14:textId="77777777" w:rsidR="00981C0B" w:rsidRDefault="00611C24" w:rsidP="00611C24">
      <w:pPr>
        <w:tabs>
          <w:tab w:val="left" w:pos="566"/>
        </w:tabs>
        <w:spacing w:line="360" w:lineRule="auto"/>
        <w:jc w:val="center"/>
        <w:rPr>
          <w:rFonts w:ascii="Arial" w:hAnsi="Arial"/>
          <w:sz w:val="28"/>
          <w:szCs w:val="28"/>
          <w:rtl/>
        </w:rPr>
      </w:pPr>
      <w:r w:rsidRPr="002A0FA1">
        <w:rPr>
          <w:rFonts w:ascii="Arial" w:hAnsi="Arial"/>
          <w:b/>
          <w:color w:val="FF0000"/>
          <w:sz w:val="28"/>
          <w:rtl/>
        </w:rPr>
        <w:t>במסמך זה הושמטו פרוטוקולים</w:t>
      </w:r>
      <w:bookmarkStart w:id="3" w:name="LawTable"/>
      <w:bookmarkEnd w:id="3"/>
    </w:p>
    <w:p w14:paraId="7965FAAA" w14:textId="77777777" w:rsidR="00981C0B" w:rsidRPr="00981C0B" w:rsidRDefault="00981C0B" w:rsidP="00981C0B">
      <w:pPr>
        <w:tabs>
          <w:tab w:val="left" w:pos="566"/>
        </w:tabs>
        <w:spacing w:after="120" w:line="240" w:lineRule="exact"/>
        <w:ind w:left="283" w:hanging="283"/>
        <w:jc w:val="both"/>
        <w:rPr>
          <w:rFonts w:ascii="FrankRuehl" w:hAnsi="FrankRuehl" w:cs="FrankRuehl"/>
          <w:rtl/>
        </w:rPr>
      </w:pPr>
    </w:p>
    <w:p w14:paraId="584E364E" w14:textId="77777777" w:rsidR="00981C0B" w:rsidRPr="00981C0B" w:rsidRDefault="00981C0B" w:rsidP="00981C0B">
      <w:pPr>
        <w:tabs>
          <w:tab w:val="left" w:pos="566"/>
        </w:tabs>
        <w:spacing w:after="120" w:line="240" w:lineRule="exact"/>
        <w:ind w:left="283" w:hanging="283"/>
        <w:jc w:val="both"/>
        <w:rPr>
          <w:rFonts w:ascii="FrankRuehl" w:hAnsi="FrankRuehl" w:cs="FrankRuehl"/>
          <w:rtl/>
        </w:rPr>
      </w:pPr>
      <w:r w:rsidRPr="00981C0B">
        <w:rPr>
          <w:rFonts w:ascii="FrankRuehl" w:hAnsi="FrankRuehl" w:cs="FrankRuehl"/>
          <w:rtl/>
        </w:rPr>
        <w:t xml:space="preserve">חקיקה שאוזכרה: </w:t>
      </w:r>
    </w:p>
    <w:p w14:paraId="4B863390" w14:textId="77777777" w:rsidR="00981C0B" w:rsidRPr="00981C0B" w:rsidRDefault="00981C0B" w:rsidP="00981C0B">
      <w:pPr>
        <w:tabs>
          <w:tab w:val="left" w:pos="566"/>
        </w:tabs>
        <w:spacing w:after="120" w:line="240" w:lineRule="exact"/>
        <w:ind w:left="283" w:hanging="283"/>
        <w:jc w:val="both"/>
        <w:rPr>
          <w:rFonts w:ascii="FrankRuehl" w:hAnsi="FrankRuehl" w:cs="FrankRuehl"/>
          <w:rtl/>
        </w:rPr>
      </w:pPr>
      <w:hyperlink r:id="rId7" w:history="1">
        <w:r w:rsidRPr="00981C0B">
          <w:rPr>
            <w:rFonts w:ascii="FrankRuehl" w:hAnsi="FrankRuehl" w:cs="FrankRuehl"/>
            <w:color w:val="0000FF"/>
            <w:u w:val="single"/>
            <w:rtl/>
          </w:rPr>
          <w:t>פקודת הסמים המסוכנים [נוסח חדש], תשל"ג-1973</w:t>
        </w:r>
      </w:hyperlink>
    </w:p>
    <w:p w14:paraId="7675045C" w14:textId="77777777" w:rsidR="00981C0B" w:rsidRPr="00981C0B" w:rsidRDefault="00981C0B" w:rsidP="00611C24">
      <w:pPr>
        <w:tabs>
          <w:tab w:val="left" w:pos="566"/>
        </w:tabs>
        <w:spacing w:line="360" w:lineRule="auto"/>
        <w:jc w:val="center"/>
        <w:rPr>
          <w:rFonts w:ascii="Arial" w:hAnsi="Arial"/>
          <w:sz w:val="28"/>
          <w:szCs w:val="28"/>
          <w:rtl/>
        </w:rPr>
      </w:pPr>
      <w:bookmarkStart w:id="4" w:name="LawTable_End"/>
      <w:bookmarkEnd w:id="4"/>
    </w:p>
    <w:p w14:paraId="02353097" w14:textId="77777777" w:rsidR="002A0FA1" w:rsidRPr="002A0FA1" w:rsidRDefault="002A0FA1" w:rsidP="002A0FA1">
      <w:pPr>
        <w:tabs>
          <w:tab w:val="left" w:pos="566"/>
        </w:tabs>
        <w:spacing w:line="360" w:lineRule="auto"/>
        <w:jc w:val="center"/>
        <w:rPr>
          <w:rFonts w:ascii="Arial" w:hAnsi="Arial"/>
          <w:b/>
          <w:bCs/>
          <w:sz w:val="28"/>
          <w:szCs w:val="28"/>
          <w:u w:val="single"/>
          <w:rtl/>
        </w:rPr>
      </w:pPr>
      <w:bookmarkStart w:id="5" w:name="PsakDin"/>
      <w:bookmarkEnd w:id="0"/>
      <w:r w:rsidRPr="002A0FA1">
        <w:rPr>
          <w:rFonts w:ascii="Arial" w:hAnsi="Arial"/>
          <w:b/>
          <w:bCs/>
          <w:sz w:val="28"/>
          <w:szCs w:val="28"/>
          <w:u w:val="single"/>
          <w:rtl/>
        </w:rPr>
        <w:t>גזר דין</w:t>
      </w:r>
    </w:p>
    <w:bookmarkEnd w:id="5"/>
    <w:p w14:paraId="4D95CB60" w14:textId="77777777" w:rsidR="00611C24" w:rsidRPr="00E61857" w:rsidRDefault="00611C24" w:rsidP="00611C24">
      <w:pPr>
        <w:tabs>
          <w:tab w:val="left" w:pos="566"/>
        </w:tabs>
        <w:spacing w:line="360" w:lineRule="auto"/>
        <w:jc w:val="both"/>
        <w:rPr>
          <w:rtl/>
        </w:rPr>
      </w:pPr>
    </w:p>
    <w:p w14:paraId="06A7F666" w14:textId="77777777" w:rsidR="00611C24" w:rsidRDefault="00611C24" w:rsidP="00611C24">
      <w:pPr>
        <w:tabs>
          <w:tab w:val="left" w:pos="566"/>
        </w:tabs>
        <w:spacing w:line="360" w:lineRule="auto"/>
        <w:jc w:val="both"/>
        <w:rPr>
          <w:rtl/>
        </w:rPr>
      </w:pPr>
      <w:r w:rsidRPr="00300654">
        <w:rPr>
          <w:rFonts w:hint="cs"/>
          <w:rtl/>
        </w:rPr>
        <w:t>הנאשם הורשע על פי הודאתו, בביצוע עבירות של</w:t>
      </w:r>
      <w:r>
        <w:rPr>
          <w:rFonts w:hint="cs"/>
          <w:rtl/>
        </w:rPr>
        <w:t xml:space="preserve"> החזקת סמים שלא לצריכה עצמית (2אישומים) החזקת סכין, ואספקת סמים מסוכנים וזאת במספר אירועים כפי שיפורט להלן לפי סדר התרחשות הדברים. האירוע הראשון התרחש בחודש אוגוסט 2012 כאשר הנאשם החזיק ברשותו כמות כוללת של סם מסוכן מסוג חשיש במשקל של כ- 30 גרם נטו, האירוע השני התרחש מספר שבועות לפני חודש מאי 2013 כאשר הנאשם סיפק לאחר סם מסוכן מסוג חשיש בכמות שאינה ידועה וללא תמורה. האירוע השלישי התרחש בחודש מאי 2013 כאשר ברשותו של הנאשם מקומות שונים על גופו בביתו ובריכבו נמצאה כמות כוללת של למעלה מ- 250 גרם נטו סם מסוכן מסוג חשיש וכן סכין. </w:t>
      </w:r>
    </w:p>
    <w:p w14:paraId="74A46D56" w14:textId="77777777" w:rsidR="00611C24" w:rsidRDefault="00611C24" w:rsidP="00611C24">
      <w:pPr>
        <w:tabs>
          <w:tab w:val="left" w:pos="566"/>
        </w:tabs>
        <w:spacing w:line="360" w:lineRule="auto"/>
        <w:jc w:val="both"/>
        <w:rPr>
          <w:rtl/>
        </w:rPr>
      </w:pPr>
    </w:p>
    <w:p w14:paraId="6303649E" w14:textId="77777777" w:rsidR="00611C24" w:rsidRDefault="00611C24" w:rsidP="00611C24">
      <w:pPr>
        <w:tabs>
          <w:tab w:val="left" w:pos="566"/>
        </w:tabs>
        <w:spacing w:line="360" w:lineRule="auto"/>
        <w:jc w:val="both"/>
        <w:rPr>
          <w:rtl/>
        </w:rPr>
      </w:pPr>
      <w:r>
        <w:rPr>
          <w:rFonts w:hint="cs"/>
          <w:rtl/>
        </w:rPr>
        <w:t xml:space="preserve">יאמר מיד די בעבירה של אספקת סם לאחר. גם אם נעשית באופן חד פעמי גם אם נעשית ללא תמורה גם אם מדובר בסם קל בכמות לא ידועה, בכדי להצדיק בד"כ מאסר בפועל ולו למספר חודשים על דרך עבודות שירות. אדרבא כאשר הדברים באים במשולב עם עבירות של אחזקת סמים גם אם קלים אך בכמויות גדולות באחד המקרים הרבה מעבר לגבול החזקה של צריכה עצמית. אדרבא כאשר בד בבד מוחזק על ידי הנאשם סכין שגם אם הדבר נעשה על ידו במשך שנים רבות מאוד הרי זמינותו של הסכין ברכב היא היוצרת את הסיכון במקרה של התלקחות יצרים שעלולה להוביל חלילה לשימוש בסכין. </w:t>
      </w:r>
    </w:p>
    <w:p w14:paraId="1437DC4A" w14:textId="77777777" w:rsidR="00611C24" w:rsidRDefault="00611C24" w:rsidP="00611C24">
      <w:pPr>
        <w:tabs>
          <w:tab w:val="left" w:pos="566"/>
        </w:tabs>
        <w:spacing w:line="360" w:lineRule="auto"/>
        <w:jc w:val="both"/>
        <w:rPr>
          <w:rtl/>
        </w:rPr>
      </w:pPr>
    </w:p>
    <w:p w14:paraId="3E0AC306" w14:textId="77777777" w:rsidR="00611C24" w:rsidRDefault="00611C24" w:rsidP="00611C24">
      <w:pPr>
        <w:tabs>
          <w:tab w:val="left" w:pos="566"/>
        </w:tabs>
        <w:spacing w:line="360" w:lineRule="auto"/>
        <w:jc w:val="both"/>
        <w:rPr>
          <w:rtl/>
        </w:rPr>
      </w:pPr>
      <w:r>
        <w:rPr>
          <w:rFonts w:hint="cs"/>
          <w:rtl/>
        </w:rPr>
        <w:t xml:space="preserve">במצב דברים זה וכאשר ישנו חוט מקשר בין כלל האירועים בכך שהעבירות דומות בחלקן, ניתן לקבוע מתחם ענישה אחד שלטעמי הרף התחתון שלו צריך לעמוד על 6 חודשי מאסר בפועל ולו על דרך עבודות שרות כאשר הרף העליון צריך לעמוד על 18 חודשי מאסר בפועל. לצד כל זאת מאסר על תנאי ורכיבים כספיים. </w:t>
      </w:r>
    </w:p>
    <w:p w14:paraId="3DE8833D" w14:textId="77777777" w:rsidR="00611C24" w:rsidRDefault="00611C24" w:rsidP="00611C24">
      <w:pPr>
        <w:tabs>
          <w:tab w:val="left" w:pos="566"/>
        </w:tabs>
        <w:spacing w:line="360" w:lineRule="auto"/>
        <w:jc w:val="both"/>
        <w:rPr>
          <w:rtl/>
        </w:rPr>
      </w:pPr>
    </w:p>
    <w:p w14:paraId="1BFF8EA2" w14:textId="77777777" w:rsidR="00611C24" w:rsidRDefault="00611C24" w:rsidP="00611C24">
      <w:pPr>
        <w:tabs>
          <w:tab w:val="left" w:pos="566"/>
        </w:tabs>
        <w:spacing w:line="360" w:lineRule="auto"/>
        <w:jc w:val="both"/>
        <w:rPr>
          <w:rtl/>
        </w:rPr>
      </w:pPr>
      <w:r>
        <w:rPr>
          <w:rFonts w:hint="cs"/>
          <w:rtl/>
        </w:rPr>
        <w:t xml:space="preserve">הסנגור מצביע על שיקולי שיקום אשר קיימים במקרה זה ואשר לטעמו מחייבים ענישה שלא תכלול רכיב של מאסר בפועל. הדברים נתמכים בתסקיר שרות המבחן אשר ממליץ על של"צ בהיקף נרחב חלף מאסר בפועל. יצויין שהנאשם עשה שימוש נרחב בסמים לפני שנים לא מעטות ובמשך תקופה ארוכה אך בכוחות עצמו הצליח להיגמל מהשימוש בסמים. כמובן שאין כל מקום לעניין זה להידרש לכך שהנאשם לא נגמל באופן מוסדי אלא עובדה היא שבבדיקות שנערכו לו בשרות המבחן נמצא כיום נקי מסמים. כל זאת כאשר עסקינן בעבירות שבוצעו לפני מספר שנים כאשר אין לחובת הנאשם כל הרשעות מאז ולמעשה גם לפני אותה תקופה לא היו לו הרשעות במשך זמן רב וגם בתקופות הישנות שהורשע בעבירות שונות דובר בעבירות זניחות בחומרתן ולא רלבנטיות לאלה שבהן הורשע היום. </w:t>
      </w:r>
    </w:p>
    <w:p w14:paraId="360F9DAA" w14:textId="77777777" w:rsidR="00611C24" w:rsidRDefault="00611C24" w:rsidP="00611C24">
      <w:pPr>
        <w:tabs>
          <w:tab w:val="left" w:pos="566"/>
        </w:tabs>
        <w:spacing w:line="360" w:lineRule="auto"/>
        <w:jc w:val="both"/>
        <w:rPr>
          <w:rtl/>
        </w:rPr>
      </w:pPr>
    </w:p>
    <w:p w14:paraId="1020612C" w14:textId="77777777" w:rsidR="00611C24" w:rsidRDefault="00611C24" w:rsidP="00611C24">
      <w:pPr>
        <w:tabs>
          <w:tab w:val="left" w:pos="566"/>
        </w:tabs>
        <w:spacing w:line="360" w:lineRule="auto"/>
        <w:jc w:val="both"/>
        <w:rPr>
          <w:rtl/>
        </w:rPr>
      </w:pPr>
      <w:r>
        <w:rPr>
          <w:rFonts w:hint="cs"/>
          <w:rtl/>
        </w:rPr>
        <w:t xml:space="preserve">מקבל אני כעקרון את הגישה שיש באמור לעיל בוודאי בצרוף הודאתו של הנאשם המהווה נקודת אחריות בכדי להצדיק מתן משקל של ממש לשיקול השיקומי במקרה זה. מוכן אני לבטא זאת אף באמצעות סטיה לקולא מהמתחם שהותווה לעיל. יחד עם זאת, להגיע אגב כך לתוצאה עונשית שלא כוללת רכיב של מאסר בפועל יהווה לטעמי צעד מרחיק לכת ויחטיא לחלוטין את מטרת ההרתעה לגבי מי שלא מסתפקים בעבירות סמים לצורכיהם עצמם, אלא אף מחטיאים אחרים בעבירות שכאלה. יודגש מאמצי שיקום המועילים של הנאשם מוערכים מאוד על ידי ואולם גם בתקופה שבה היה שקוע בעולם הסמים הרי שהדבר לא חייב את החטאת האחרים ועל כן השיקום לא יכול לבטל לחלוטין את המסר המרתיע המתחייב מעבירת האספקה. </w:t>
      </w:r>
    </w:p>
    <w:p w14:paraId="453C835D" w14:textId="77777777" w:rsidR="00611C24" w:rsidRDefault="00611C24" w:rsidP="00611C24">
      <w:pPr>
        <w:tabs>
          <w:tab w:val="left" w:pos="566"/>
        </w:tabs>
        <w:spacing w:line="360" w:lineRule="auto"/>
        <w:jc w:val="both"/>
        <w:rPr>
          <w:rtl/>
        </w:rPr>
      </w:pPr>
    </w:p>
    <w:p w14:paraId="3D887155" w14:textId="77777777" w:rsidR="00611C24" w:rsidRPr="00300654" w:rsidRDefault="00611C24" w:rsidP="00611C24">
      <w:pPr>
        <w:tabs>
          <w:tab w:val="left" w:pos="566"/>
        </w:tabs>
        <w:spacing w:line="360" w:lineRule="auto"/>
        <w:jc w:val="both"/>
        <w:rPr>
          <w:rtl/>
        </w:rPr>
      </w:pPr>
      <w:r>
        <w:rPr>
          <w:rFonts w:hint="cs"/>
          <w:rtl/>
        </w:rPr>
        <w:t xml:space="preserve">בנסיבות אלה, אני מקבל את עמדתה העקרונית של התביעה לפיה יש מקום לרכיבים של מאסר בפועל על דרך עבודות שרות, מאסר על תנאי וקנס ואולם לפחות ככל הנוגע לרכיבים המוחשיים הרי שאקל עם הנאשם באופן משמעותי לעומת העונש שהיה ראוי לו אילולא השיקום שביצע. סוף דבר אני גוזר על הנאשם את העונשים הבאים: </w:t>
      </w:r>
    </w:p>
    <w:p w14:paraId="3670AEF5" w14:textId="77777777" w:rsidR="00611C24" w:rsidRDefault="00611C24" w:rsidP="00611C24">
      <w:pPr>
        <w:tabs>
          <w:tab w:val="left" w:pos="566"/>
        </w:tabs>
        <w:snapToGrid w:val="0"/>
        <w:spacing w:line="360" w:lineRule="auto"/>
        <w:jc w:val="both"/>
        <w:rPr>
          <w:rtl/>
        </w:rPr>
      </w:pPr>
    </w:p>
    <w:p w14:paraId="1BF4C81F" w14:textId="77777777" w:rsidR="00611C24" w:rsidRPr="00817293" w:rsidRDefault="00611C24" w:rsidP="00611C24">
      <w:pPr>
        <w:numPr>
          <w:ilvl w:val="0"/>
          <w:numId w:val="1"/>
        </w:numPr>
        <w:tabs>
          <w:tab w:val="left" w:pos="566"/>
        </w:tabs>
        <w:snapToGrid w:val="0"/>
        <w:spacing w:line="360" w:lineRule="auto"/>
        <w:ind w:left="658" w:hanging="298"/>
        <w:jc w:val="both"/>
        <w:rPr>
          <w:rtl/>
        </w:rPr>
      </w:pPr>
      <w:r w:rsidRPr="00817293">
        <w:rPr>
          <w:rFonts w:hint="cs"/>
          <w:rtl/>
        </w:rPr>
        <w:t>מאסר בפועל של</w:t>
      </w:r>
      <w:r>
        <w:rPr>
          <w:rFonts w:hint="cs"/>
          <w:rtl/>
        </w:rPr>
        <w:t xml:space="preserve"> </w:t>
      </w:r>
      <w:r w:rsidRPr="00817293">
        <w:rPr>
          <w:rFonts w:hint="cs"/>
          <w:rtl/>
        </w:rPr>
        <w:t>חודשי</w:t>
      </w:r>
      <w:r>
        <w:rPr>
          <w:rFonts w:hint="cs"/>
          <w:rtl/>
        </w:rPr>
        <w:t>י</w:t>
      </w:r>
      <w:r w:rsidRPr="00817293">
        <w:rPr>
          <w:rFonts w:hint="cs"/>
          <w:rtl/>
        </w:rPr>
        <w:t xml:space="preserve">ם אשר ירוצו בדרך של עבודות שירות, החל מיום </w:t>
      </w:r>
      <w:r>
        <w:rPr>
          <w:rFonts w:hint="cs"/>
          <w:rtl/>
        </w:rPr>
        <w:t>23.4.17</w:t>
      </w:r>
      <w:r w:rsidRPr="00817293">
        <w:rPr>
          <w:rFonts w:hint="cs"/>
          <w:rtl/>
        </w:rPr>
        <w:t xml:space="preserve"> . לשם כך, על הנאשם להתייצב במשרדי הממונה על עבודות השירות בשב"ס</w:t>
      </w:r>
      <w:r>
        <w:rPr>
          <w:rFonts w:hint="cs"/>
          <w:rtl/>
        </w:rPr>
        <w:t xml:space="preserve"> מרכז (רמלה)</w:t>
      </w:r>
      <w:r w:rsidRPr="00817293">
        <w:rPr>
          <w:rFonts w:hint="cs"/>
          <w:rtl/>
        </w:rPr>
        <w:t xml:space="preserve">, באותו מועד עד השעה 8:00. </w:t>
      </w:r>
    </w:p>
    <w:p w14:paraId="18ADFBF2" w14:textId="77777777" w:rsidR="00611C24" w:rsidRPr="00300654" w:rsidRDefault="00611C24" w:rsidP="00611C24">
      <w:pPr>
        <w:numPr>
          <w:ilvl w:val="0"/>
          <w:numId w:val="1"/>
        </w:numPr>
        <w:tabs>
          <w:tab w:val="left" w:pos="566"/>
        </w:tabs>
        <w:snapToGrid w:val="0"/>
        <w:spacing w:line="360" w:lineRule="auto"/>
        <w:ind w:left="658" w:hanging="298"/>
        <w:jc w:val="both"/>
        <w:rPr>
          <w:rtl/>
        </w:rPr>
      </w:pPr>
      <w:r w:rsidRPr="00300654">
        <w:rPr>
          <w:rFonts w:hint="cs"/>
          <w:rtl/>
        </w:rPr>
        <w:t xml:space="preserve">מאסר על תנאי של </w:t>
      </w:r>
      <w:r>
        <w:rPr>
          <w:rFonts w:hint="cs"/>
          <w:rtl/>
        </w:rPr>
        <w:t>6</w:t>
      </w:r>
      <w:r w:rsidRPr="00300654">
        <w:rPr>
          <w:rFonts w:hint="cs"/>
          <w:rtl/>
        </w:rPr>
        <w:t xml:space="preserve"> חודשים למשך 3 שנים מהיום, והתנאי הוא שלא יעבור </w:t>
      </w:r>
      <w:r>
        <w:rPr>
          <w:rFonts w:hint="cs"/>
          <w:rtl/>
        </w:rPr>
        <w:t xml:space="preserve">עבירה על </w:t>
      </w:r>
      <w:hyperlink r:id="rId8" w:history="1">
        <w:r w:rsidR="002A0FA1" w:rsidRPr="002A0FA1">
          <w:rPr>
            <w:rStyle w:val="Hyperlink"/>
            <w:rFonts w:hint="eastAsia"/>
            <w:rtl/>
          </w:rPr>
          <w:t>פקודת</w:t>
        </w:r>
        <w:r w:rsidR="002A0FA1" w:rsidRPr="002A0FA1">
          <w:rPr>
            <w:rStyle w:val="Hyperlink"/>
            <w:rtl/>
          </w:rPr>
          <w:t xml:space="preserve"> הסמים המסוכנים</w:t>
        </w:r>
      </w:hyperlink>
      <w:r w:rsidRPr="00300654">
        <w:rPr>
          <w:rFonts w:hint="cs"/>
          <w:rtl/>
        </w:rPr>
        <w:t xml:space="preserve">. </w:t>
      </w:r>
    </w:p>
    <w:p w14:paraId="65A72C9B" w14:textId="77777777" w:rsidR="00611C24" w:rsidRDefault="00611C24" w:rsidP="00611C24">
      <w:pPr>
        <w:numPr>
          <w:ilvl w:val="0"/>
          <w:numId w:val="1"/>
        </w:numPr>
        <w:tabs>
          <w:tab w:val="left" w:pos="566"/>
        </w:tabs>
        <w:snapToGrid w:val="0"/>
        <w:spacing w:line="360" w:lineRule="auto"/>
        <w:ind w:left="658" w:hanging="298"/>
        <w:jc w:val="both"/>
      </w:pPr>
      <w:r w:rsidRPr="00300654">
        <w:rPr>
          <w:rFonts w:hint="cs"/>
          <w:rtl/>
        </w:rPr>
        <w:lastRenderedPageBreak/>
        <w:t xml:space="preserve">קנס בסך </w:t>
      </w:r>
      <w:r>
        <w:rPr>
          <w:rFonts w:hint="cs"/>
          <w:rtl/>
        </w:rPr>
        <w:t>1,000</w:t>
      </w:r>
      <w:r w:rsidRPr="00300654">
        <w:rPr>
          <w:rFonts w:hint="cs"/>
          <w:rtl/>
        </w:rPr>
        <w:t xml:space="preserve">₪, או </w:t>
      </w:r>
      <w:r>
        <w:rPr>
          <w:rFonts w:hint="cs"/>
          <w:rtl/>
        </w:rPr>
        <w:t xml:space="preserve">10 </w:t>
      </w:r>
      <w:r w:rsidRPr="00300654">
        <w:rPr>
          <w:rFonts w:hint="cs"/>
          <w:rtl/>
        </w:rPr>
        <w:t>ימי מאסר תמורתו</w:t>
      </w:r>
      <w:r>
        <w:rPr>
          <w:rFonts w:hint="cs"/>
          <w:rtl/>
        </w:rPr>
        <w:t xml:space="preserve"> אם הקנס לא ישולם</w:t>
      </w:r>
      <w:r w:rsidRPr="00300654">
        <w:rPr>
          <w:rFonts w:hint="cs"/>
          <w:rtl/>
        </w:rPr>
        <w:t>. הקנס ישולם ב-</w:t>
      </w:r>
      <w:r>
        <w:rPr>
          <w:rFonts w:hint="cs"/>
          <w:rtl/>
        </w:rPr>
        <w:t>2</w:t>
      </w:r>
      <w:r w:rsidRPr="00300654">
        <w:rPr>
          <w:rFonts w:hint="cs"/>
          <w:rtl/>
        </w:rPr>
        <w:t xml:space="preserve"> תשלומים חודשיים, שווים ורצופים,</w:t>
      </w:r>
      <w:r>
        <w:rPr>
          <w:rFonts w:hint="cs"/>
          <w:rtl/>
        </w:rPr>
        <w:t xml:space="preserve"> עד לתאריכים 15.4.17, 15.5.17</w:t>
      </w:r>
      <w:r w:rsidRPr="00300654">
        <w:rPr>
          <w:rFonts w:hint="cs"/>
          <w:rtl/>
        </w:rPr>
        <w:t>. לא ישולם תשלום אחד במועדו – תעמוד כל היתרה לפרעון מיידי.</w:t>
      </w:r>
    </w:p>
    <w:p w14:paraId="59673144" w14:textId="77777777" w:rsidR="00611C24" w:rsidRPr="00300654" w:rsidRDefault="00611C24" w:rsidP="00611C24">
      <w:pPr>
        <w:tabs>
          <w:tab w:val="left" w:pos="566"/>
        </w:tabs>
        <w:snapToGrid w:val="0"/>
        <w:spacing w:line="360" w:lineRule="auto"/>
        <w:ind w:left="658"/>
        <w:jc w:val="both"/>
      </w:pPr>
    </w:p>
    <w:p w14:paraId="66D9DA50" w14:textId="77777777" w:rsidR="00611C24" w:rsidRDefault="00611C24" w:rsidP="00611C24">
      <w:pPr>
        <w:tabs>
          <w:tab w:val="left" w:pos="566"/>
        </w:tabs>
        <w:snapToGrid w:val="0"/>
        <w:spacing w:line="360" w:lineRule="auto"/>
        <w:ind w:left="567" w:hanging="567"/>
        <w:jc w:val="both"/>
        <w:rPr>
          <w:rtl/>
        </w:rPr>
      </w:pPr>
      <w:r w:rsidRPr="00300654">
        <w:rPr>
          <w:rFonts w:hint="cs"/>
          <w:rtl/>
        </w:rPr>
        <w:t>ניתן צו להשמדת המוצג</w:t>
      </w:r>
      <w:r>
        <w:rPr>
          <w:rFonts w:hint="cs"/>
          <w:rtl/>
        </w:rPr>
        <w:t xml:space="preserve"> </w:t>
      </w:r>
      <w:r>
        <w:rPr>
          <w:rtl/>
        </w:rPr>
        <w:t>–</w:t>
      </w:r>
      <w:r w:rsidRPr="00300654">
        <w:rPr>
          <w:rFonts w:hint="cs"/>
          <w:rtl/>
        </w:rPr>
        <w:t xml:space="preserve"> </w:t>
      </w:r>
      <w:r>
        <w:rPr>
          <w:rFonts w:hint="cs"/>
          <w:rtl/>
        </w:rPr>
        <w:t xml:space="preserve">הסמים והסכין שנתפסו. </w:t>
      </w:r>
    </w:p>
    <w:p w14:paraId="4E991C62" w14:textId="77777777" w:rsidR="00611C24" w:rsidRDefault="00611C24" w:rsidP="00611C24">
      <w:pPr>
        <w:spacing w:line="360" w:lineRule="auto"/>
        <w:rPr>
          <w:rtl/>
        </w:rPr>
      </w:pPr>
      <w:r>
        <w:rPr>
          <w:rFonts w:hint="cs"/>
          <w:rtl/>
        </w:rPr>
        <w:t xml:space="preserve">יצויין כי הסנגור ביקש להחזיר את הסכין לאור ערכה האסתטי לנאשם לדבריו, אולם מאחר שבוצעה בה עבירה אינני מוצא לנכון לעשות כן. </w:t>
      </w:r>
    </w:p>
    <w:p w14:paraId="62E2B5F7" w14:textId="77777777" w:rsidR="00611C24" w:rsidRDefault="00611C24" w:rsidP="00611C24">
      <w:pPr>
        <w:spacing w:line="360" w:lineRule="auto"/>
        <w:rPr>
          <w:rtl/>
        </w:rPr>
      </w:pPr>
    </w:p>
    <w:p w14:paraId="2E6BA0D2" w14:textId="77777777" w:rsidR="00611C24" w:rsidRDefault="00611C24" w:rsidP="00611C24">
      <w:pPr>
        <w:spacing w:line="360" w:lineRule="auto"/>
        <w:rPr>
          <w:rtl/>
        </w:rPr>
      </w:pPr>
    </w:p>
    <w:p w14:paraId="720554D4" w14:textId="77777777" w:rsidR="00611C24" w:rsidRDefault="00611C24" w:rsidP="00611C24">
      <w:pPr>
        <w:spacing w:line="360" w:lineRule="auto"/>
        <w:rPr>
          <w:rtl/>
        </w:rPr>
      </w:pPr>
    </w:p>
    <w:p w14:paraId="5194403A" w14:textId="77777777" w:rsidR="00611C24" w:rsidRPr="00300654" w:rsidRDefault="00611C24" w:rsidP="00611C24">
      <w:pPr>
        <w:spacing w:line="360" w:lineRule="auto"/>
      </w:pPr>
      <w:r>
        <w:rPr>
          <w:rFonts w:hint="cs"/>
          <w:rtl/>
        </w:rPr>
        <w:t xml:space="preserve">העתק יועבר לממונה על עבודות השרות. </w:t>
      </w:r>
    </w:p>
    <w:p w14:paraId="3F70CA9C" w14:textId="77777777" w:rsidR="00611C24" w:rsidRPr="00300654" w:rsidRDefault="00611C24" w:rsidP="00611C24">
      <w:pPr>
        <w:tabs>
          <w:tab w:val="left" w:pos="566"/>
        </w:tabs>
        <w:snapToGrid w:val="0"/>
        <w:spacing w:line="360" w:lineRule="auto"/>
        <w:ind w:left="567" w:hanging="567"/>
        <w:jc w:val="both"/>
        <w:rPr>
          <w:rtl/>
        </w:rPr>
      </w:pPr>
    </w:p>
    <w:p w14:paraId="65199ED5" w14:textId="77777777" w:rsidR="00611C24" w:rsidRDefault="00611C24" w:rsidP="00611C24">
      <w:pPr>
        <w:tabs>
          <w:tab w:val="left" w:pos="566"/>
        </w:tabs>
        <w:snapToGrid w:val="0"/>
        <w:spacing w:line="360" w:lineRule="auto"/>
        <w:ind w:left="567" w:hanging="567"/>
        <w:jc w:val="both"/>
        <w:rPr>
          <w:rtl/>
        </w:rPr>
      </w:pPr>
      <w:r w:rsidRPr="00300654">
        <w:rPr>
          <w:rFonts w:hint="cs"/>
          <w:rtl/>
        </w:rPr>
        <w:t>זכות ערעור לבית-המשפט המחוזי בלוד בתוך 45 יום.</w:t>
      </w:r>
    </w:p>
    <w:p w14:paraId="22EF3B41" w14:textId="77777777" w:rsidR="00611C24" w:rsidRDefault="00611C24" w:rsidP="00611C24">
      <w:pPr>
        <w:tabs>
          <w:tab w:val="left" w:pos="566"/>
        </w:tabs>
        <w:snapToGrid w:val="0"/>
        <w:spacing w:line="360" w:lineRule="auto"/>
        <w:ind w:left="567" w:hanging="567"/>
        <w:jc w:val="both"/>
        <w:rPr>
          <w:rtl/>
        </w:rPr>
      </w:pPr>
    </w:p>
    <w:p w14:paraId="4EC0F957" w14:textId="77777777" w:rsidR="00611C24" w:rsidRPr="00300654" w:rsidRDefault="00611C24" w:rsidP="00611C24">
      <w:pPr>
        <w:tabs>
          <w:tab w:val="left" w:pos="566"/>
        </w:tabs>
        <w:snapToGrid w:val="0"/>
        <w:spacing w:line="360" w:lineRule="auto"/>
        <w:ind w:left="567" w:hanging="567"/>
        <w:jc w:val="both"/>
      </w:pPr>
      <w:r>
        <w:rPr>
          <w:rFonts w:hint="cs"/>
          <w:rtl/>
        </w:rPr>
        <w:t xml:space="preserve">הפרוטוקול יתוייק בשני התיקים. </w:t>
      </w:r>
    </w:p>
    <w:p w14:paraId="5C2A5871" w14:textId="77777777" w:rsidR="00611C24" w:rsidRDefault="00611C24" w:rsidP="00611C24">
      <w:pPr>
        <w:tabs>
          <w:tab w:val="left" w:pos="566"/>
        </w:tabs>
        <w:snapToGrid w:val="0"/>
        <w:spacing w:line="360" w:lineRule="auto"/>
        <w:ind w:left="567" w:hanging="567"/>
        <w:jc w:val="both"/>
        <w:rPr>
          <w:rtl/>
        </w:rPr>
      </w:pPr>
    </w:p>
    <w:p w14:paraId="5F8FDF16" w14:textId="77777777" w:rsidR="00611C24" w:rsidRDefault="00611C24" w:rsidP="00611C24">
      <w:pPr>
        <w:tabs>
          <w:tab w:val="left" w:pos="566"/>
        </w:tabs>
        <w:snapToGrid w:val="0"/>
        <w:spacing w:line="360" w:lineRule="auto"/>
        <w:ind w:left="567" w:hanging="567"/>
        <w:jc w:val="both"/>
        <w:rPr>
          <w:sz w:val="6"/>
          <w:szCs w:val="6"/>
          <w:rtl/>
        </w:rPr>
      </w:pPr>
      <w:r>
        <w:rPr>
          <w:sz w:val="6"/>
          <w:szCs w:val="6"/>
          <w:rtl/>
        </w:rPr>
        <w:t>&lt;#5#&gt;</w:t>
      </w:r>
    </w:p>
    <w:p w14:paraId="2D6E2862" w14:textId="77777777" w:rsidR="00611C24" w:rsidRDefault="00611C24" w:rsidP="00611C24">
      <w:pPr>
        <w:jc w:val="right"/>
        <w:rPr>
          <w:rtl/>
        </w:rPr>
      </w:pPr>
    </w:p>
    <w:p w14:paraId="761005D3" w14:textId="77777777" w:rsidR="00611C24" w:rsidRDefault="002A0FA1" w:rsidP="00611C24">
      <w:pPr>
        <w:jc w:val="center"/>
        <w:rPr>
          <w:rtl/>
        </w:rPr>
      </w:pPr>
      <w:r>
        <w:rPr>
          <w:b/>
          <w:bCs/>
          <w:rtl/>
        </w:rPr>
        <w:t xml:space="preserve">ניתנה והודעה היום י"ז אדר תשע"ז, 15/03/2017 במעמד הנוכחים. </w:t>
      </w:r>
    </w:p>
    <w:p w14:paraId="5FBC61C4" w14:textId="77777777" w:rsidR="00611C24" w:rsidRPr="002A0FA1" w:rsidRDefault="002A0FA1" w:rsidP="00611C24">
      <w:pPr>
        <w:tabs>
          <w:tab w:val="left" w:pos="566"/>
        </w:tabs>
        <w:snapToGrid w:val="0"/>
        <w:spacing w:line="360" w:lineRule="auto"/>
        <w:ind w:left="567" w:hanging="567"/>
        <w:jc w:val="both"/>
        <w:rPr>
          <w:color w:val="FFFFFF"/>
          <w:sz w:val="2"/>
          <w:szCs w:val="2"/>
          <w:rtl/>
        </w:rPr>
      </w:pPr>
      <w:r w:rsidRPr="002A0FA1">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611C24" w14:paraId="63FB06A5" w14:textId="77777777" w:rsidTr="002A0FA1">
        <w:trPr>
          <w:trHeight w:val="316"/>
          <w:jc w:val="right"/>
        </w:trPr>
        <w:tc>
          <w:tcPr>
            <w:tcW w:w="3936" w:type="dxa"/>
            <w:shd w:val="clear" w:color="auto" w:fill="auto"/>
          </w:tcPr>
          <w:p w14:paraId="58FF8E9E" w14:textId="77777777" w:rsidR="00611C24" w:rsidRPr="002A0FA1" w:rsidRDefault="002A0FA1" w:rsidP="002A0FA1">
            <w:pPr>
              <w:jc w:val="center"/>
              <w:rPr>
                <w:rFonts w:ascii="Times New Roman" w:eastAsia="Times New Roman" w:hAnsi="Times New Roman" w:cs="Times New Roman"/>
                <w:color w:val="FFFFFF"/>
                <w:sz w:val="2"/>
                <w:szCs w:val="2"/>
              </w:rPr>
            </w:pPr>
            <w:r w:rsidRPr="002A0FA1">
              <w:rPr>
                <w:rFonts w:ascii="Times New Roman" w:eastAsia="Times New Roman" w:hAnsi="Times New Roman" w:cs="Times New Roman"/>
                <w:color w:val="FFFFFF"/>
                <w:sz w:val="2"/>
                <w:szCs w:val="2"/>
                <w:rtl/>
              </w:rPr>
              <w:t>54678313</w:t>
            </w:r>
          </w:p>
          <w:p w14:paraId="5F0F2B3F" w14:textId="77777777" w:rsidR="00611C24" w:rsidRPr="003953C1" w:rsidRDefault="00611C24" w:rsidP="002A0FA1">
            <w:pPr>
              <w:jc w:val="center"/>
              <w:rPr>
                <w:rFonts w:ascii="Times New Roman" w:eastAsia="Times New Roman" w:hAnsi="Times New Roman" w:cs="Times New Roman"/>
                <w:rtl/>
              </w:rPr>
            </w:pPr>
          </w:p>
        </w:tc>
      </w:tr>
      <w:tr w:rsidR="00611C24" w14:paraId="5E560BB5" w14:textId="77777777" w:rsidTr="002A0FA1">
        <w:trPr>
          <w:trHeight w:val="361"/>
          <w:jc w:val="right"/>
        </w:trPr>
        <w:tc>
          <w:tcPr>
            <w:tcW w:w="3936" w:type="dxa"/>
            <w:shd w:val="clear" w:color="auto" w:fill="auto"/>
          </w:tcPr>
          <w:p w14:paraId="303AE453" w14:textId="77777777" w:rsidR="00611C24" w:rsidRPr="003953C1" w:rsidRDefault="00611C24" w:rsidP="002A0FA1">
            <w:pPr>
              <w:jc w:val="center"/>
              <w:rPr>
                <w:rFonts w:ascii="Times New Roman" w:eastAsia="Times New Roman" w:hAnsi="Times New Roman"/>
                <w:b/>
                <w:bCs/>
                <w:rtl/>
              </w:rPr>
            </w:pPr>
            <w:r w:rsidRPr="003953C1">
              <w:rPr>
                <w:rFonts w:ascii="Times New Roman" w:eastAsia="Times New Roman" w:hAnsi="Times New Roman" w:hint="cs"/>
                <w:b/>
                <w:bCs/>
                <w:rtl/>
              </w:rPr>
              <w:t>עמית פרייז</w:t>
            </w:r>
            <w:r w:rsidRPr="003953C1">
              <w:rPr>
                <w:rFonts w:ascii="Times New Roman" w:eastAsia="Times New Roman" w:hAnsi="Times New Roman"/>
                <w:b/>
                <w:bCs/>
                <w:rtl/>
              </w:rPr>
              <w:t xml:space="preserve"> </w:t>
            </w:r>
            <w:r w:rsidRPr="003953C1">
              <w:rPr>
                <w:rFonts w:ascii="Times New Roman" w:eastAsia="Times New Roman" w:hAnsi="Times New Roman" w:hint="cs"/>
                <w:b/>
                <w:bCs/>
                <w:rtl/>
              </w:rPr>
              <w:t>, שופט</w:t>
            </w:r>
            <w:r w:rsidRPr="003953C1">
              <w:rPr>
                <w:rFonts w:ascii="Times New Roman" w:eastAsia="Times New Roman" w:hAnsi="Times New Roman"/>
                <w:b/>
                <w:bCs/>
                <w:rtl/>
              </w:rPr>
              <w:t xml:space="preserve"> </w:t>
            </w:r>
          </w:p>
        </w:tc>
      </w:tr>
    </w:tbl>
    <w:p w14:paraId="260C0A81" w14:textId="77777777" w:rsidR="00611C24" w:rsidRPr="00657F11" w:rsidRDefault="00611C24" w:rsidP="00611C24">
      <w:pPr>
        <w:tabs>
          <w:tab w:val="left" w:pos="566"/>
        </w:tabs>
        <w:snapToGrid w:val="0"/>
        <w:spacing w:line="360" w:lineRule="auto"/>
        <w:ind w:left="567" w:hanging="567"/>
        <w:jc w:val="both"/>
        <w:rPr>
          <w:rtl/>
        </w:rPr>
      </w:pPr>
    </w:p>
    <w:p w14:paraId="36FBB1FC" w14:textId="77777777" w:rsidR="00611C24" w:rsidRDefault="00611C24" w:rsidP="00611C24">
      <w:r>
        <w:rPr>
          <w:rtl/>
        </w:rPr>
        <w:t>הוקלד</w:t>
      </w:r>
      <w:r>
        <w:t xml:space="preserve"> </w:t>
      </w:r>
      <w:r>
        <w:rPr>
          <w:rtl/>
        </w:rPr>
        <w:t>על</w:t>
      </w:r>
      <w:r>
        <w:t xml:space="preserve"> </w:t>
      </w:r>
      <w:r>
        <w:rPr>
          <w:rtl/>
        </w:rPr>
        <w:t>ידי</w:t>
      </w:r>
      <w:r>
        <w:t xml:space="preserve"> </w:t>
      </w:r>
      <w:r>
        <w:rPr>
          <w:rtl/>
        </w:rPr>
        <w:t>סופיה</w:t>
      </w:r>
      <w:r>
        <w:t xml:space="preserve"> </w:t>
      </w:r>
      <w:r>
        <w:rPr>
          <w:rtl/>
        </w:rPr>
        <w:t>עטיה</w:t>
      </w:r>
    </w:p>
    <w:p w14:paraId="70E7D015" w14:textId="77777777" w:rsidR="002A0FA1" w:rsidRPr="002A0FA1" w:rsidRDefault="002A0FA1" w:rsidP="002A0FA1">
      <w:pPr>
        <w:keepNext/>
        <w:rPr>
          <w:color w:val="000000"/>
          <w:sz w:val="22"/>
          <w:szCs w:val="22"/>
          <w:rtl/>
        </w:rPr>
      </w:pPr>
    </w:p>
    <w:p w14:paraId="0826B709" w14:textId="77777777" w:rsidR="002A0FA1" w:rsidRPr="002A0FA1" w:rsidRDefault="002A0FA1" w:rsidP="002A0FA1">
      <w:pPr>
        <w:keepNext/>
        <w:rPr>
          <w:color w:val="000000"/>
          <w:sz w:val="22"/>
          <w:szCs w:val="22"/>
          <w:rtl/>
        </w:rPr>
      </w:pPr>
      <w:r w:rsidRPr="002A0FA1">
        <w:rPr>
          <w:color w:val="000000"/>
          <w:sz w:val="22"/>
          <w:szCs w:val="22"/>
          <w:rtl/>
        </w:rPr>
        <w:t>עמית פרייז 54678313</w:t>
      </w:r>
    </w:p>
    <w:p w14:paraId="50487C0E" w14:textId="77777777" w:rsidR="002A0FA1" w:rsidRDefault="002A0FA1" w:rsidP="002A0FA1">
      <w:pPr>
        <w:rPr>
          <w:color w:val="000000"/>
          <w:rtl/>
        </w:rPr>
      </w:pPr>
      <w:r w:rsidRPr="002A0FA1">
        <w:rPr>
          <w:color w:val="000000"/>
          <w:rtl/>
        </w:rPr>
        <w:t>נוסח מסמך זה כפוף לשינויי ניסוח ועריכה</w:t>
      </w:r>
    </w:p>
    <w:p w14:paraId="07CC103D" w14:textId="77777777" w:rsidR="002A0FA1" w:rsidRDefault="002A0FA1" w:rsidP="002A0FA1">
      <w:pPr>
        <w:rPr>
          <w:rtl/>
        </w:rPr>
      </w:pPr>
    </w:p>
    <w:p w14:paraId="3A979DE5" w14:textId="77777777" w:rsidR="002A0FA1" w:rsidRDefault="002A0FA1" w:rsidP="002A0FA1">
      <w:pPr>
        <w:jc w:val="center"/>
        <w:rPr>
          <w:color w:val="0000FF"/>
          <w:u w:val="single"/>
          <w:rtl/>
        </w:rPr>
      </w:pPr>
      <w:hyperlink r:id="rId9" w:history="1">
        <w:r>
          <w:rPr>
            <w:rStyle w:val="Hyperlink"/>
            <w:rtl/>
          </w:rPr>
          <w:t>בעניין עריכה ושינויים במסמכי פסיקה, חקיקה ועוד באתר נבו – הקש כאן</w:t>
        </w:r>
      </w:hyperlink>
    </w:p>
    <w:p w14:paraId="65913AB2" w14:textId="77777777" w:rsidR="00DF27D7" w:rsidRPr="002A0FA1" w:rsidRDefault="00DF27D7" w:rsidP="002A0FA1">
      <w:pPr>
        <w:jc w:val="center"/>
        <w:rPr>
          <w:color w:val="0000FF"/>
          <w:u w:val="single"/>
        </w:rPr>
      </w:pPr>
    </w:p>
    <w:sectPr w:rsidR="00DF27D7" w:rsidRPr="002A0FA1" w:rsidSect="002A0FA1">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A66AC6" w14:textId="77777777" w:rsidR="00A121D4" w:rsidRDefault="00A121D4">
      <w:r>
        <w:separator/>
      </w:r>
    </w:p>
  </w:endnote>
  <w:endnote w:type="continuationSeparator" w:id="0">
    <w:p w14:paraId="59572176" w14:textId="77777777" w:rsidR="00A121D4" w:rsidRDefault="00A12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44983" w14:textId="77777777" w:rsidR="00A121D4" w:rsidRDefault="00A121D4" w:rsidP="002A0FA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12</w:t>
    </w:r>
    <w:r>
      <w:rPr>
        <w:rFonts w:ascii="FrankRuehl" w:hAnsi="FrankRuehl" w:cs="FrankRuehl"/>
        <w:rtl/>
      </w:rPr>
      <w:fldChar w:fldCharType="end"/>
    </w:r>
  </w:p>
  <w:p w14:paraId="45C4F0D8" w14:textId="77777777" w:rsidR="00A121D4" w:rsidRPr="002A0FA1" w:rsidRDefault="00A121D4" w:rsidP="002A0FA1">
    <w:pPr>
      <w:pStyle w:val="a5"/>
      <w:pBdr>
        <w:top w:val="single" w:sz="4" w:space="1" w:color="auto"/>
        <w:between w:val="single" w:sz="4" w:space="0" w:color="auto"/>
      </w:pBdr>
      <w:spacing w:after="60"/>
      <w:jc w:val="center"/>
      <w:rPr>
        <w:rFonts w:ascii="FrankRuehl" w:hAnsi="FrankRuehl" w:cs="FrankRuehl"/>
        <w:color w:val="000000"/>
      </w:rPr>
    </w:pPr>
    <w:r w:rsidRPr="002A0FA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6DC32" w14:textId="77777777" w:rsidR="00A121D4" w:rsidRDefault="00A121D4" w:rsidP="002A0FA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22671">
      <w:rPr>
        <w:rFonts w:ascii="FrankRuehl" w:hAnsi="FrankRuehl" w:cs="FrankRuehl"/>
        <w:noProof/>
        <w:rtl/>
      </w:rPr>
      <w:t>1</w:t>
    </w:r>
    <w:r>
      <w:rPr>
        <w:rFonts w:ascii="FrankRuehl" w:hAnsi="FrankRuehl" w:cs="FrankRuehl"/>
        <w:rtl/>
      </w:rPr>
      <w:fldChar w:fldCharType="end"/>
    </w:r>
  </w:p>
  <w:p w14:paraId="581A4CD8" w14:textId="77777777" w:rsidR="00A121D4" w:rsidRPr="002A0FA1" w:rsidRDefault="00A121D4" w:rsidP="002A0FA1">
    <w:pPr>
      <w:pStyle w:val="a5"/>
      <w:pBdr>
        <w:top w:val="single" w:sz="4" w:space="1" w:color="auto"/>
        <w:between w:val="single" w:sz="4" w:space="0" w:color="auto"/>
      </w:pBdr>
      <w:spacing w:after="60"/>
      <w:jc w:val="center"/>
      <w:rPr>
        <w:rFonts w:ascii="FrankRuehl" w:hAnsi="FrankRuehl" w:cs="FrankRuehl"/>
        <w:color w:val="000000"/>
      </w:rPr>
    </w:pPr>
    <w:r w:rsidRPr="002A0FA1">
      <w:rPr>
        <w:rFonts w:ascii="FrankRuehl" w:hAnsi="FrankRuehl" w:cs="FrankRuehl"/>
        <w:color w:val="000000"/>
      </w:rPr>
      <w:pict w14:anchorId="2017B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31F6D" w14:textId="77777777" w:rsidR="00A121D4" w:rsidRDefault="00A121D4">
      <w:r>
        <w:separator/>
      </w:r>
    </w:p>
  </w:footnote>
  <w:footnote w:type="continuationSeparator" w:id="0">
    <w:p w14:paraId="0AB9E113" w14:textId="77777777" w:rsidR="00A121D4" w:rsidRDefault="00A12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F2BAB" w14:textId="77777777" w:rsidR="00A121D4" w:rsidRPr="002A0FA1" w:rsidRDefault="00A121D4" w:rsidP="002A0FA1">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32523-12-13</w:t>
    </w:r>
    <w:r>
      <w:rPr>
        <w:color w:val="000000"/>
        <w:sz w:val="22"/>
        <w:szCs w:val="22"/>
        <w:rtl/>
      </w:rPr>
      <w:tab/>
      <w:t xml:space="preserve"> מדינת ישראל נ' יעקב ג'נאח </w:t>
    </w:r>
    <w:r>
      <w:rPr>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82390" w14:textId="77777777" w:rsidR="00A121D4" w:rsidRPr="002A0FA1" w:rsidRDefault="00A121D4" w:rsidP="002A0FA1">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32523-12-13</w:t>
    </w:r>
    <w:r>
      <w:rPr>
        <w:color w:val="000000"/>
        <w:sz w:val="22"/>
        <w:szCs w:val="22"/>
        <w:rtl/>
      </w:rPr>
      <w:tab/>
      <w:t xml:space="preserve"> מדינת ישראל נ' יעקב ג'נאח </w:t>
    </w:r>
    <w:r>
      <w:rPr>
        <w:color w:val="000000"/>
        <w:sz w:val="22"/>
        <w:szCs w:val="22"/>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2539A"/>
    <w:multiLevelType w:val="hybridMultilevel"/>
    <w:tmpl w:val="3378CA9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862985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11C24"/>
    <w:rsid w:val="0029068D"/>
    <w:rsid w:val="002A0FA1"/>
    <w:rsid w:val="003B6B74"/>
    <w:rsid w:val="003F38B6"/>
    <w:rsid w:val="005C64EC"/>
    <w:rsid w:val="00611C24"/>
    <w:rsid w:val="0073730C"/>
    <w:rsid w:val="00981C0B"/>
    <w:rsid w:val="00A121D4"/>
    <w:rsid w:val="00A22671"/>
    <w:rsid w:val="00DA6465"/>
    <w:rsid w:val="00DF27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7123422"/>
  <w15:chartTrackingRefBased/>
  <w15:docId w15:val="{FCB5CA8C-4333-4895-9CCE-0E447201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11C24"/>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611C24"/>
  </w:style>
  <w:style w:type="paragraph" w:styleId="a4">
    <w:name w:val="header"/>
    <w:basedOn w:val="a"/>
    <w:rsid w:val="00611C24"/>
    <w:pPr>
      <w:tabs>
        <w:tab w:val="center" w:pos="4153"/>
        <w:tab w:val="right" w:pos="8306"/>
      </w:tabs>
    </w:pPr>
  </w:style>
  <w:style w:type="paragraph" w:styleId="a5">
    <w:name w:val="footer"/>
    <w:basedOn w:val="a"/>
    <w:rsid w:val="00611C24"/>
    <w:pPr>
      <w:tabs>
        <w:tab w:val="center" w:pos="4153"/>
        <w:tab w:val="right" w:pos="8306"/>
      </w:tabs>
    </w:pPr>
  </w:style>
  <w:style w:type="character" w:styleId="a6">
    <w:name w:val="page number"/>
    <w:basedOn w:val="a0"/>
    <w:rsid w:val="00611C24"/>
  </w:style>
  <w:style w:type="character" w:customStyle="1" w:styleId="TimesNewRomanTimesNewRoman">
    <w:name w:val="סגנון (לטיני) Times New Roman (עברית ושפות אחרות) Times New Roman..."/>
    <w:rsid w:val="00611C24"/>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611C24"/>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611C24"/>
    <w:pPr>
      <w:spacing w:line="360" w:lineRule="auto"/>
      <w:jc w:val="both"/>
    </w:pPr>
    <w:rPr>
      <w:rFonts w:ascii="Times New Roman" w:eastAsia="Times New Roman" w:hAnsi="Times New Roman"/>
    </w:rPr>
  </w:style>
  <w:style w:type="character" w:styleId="Hyperlink">
    <w:name w:val="Hyperlink"/>
    <w:basedOn w:val="a0"/>
    <w:rsid w:val="002A0F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744</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4460</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2025-04-22T22:11:00Z</dcterms:created>
  <dcterms:modified xsi:type="dcterms:W3CDTF">2025-04-22T22:11:00Z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32523;40790</vt:lpwstr>
  </property>
  <property fmtid="{D5CDD505-2E9C-101B-9397-08002B2CF9AE}" pid="6" name="NEWPARTB">
    <vt:lpwstr>12;04</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יעקב ג'נאח </vt:lpwstr>
  </property>
  <property fmtid="{D5CDD505-2E9C-101B-9397-08002B2CF9AE}" pid="10" name="LAWYER">
    <vt:lpwstr>יפעת פינצ'ובר;שי לוי</vt:lpwstr>
  </property>
  <property fmtid="{D5CDD505-2E9C-101B-9397-08002B2CF9AE}" pid="11" name="JUDGE">
    <vt:lpwstr>עמית פרייז</vt:lpwstr>
  </property>
  <property fmtid="{D5CDD505-2E9C-101B-9397-08002B2CF9AE}" pid="12" name="CITY">
    <vt:lpwstr>נת'</vt:lpwstr>
  </property>
  <property fmtid="{D5CDD505-2E9C-101B-9397-08002B2CF9AE}" pid="13" name="DATE">
    <vt:lpwstr>20170315</vt:lpwstr>
  </property>
  <property fmtid="{D5CDD505-2E9C-101B-9397-08002B2CF9AE}" pid="14" name="TYPE_N_DATE">
    <vt:lpwstr>38020170315</vt:lpwstr>
  </property>
  <property fmtid="{D5CDD505-2E9C-101B-9397-08002B2CF9AE}" pid="15" name="WORDNUMPAGES">
    <vt:lpwstr>3</vt:lpwstr>
  </property>
  <property fmtid="{D5CDD505-2E9C-101B-9397-08002B2CF9AE}" pid="16" name="TYPE_ABS_DATE">
    <vt:lpwstr>380020170315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LAWLISTTMP1">
    <vt:lpwstr>4216</vt:lpwstr>
  </property>
</Properties>
</file>