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002F58" w:rsidRPr="00AA2630" w14:paraId="5DC453F8" w14:textId="77777777" w:rsidTr="00AA2630">
        <w:trPr>
          <w:trHeight w:hRule="exact" w:val="418"/>
          <w:jc w:val="center"/>
        </w:trPr>
        <w:tc>
          <w:tcPr>
            <w:tcW w:w="8720" w:type="dxa"/>
            <w:gridSpan w:val="3"/>
          </w:tcPr>
          <w:p w14:paraId="1539998C" w14:textId="77777777" w:rsidR="00002F58" w:rsidRPr="00AA2630" w:rsidRDefault="00002F58" w:rsidP="00AA2630">
            <w:pPr>
              <w:pStyle w:val="a3"/>
              <w:tabs>
                <w:tab w:val="clear" w:pos="8306"/>
              </w:tabs>
              <w:jc w:val="center"/>
              <w:rPr>
                <w:rFonts w:ascii="Tahoma" w:hAnsi="Tahoma" w:cs="Tahoma"/>
                <w:b/>
                <w:bCs/>
                <w:color w:val="000080"/>
                <w:sz w:val="20"/>
                <w:szCs w:val="20"/>
                <w:rtl/>
              </w:rPr>
            </w:pPr>
            <w:bookmarkStart w:id="0" w:name="LastJudge"/>
            <w:r w:rsidRPr="00AA2630">
              <w:rPr>
                <w:rFonts w:ascii="Tahoma" w:hAnsi="Tahoma" w:cs="Tahoma" w:hint="cs"/>
                <w:b/>
                <w:bCs/>
                <w:color w:val="000080"/>
                <w:sz w:val="20"/>
                <w:szCs w:val="20"/>
                <w:rtl/>
              </w:rPr>
              <w:t>בתי המשפט</w:t>
            </w:r>
          </w:p>
        </w:tc>
      </w:tr>
      <w:tr w:rsidR="00002F58" w:rsidRPr="00AA2630" w14:paraId="0A601DF0" w14:textId="77777777" w:rsidTr="00AA2630">
        <w:trPr>
          <w:trHeight w:val="709"/>
          <w:jc w:val="center"/>
        </w:trPr>
        <w:tc>
          <w:tcPr>
            <w:tcW w:w="4805" w:type="dxa"/>
          </w:tcPr>
          <w:p w14:paraId="4FD62F34" w14:textId="77777777" w:rsidR="00002F58" w:rsidRPr="00AA2630" w:rsidRDefault="00002F58" w:rsidP="00AA2630">
            <w:pPr>
              <w:rPr>
                <w:b/>
                <w:bCs/>
                <w:sz w:val="28"/>
                <w:szCs w:val="28"/>
                <w:rtl/>
              </w:rPr>
            </w:pPr>
            <w:r w:rsidRPr="00AA2630">
              <w:rPr>
                <w:rFonts w:hint="cs"/>
                <w:b/>
                <w:bCs/>
                <w:sz w:val="28"/>
                <w:szCs w:val="28"/>
                <w:rtl/>
              </w:rPr>
              <w:t>בית משפט השלום קריית גת</w:t>
            </w:r>
          </w:p>
        </w:tc>
        <w:tc>
          <w:tcPr>
            <w:tcW w:w="236" w:type="dxa"/>
            <w:vMerge w:val="restart"/>
          </w:tcPr>
          <w:p w14:paraId="66DDBD1F" w14:textId="77777777" w:rsidR="00002F58" w:rsidRPr="00AA2630" w:rsidRDefault="00002F58" w:rsidP="00AA2630">
            <w:pPr>
              <w:pStyle w:val="a3"/>
              <w:jc w:val="right"/>
              <w:rPr>
                <w:b/>
                <w:bCs/>
                <w:sz w:val="28"/>
                <w:szCs w:val="28"/>
                <w:rtl/>
              </w:rPr>
            </w:pPr>
          </w:p>
        </w:tc>
        <w:tc>
          <w:tcPr>
            <w:tcW w:w="3679" w:type="dxa"/>
            <w:vMerge w:val="restart"/>
          </w:tcPr>
          <w:p w14:paraId="63AD494B" w14:textId="77777777" w:rsidR="00002F58" w:rsidRPr="00AA2630" w:rsidRDefault="00002F58" w:rsidP="00AA2630">
            <w:pPr>
              <w:jc w:val="right"/>
              <w:rPr>
                <w:b/>
                <w:bCs/>
                <w:sz w:val="28"/>
                <w:szCs w:val="28"/>
                <w:rtl/>
              </w:rPr>
            </w:pPr>
            <w:r w:rsidRPr="00AA2630">
              <w:rPr>
                <w:b/>
                <w:bCs/>
                <w:sz w:val="28"/>
                <w:szCs w:val="28"/>
                <w:rtl/>
              </w:rPr>
              <w:t>ת"פ</w:t>
            </w:r>
            <w:r w:rsidRPr="00AA2630">
              <w:rPr>
                <w:rFonts w:hint="cs"/>
                <w:b/>
                <w:bCs/>
                <w:sz w:val="28"/>
                <w:szCs w:val="28"/>
                <w:rtl/>
              </w:rPr>
              <w:t xml:space="preserve"> </w:t>
            </w:r>
            <w:r w:rsidRPr="00AA2630">
              <w:rPr>
                <w:b/>
                <w:bCs/>
                <w:sz w:val="28"/>
                <w:szCs w:val="28"/>
                <w:rtl/>
              </w:rPr>
              <w:t>37769-12-13</w:t>
            </w:r>
          </w:p>
          <w:p w14:paraId="09E1A5D4" w14:textId="77777777" w:rsidR="00002F58" w:rsidRPr="00AA2630" w:rsidRDefault="00002F58" w:rsidP="00AA2630">
            <w:pPr>
              <w:pStyle w:val="a3"/>
              <w:tabs>
                <w:tab w:val="clear" w:pos="4153"/>
              </w:tabs>
              <w:jc w:val="right"/>
              <w:rPr>
                <w:b/>
                <w:bCs/>
                <w:sz w:val="20"/>
                <w:szCs w:val="20"/>
                <w:rtl/>
              </w:rPr>
            </w:pPr>
          </w:p>
          <w:p w14:paraId="30A378DA" w14:textId="77777777" w:rsidR="00002F58" w:rsidRPr="00AA2630" w:rsidRDefault="00002F58" w:rsidP="00AA2630">
            <w:pPr>
              <w:pStyle w:val="a3"/>
              <w:tabs>
                <w:tab w:val="clear" w:pos="4153"/>
              </w:tabs>
              <w:jc w:val="right"/>
              <w:rPr>
                <w:b/>
                <w:bCs/>
                <w:sz w:val="28"/>
                <w:szCs w:val="28"/>
                <w:rtl/>
              </w:rPr>
            </w:pPr>
            <w:r w:rsidRPr="00AA2630">
              <w:rPr>
                <w:b/>
                <w:bCs/>
                <w:sz w:val="28"/>
                <w:szCs w:val="28"/>
                <w:rtl/>
              </w:rPr>
              <w:t>01 ינואר 2017</w:t>
            </w:r>
          </w:p>
        </w:tc>
      </w:tr>
      <w:tr w:rsidR="00002F58" w:rsidRPr="00AA2630" w14:paraId="11A4BA7A" w14:textId="77777777" w:rsidTr="00AA2630">
        <w:trPr>
          <w:trHeight w:val="547"/>
          <w:jc w:val="center"/>
        </w:trPr>
        <w:tc>
          <w:tcPr>
            <w:tcW w:w="4805" w:type="dxa"/>
          </w:tcPr>
          <w:p w14:paraId="24693264" w14:textId="77777777" w:rsidR="00002F58" w:rsidRPr="00AA2630" w:rsidRDefault="00002F58" w:rsidP="00AA2630">
            <w:pPr>
              <w:rPr>
                <w:b/>
                <w:bCs/>
                <w:sz w:val="28"/>
                <w:szCs w:val="28"/>
                <w:rtl/>
              </w:rPr>
            </w:pPr>
            <w:r w:rsidRPr="00AA2630">
              <w:rPr>
                <w:rFonts w:hint="cs"/>
                <w:b/>
                <w:bCs/>
                <w:sz w:val="28"/>
                <w:szCs w:val="28"/>
                <w:rtl/>
              </w:rPr>
              <w:t>בפני: כב' ה</w:t>
            </w:r>
            <w:r w:rsidRPr="00AA2630">
              <w:rPr>
                <w:b/>
                <w:bCs/>
                <w:sz w:val="28"/>
                <w:szCs w:val="28"/>
                <w:rtl/>
              </w:rPr>
              <w:t>שופטת נועה חקלאי</w:t>
            </w:r>
          </w:p>
        </w:tc>
        <w:tc>
          <w:tcPr>
            <w:tcW w:w="236" w:type="dxa"/>
            <w:vMerge/>
          </w:tcPr>
          <w:p w14:paraId="72BEF4A0" w14:textId="77777777" w:rsidR="00002F58" w:rsidRPr="00AA2630" w:rsidRDefault="00002F58" w:rsidP="00AA2630">
            <w:pPr>
              <w:pStyle w:val="a3"/>
              <w:jc w:val="right"/>
              <w:rPr>
                <w:b/>
                <w:bCs/>
                <w:sz w:val="28"/>
                <w:szCs w:val="28"/>
                <w:rtl/>
              </w:rPr>
            </w:pPr>
          </w:p>
        </w:tc>
        <w:tc>
          <w:tcPr>
            <w:tcW w:w="3679" w:type="dxa"/>
            <w:vMerge/>
          </w:tcPr>
          <w:p w14:paraId="22BB9736" w14:textId="77777777" w:rsidR="00002F58" w:rsidRPr="00AA2630" w:rsidRDefault="00002F58" w:rsidP="00AA2630">
            <w:pPr>
              <w:jc w:val="right"/>
              <w:rPr>
                <w:b/>
                <w:bCs/>
                <w:sz w:val="28"/>
                <w:szCs w:val="28"/>
                <w:rtl/>
              </w:rPr>
            </w:pPr>
          </w:p>
        </w:tc>
      </w:tr>
    </w:tbl>
    <w:p w14:paraId="77929536" w14:textId="77777777" w:rsidR="00002F58" w:rsidRPr="00AA2630" w:rsidRDefault="00002F58" w:rsidP="00002F58">
      <w:pPr>
        <w:pStyle w:val="a3"/>
        <w:jc w:val="center"/>
        <w:rPr>
          <w:rFonts w:ascii="Tahoma" w:hAnsi="Tahoma" w:cs="Tahoma"/>
          <w:b/>
          <w:bCs/>
          <w:color w:val="000080"/>
          <w:sz w:val="20"/>
          <w:szCs w:val="20"/>
          <w:rtl/>
        </w:rPr>
      </w:pPr>
    </w:p>
    <w:p w14:paraId="4D732FFA" w14:textId="77777777" w:rsidR="00002F58" w:rsidRPr="00AA2630" w:rsidRDefault="00002F58" w:rsidP="00002F58">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AA2630" w:rsidRPr="00AA2630" w14:paraId="7400D9AA" w14:textId="77777777" w:rsidTr="00002F58">
        <w:tc>
          <w:tcPr>
            <w:tcW w:w="945" w:type="dxa"/>
            <w:shd w:val="clear" w:color="auto" w:fill="auto"/>
          </w:tcPr>
          <w:p w14:paraId="5704714C" w14:textId="77777777" w:rsidR="00002F58" w:rsidRPr="00AA2630" w:rsidRDefault="00002F58" w:rsidP="00002F58">
            <w:pPr>
              <w:jc w:val="left"/>
              <w:rPr>
                <w:b/>
                <w:bCs/>
                <w:sz w:val="26"/>
                <w:rtl/>
              </w:rPr>
            </w:pPr>
            <w:bookmarkStart w:id="1" w:name="FirstAppellant"/>
            <w:r w:rsidRPr="00AA2630">
              <w:rPr>
                <w:rFonts w:hint="cs"/>
                <w:b/>
                <w:bCs/>
                <w:sz w:val="26"/>
                <w:rtl/>
              </w:rPr>
              <w:t>בעניין:</w:t>
            </w:r>
          </w:p>
        </w:tc>
        <w:tc>
          <w:tcPr>
            <w:tcW w:w="7857" w:type="dxa"/>
            <w:gridSpan w:val="4"/>
            <w:shd w:val="clear" w:color="auto" w:fill="auto"/>
          </w:tcPr>
          <w:p w14:paraId="607B4487" w14:textId="77777777" w:rsidR="00002F58" w:rsidRPr="00AA2630" w:rsidRDefault="00002F58" w:rsidP="00002F58">
            <w:pPr>
              <w:jc w:val="left"/>
              <w:rPr>
                <w:b/>
                <w:bCs/>
                <w:sz w:val="26"/>
                <w:rtl/>
              </w:rPr>
            </w:pPr>
            <w:r w:rsidRPr="00AA2630">
              <w:rPr>
                <w:rFonts w:hint="cs"/>
                <w:b/>
                <w:bCs/>
                <w:sz w:val="26"/>
                <w:rtl/>
              </w:rPr>
              <w:t>מדינת ישראל</w:t>
            </w:r>
          </w:p>
        </w:tc>
      </w:tr>
      <w:bookmarkEnd w:id="1"/>
      <w:tr w:rsidR="00AA2630" w:rsidRPr="00AA2630" w14:paraId="0C5483A5" w14:textId="77777777" w:rsidTr="00002F58">
        <w:trPr>
          <w:gridAfter w:val="1"/>
          <w:wAfter w:w="106" w:type="dxa"/>
        </w:trPr>
        <w:tc>
          <w:tcPr>
            <w:tcW w:w="945" w:type="dxa"/>
            <w:shd w:val="clear" w:color="auto" w:fill="auto"/>
          </w:tcPr>
          <w:p w14:paraId="5FAB3ACE" w14:textId="77777777" w:rsidR="00002F58" w:rsidRPr="00AA2630" w:rsidRDefault="00002F58" w:rsidP="00002F58">
            <w:pPr>
              <w:ind w:left="26"/>
              <w:jc w:val="left"/>
              <w:rPr>
                <w:b/>
                <w:bCs/>
                <w:sz w:val="26"/>
                <w:rtl/>
              </w:rPr>
            </w:pPr>
          </w:p>
        </w:tc>
        <w:tc>
          <w:tcPr>
            <w:tcW w:w="6416" w:type="dxa"/>
            <w:shd w:val="clear" w:color="auto" w:fill="auto"/>
          </w:tcPr>
          <w:p w14:paraId="46FBC7FA" w14:textId="77777777" w:rsidR="00002F58" w:rsidRPr="00AA2630" w:rsidRDefault="00002F58" w:rsidP="00002F58">
            <w:pPr>
              <w:jc w:val="left"/>
              <w:rPr>
                <w:b/>
                <w:bCs/>
                <w:sz w:val="26"/>
                <w:rtl/>
              </w:rPr>
            </w:pPr>
          </w:p>
        </w:tc>
        <w:tc>
          <w:tcPr>
            <w:tcW w:w="1335" w:type="dxa"/>
            <w:gridSpan w:val="2"/>
            <w:shd w:val="clear" w:color="auto" w:fill="auto"/>
          </w:tcPr>
          <w:p w14:paraId="4433A52D" w14:textId="77777777" w:rsidR="00002F58" w:rsidRPr="00AA2630" w:rsidRDefault="00002F58" w:rsidP="00002F58">
            <w:pPr>
              <w:ind w:left="26"/>
              <w:jc w:val="left"/>
              <w:rPr>
                <w:b/>
                <w:bCs/>
                <w:sz w:val="26"/>
                <w:rtl/>
              </w:rPr>
            </w:pPr>
            <w:r w:rsidRPr="00AA2630">
              <w:rPr>
                <w:rFonts w:hint="cs"/>
                <w:b/>
                <w:bCs/>
                <w:sz w:val="26"/>
                <w:rtl/>
              </w:rPr>
              <w:t>המאשימה</w:t>
            </w:r>
          </w:p>
        </w:tc>
      </w:tr>
      <w:tr w:rsidR="00AA2630" w:rsidRPr="00AA2630" w14:paraId="57F217A7" w14:textId="77777777" w:rsidTr="00002F58">
        <w:trPr>
          <w:gridAfter w:val="1"/>
          <w:wAfter w:w="106" w:type="dxa"/>
        </w:trPr>
        <w:tc>
          <w:tcPr>
            <w:tcW w:w="8696" w:type="dxa"/>
            <w:gridSpan w:val="4"/>
            <w:shd w:val="clear" w:color="auto" w:fill="auto"/>
          </w:tcPr>
          <w:p w14:paraId="214B11AF" w14:textId="77777777" w:rsidR="00002F58" w:rsidRPr="00AA2630" w:rsidRDefault="00002F58" w:rsidP="00002F58">
            <w:pPr>
              <w:jc w:val="center"/>
              <w:rPr>
                <w:rFonts w:ascii="Arial" w:hAnsi="Arial"/>
                <w:b/>
                <w:bCs/>
                <w:sz w:val="26"/>
              </w:rPr>
            </w:pPr>
            <w:r w:rsidRPr="00AA2630">
              <w:rPr>
                <w:rFonts w:ascii="Arial" w:hAnsi="Arial"/>
                <w:b/>
                <w:bCs/>
                <w:sz w:val="26"/>
                <w:rtl/>
              </w:rPr>
              <w:t>נ</w:t>
            </w:r>
            <w:r w:rsidRPr="00AA2630">
              <w:rPr>
                <w:rFonts w:ascii="Arial" w:hAnsi="Arial" w:hint="cs"/>
                <w:b/>
                <w:bCs/>
                <w:sz w:val="26"/>
                <w:rtl/>
              </w:rPr>
              <w:t xml:space="preserve"> </w:t>
            </w:r>
            <w:r w:rsidRPr="00AA2630">
              <w:rPr>
                <w:rFonts w:ascii="Arial" w:hAnsi="Arial"/>
                <w:b/>
                <w:bCs/>
                <w:sz w:val="26"/>
                <w:rtl/>
              </w:rPr>
              <w:t>ג</w:t>
            </w:r>
            <w:r w:rsidRPr="00AA2630">
              <w:rPr>
                <w:rFonts w:ascii="Arial" w:hAnsi="Arial" w:hint="cs"/>
                <w:b/>
                <w:bCs/>
                <w:sz w:val="26"/>
                <w:rtl/>
              </w:rPr>
              <w:t xml:space="preserve"> </w:t>
            </w:r>
            <w:r w:rsidRPr="00AA2630">
              <w:rPr>
                <w:rFonts w:ascii="Arial" w:hAnsi="Arial"/>
                <w:b/>
                <w:bCs/>
                <w:sz w:val="26"/>
                <w:rtl/>
              </w:rPr>
              <w:t>ד</w:t>
            </w:r>
          </w:p>
        </w:tc>
      </w:tr>
      <w:tr w:rsidR="00AA2630" w:rsidRPr="00AA2630" w14:paraId="017EC261" w14:textId="77777777" w:rsidTr="00002F58">
        <w:trPr>
          <w:gridAfter w:val="1"/>
          <w:wAfter w:w="106" w:type="dxa"/>
        </w:trPr>
        <w:tc>
          <w:tcPr>
            <w:tcW w:w="945" w:type="dxa"/>
            <w:shd w:val="clear" w:color="auto" w:fill="auto"/>
          </w:tcPr>
          <w:p w14:paraId="7D823A88" w14:textId="77777777" w:rsidR="00002F58" w:rsidRPr="00AA2630" w:rsidRDefault="00002F58" w:rsidP="00002F58">
            <w:pPr>
              <w:ind w:left="26"/>
              <w:rPr>
                <w:b/>
                <w:bCs/>
                <w:sz w:val="26"/>
                <w:rtl/>
              </w:rPr>
            </w:pPr>
          </w:p>
        </w:tc>
        <w:tc>
          <w:tcPr>
            <w:tcW w:w="6435" w:type="dxa"/>
            <w:gridSpan w:val="2"/>
            <w:shd w:val="clear" w:color="auto" w:fill="auto"/>
          </w:tcPr>
          <w:p w14:paraId="080C5D95" w14:textId="77777777" w:rsidR="00002F58" w:rsidRPr="00AA2630" w:rsidRDefault="00002F58" w:rsidP="00002F58">
            <w:pPr>
              <w:jc w:val="left"/>
              <w:rPr>
                <w:rFonts w:hint="cs"/>
                <w:b/>
                <w:bCs/>
                <w:sz w:val="26"/>
                <w:rtl/>
              </w:rPr>
            </w:pPr>
            <w:r w:rsidRPr="00AA2630">
              <w:rPr>
                <w:b/>
                <w:bCs/>
                <w:sz w:val="26"/>
                <w:rtl/>
              </w:rPr>
              <w:t>ליאור קריספין</w:t>
            </w:r>
            <w:r w:rsidRPr="00AA2630">
              <w:rPr>
                <w:rFonts w:hint="cs"/>
                <w:b/>
                <w:bCs/>
                <w:sz w:val="26"/>
                <w:rtl/>
              </w:rPr>
              <w:t xml:space="preserve"> </w:t>
            </w:r>
          </w:p>
        </w:tc>
        <w:tc>
          <w:tcPr>
            <w:tcW w:w="1316" w:type="dxa"/>
            <w:shd w:val="clear" w:color="auto" w:fill="auto"/>
          </w:tcPr>
          <w:p w14:paraId="5D6EDF70" w14:textId="77777777" w:rsidR="00002F58" w:rsidRPr="00AA2630" w:rsidRDefault="00002F58" w:rsidP="00AA2630">
            <w:pPr>
              <w:rPr>
                <w:b/>
                <w:bCs/>
                <w:sz w:val="26"/>
                <w:rtl/>
              </w:rPr>
            </w:pPr>
          </w:p>
        </w:tc>
      </w:tr>
      <w:tr w:rsidR="00AA2630" w:rsidRPr="00AA2630" w14:paraId="63515422" w14:textId="77777777" w:rsidTr="00002F58">
        <w:trPr>
          <w:gridAfter w:val="1"/>
          <w:wAfter w:w="106" w:type="dxa"/>
        </w:trPr>
        <w:tc>
          <w:tcPr>
            <w:tcW w:w="945" w:type="dxa"/>
            <w:shd w:val="clear" w:color="auto" w:fill="auto"/>
          </w:tcPr>
          <w:p w14:paraId="76F3ABEC" w14:textId="77777777" w:rsidR="00002F58" w:rsidRPr="00AA2630" w:rsidRDefault="00002F58" w:rsidP="00002F58">
            <w:pPr>
              <w:ind w:left="26"/>
              <w:jc w:val="left"/>
              <w:rPr>
                <w:b/>
                <w:bCs/>
                <w:sz w:val="26"/>
                <w:rtl/>
              </w:rPr>
            </w:pPr>
          </w:p>
        </w:tc>
        <w:tc>
          <w:tcPr>
            <w:tcW w:w="6435" w:type="dxa"/>
            <w:gridSpan w:val="2"/>
            <w:shd w:val="clear" w:color="auto" w:fill="auto"/>
          </w:tcPr>
          <w:p w14:paraId="7D176EC6" w14:textId="77777777" w:rsidR="00002F58" w:rsidRPr="00AA2630" w:rsidRDefault="00002F58" w:rsidP="00002F58">
            <w:pPr>
              <w:jc w:val="left"/>
              <w:rPr>
                <w:b/>
                <w:bCs/>
                <w:sz w:val="26"/>
                <w:rtl/>
              </w:rPr>
            </w:pPr>
          </w:p>
        </w:tc>
        <w:tc>
          <w:tcPr>
            <w:tcW w:w="1316" w:type="dxa"/>
            <w:shd w:val="clear" w:color="auto" w:fill="auto"/>
          </w:tcPr>
          <w:p w14:paraId="070198D8" w14:textId="77777777" w:rsidR="00002F58" w:rsidRPr="00AA2630" w:rsidRDefault="00002F58" w:rsidP="00002F58">
            <w:pPr>
              <w:jc w:val="left"/>
              <w:rPr>
                <w:b/>
                <w:bCs/>
                <w:sz w:val="26"/>
                <w:rtl/>
              </w:rPr>
            </w:pPr>
            <w:r w:rsidRPr="00AA2630">
              <w:rPr>
                <w:rFonts w:hint="cs"/>
                <w:b/>
                <w:bCs/>
                <w:sz w:val="26"/>
                <w:rtl/>
              </w:rPr>
              <w:t>הנאשם</w:t>
            </w:r>
          </w:p>
        </w:tc>
      </w:tr>
    </w:tbl>
    <w:p w14:paraId="421588FF" w14:textId="77777777" w:rsidR="00002F58" w:rsidRPr="00AA2630" w:rsidRDefault="00002F58" w:rsidP="00002F58">
      <w:pPr>
        <w:rPr>
          <w:rFonts w:ascii="Arial" w:hAnsi="Arial"/>
          <w:b/>
          <w:bCs/>
          <w:sz w:val="26"/>
          <w:rtl/>
        </w:rPr>
      </w:pPr>
    </w:p>
    <w:p w14:paraId="4F358703" w14:textId="77777777" w:rsidR="00002F58" w:rsidRPr="00AA2630" w:rsidRDefault="00002F58" w:rsidP="00002F58">
      <w:pPr>
        <w:rPr>
          <w:rFonts w:ascii="Arial" w:hAnsi="Arial"/>
          <w:b/>
          <w:bCs/>
          <w:sz w:val="26"/>
          <w:rtl/>
        </w:rPr>
      </w:pPr>
      <w:r w:rsidRPr="00AA2630">
        <w:rPr>
          <w:rFonts w:ascii="Arial" w:hAnsi="Arial" w:hint="cs"/>
          <w:b/>
          <w:bCs/>
          <w:sz w:val="26"/>
          <w:rtl/>
        </w:rPr>
        <w:t>נוכחים:</w:t>
      </w:r>
    </w:p>
    <w:p w14:paraId="538958E7" w14:textId="77777777" w:rsidR="00002F58" w:rsidRPr="00AA2630" w:rsidRDefault="00002F58" w:rsidP="00002F58">
      <w:pPr>
        <w:rPr>
          <w:b/>
          <w:bCs/>
          <w:rtl/>
        </w:rPr>
      </w:pPr>
      <w:bookmarkStart w:id="2" w:name="FirstLawyer"/>
      <w:r w:rsidRPr="00AA2630">
        <w:rPr>
          <w:rFonts w:hint="cs"/>
          <w:b/>
          <w:bCs/>
          <w:rtl/>
        </w:rPr>
        <w:t>ב"כ</w:t>
      </w:r>
      <w:bookmarkEnd w:id="2"/>
      <w:r w:rsidRPr="00AA2630">
        <w:rPr>
          <w:rFonts w:hint="cs"/>
          <w:b/>
          <w:bCs/>
          <w:rtl/>
        </w:rPr>
        <w:t xml:space="preserve"> המאשימה עו"ד ליפז סימני</w:t>
      </w:r>
    </w:p>
    <w:p w14:paraId="57247573" w14:textId="77777777" w:rsidR="00002F58" w:rsidRPr="00AA2630" w:rsidRDefault="00002F58" w:rsidP="00002F58">
      <w:pPr>
        <w:rPr>
          <w:b/>
          <w:bCs/>
          <w:rtl/>
        </w:rPr>
      </w:pPr>
      <w:r w:rsidRPr="00AA2630">
        <w:rPr>
          <w:rFonts w:hint="cs"/>
          <w:b/>
          <w:bCs/>
          <w:rtl/>
        </w:rPr>
        <w:t>הנאשם - בעצמו   ובא כוחו עו"ד  הרצל סמילה</w:t>
      </w:r>
    </w:p>
    <w:p w14:paraId="2CBAAD52" w14:textId="77777777" w:rsidR="00002F58" w:rsidRPr="00AA2630" w:rsidRDefault="00002F58" w:rsidP="00002F58">
      <w:pPr>
        <w:rPr>
          <w:rtl/>
        </w:rPr>
      </w:pPr>
    </w:p>
    <w:p w14:paraId="1097F5E3" w14:textId="77777777" w:rsidR="00002F58" w:rsidRPr="00AA2630" w:rsidRDefault="00002F58" w:rsidP="00002F58">
      <w:pPr>
        <w:pStyle w:val="12"/>
        <w:rPr>
          <w:b w:val="0"/>
          <w:bCs w:val="0"/>
          <w:u w:val="none"/>
          <w:rtl/>
        </w:rPr>
      </w:pPr>
    </w:p>
    <w:p w14:paraId="30C0C9CD" w14:textId="77777777" w:rsidR="00002F58" w:rsidRPr="00AA2630" w:rsidRDefault="00002F58" w:rsidP="00002F58">
      <w:pPr>
        <w:pStyle w:val="12"/>
        <w:rPr>
          <w:b w:val="0"/>
          <w:bCs w:val="0"/>
          <w:u w:val="none"/>
          <w:rtl/>
        </w:rPr>
      </w:pPr>
    </w:p>
    <w:p w14:paraId="6F0A8A1F" w14:textId="77777777" w:rsidR="00F9729F" w:rsidRDefault="00002F58" w:rsidP="00002F58">
      <w:pPr>
        <w:jc w:val="center"/>
        <w:rPr>
          <w:rFonts w:ascii="Arial" w:hAnsi="Arial"/>
          <w:sz w:val="32"/>
          <w:szCs w:val="32"/>
          <w:rtl/>
        </w:rPr>
      </w:pPr>
      <w:r w:rsidRPr="00AA2630">
        <w:rPr>
          <w:rFonts w:ascii="Arial" w:hAnsi="Arial"/>
          <w:b/>
          <w:color w:val="FF0000"/>
          <w:sz w:val="32"/>
          <w:szCs w:val="24"/>
          <w:rtl/>
        </w:rPr>
        <w:t>במסמך זה הושמטו פרוטוקולים</w:t>
      </w:r>
      <w:bookmarkStart w:id="3" w:name="LawTable"/>
      <w:bookmarkEnd w:id="3"/>
    </w:p>
    <w:p w14:paraId="0261C080" w14:textId="77777777" w:rsidR="00F9729F" w:rsidRPr="00F9729F" w:rsidRDefault="00F9729F" w:rsidP="00F9729F">
      <w:pPr>
        <w:spacing w:after="120" w:line="240" w:lineRule="exact"/>
        <w:ind w:left="283" w:hanging="283"/>
        <w:rPr>
          <w:rFonts w:ascii="FrankRuehl" w:hAnsi="FrankRuehl" w:cs="FrankRuehl"/>
          <w:szCs w:val="24"/>
          <w:rtl/>
        </w:rPr>
      </w:pPr>
    </w:p>
    <w:p w14:paraId="7B229E14" w14:textId="77777777" w:rsidR="00F9729F" w:rsidRPr="00F9729F" w:rsidRDefault="00F9729F" w:rsidP="00F9729F">
      <w:pPr>
        <w:spacing w:after="120" w:line="240" w:lineRule="exact"/>
        <w:ind w:left="283" w:hanging="283"/>
        <w:rPr>
          <w:rFonts w:ascii="FrankRuehl" w:hAnsi="FrankRuehl" w:cs="FrankRuehl"/>
          <w:szCs w:val="24"/>
          <w:rtl/>
        </w:rPr>
      </w:pPr>
      <w:r w:rsidRPr="00F9729F">
        <w:rPr>
          <w:rFonts w:ascii="FrankRuehl" w:hAnsi="FrankRuehl" w:cs="FrankRuehl"/>
          <w:szCs w:val="24"/>
          <w:rtl/>
        </w:rPr>
        <w:t xml:space="preserve">חקיקה שאוזכרה: </w:t>
      </w:r>
    </w:p>
    <w:p w14:paraId="7A174C37" w14:textId="77777777" w:rsidR="00F9729F" w:rsidRPr="00F9729F" w:rsidRDefault="00F9729F" w:rsidP="00F9729F">
      <w:pPr>
        <w:spacing w:after="120" w:line="240" w:lineRule="exact"/>
        <w:ind w:left="283" w:hanging="283"/>
        <w:rPr>
          <w:rFonts w:ascii="FrankRuehl" w:hAnsi="FrankRuehl" w:cs="FrankRuehl"/>
          <w:szCs w:val="24"/>
          <w:rtl/>
        </w:rPr>
      </w:pPr>
      <w:hyperlink r:id="rId7" w:history="1">
        <w:r w:rsidRPr="00F9729F">
          <w:rPr>
            <w:rFonts w:ascii="FrankRuehl" w:hAnsi="FrankRuehl" w:cs="FrankRuehl"/>
            <w:color w:val="0000FF"/>
            <w:szCs w:val="24"/>
            <w:u w:val="single"/>
            <w:rtl/>
          </w:rPr>
          <w:t>פקודת הסמים המסוכנים [נוסח חדש], תשל"ג-1973</w:t>
        </w:r>
      </w:hyperlink>
      <w:r w:rsidRPr="00F9729F">
        <w:rPr>
          <w:rFonts w:ascii="FrankRuehl" w:hAnsi="FrankRuehl" w:cs="FrankRuehl"/>
          <w:szCs w:val="24"/>
          <w:rtl/>
        </w:rPr>
        <w:t xml:space="preserve">: סע'  </w:t>
      </w:r>
      <w:hyperlink r:id="rId8" w:history="1">
        <w:r w:rsidRPr="00F9729F">
          <w:rPr>
            <w:rFonts w:ascii="FrankRuehl" w:hAnsi="FrankRuehl" w:cs="FrankRuehl"/>
            <w:color w:val="0000FF"/>
            <w:szCs w:val="24"/>
            <w:u w:val="single"/>
            <w:rtl/>
          </w:rPr>
          <w:t>7.א.</w:t>
        </w:r>
      </w:hyperlink>
      <w:r w:rsidRPr="00F9729F">
        <w:rPr>
          <w:rFonts w:ascii="FrankRuehl" w:hAnsi="FrankRuehl" w:cs="FrankRuehl"/>
          <w:szCs w:val="24"/>
          <w:rtl/>
        </w:rPr>
        <w:t xml:space="preserve">, </w:t>
      </w:r>
      <w:hyperlink r:id="rId9" w:history="1">
        <w:r w:rsidRPr="00F9729F">
          <w:rPr>
            <w:rFonts w:ascii="FrankRuehl" w:hAnsi="FrankRuehl" w:cs="FrankRuehl"/>
            <w:color w:val="0000FF"/>
            <w:szCs w:val="24"/>
            <w:u w:val="single"/>
            <w:rtl/>
          </w:rPr>
          <w:t>7.ג</w:t>
        </w:r>
      </w:hyperlink>
      <w:r w:rsidRPr="00F9729F">
        <w:rPr>
          <w:rFonts w:ascii="FrankRuehl" w:hAnsi="FrankRuehl" w:cs="FrankRuehl"/>
          <w:szCs w:val="24"/>
          <w:rtl/>
        </w:rPr>
        <w:t xml:space="preserve">, </w:t>
      </w:r>
      <w:hyperlink r:id="rId10" w:history="1">
        <w:r w:rsidRPr="00F9729F">
          <w:rPr>
            <w:rFonts w:ascii="FrankRuehl" w:hAnsi="FrankRuehl" w:cs="FrankRuehl"/>
            <w:color w:val="0000FF"/>
            <w:szCs w:val="24"/>
            <w:u w:val="single"/>
            <w:rtl/>
          </w:rPr>
          <w:t>37 א'</w:t>
        </w:r>
      </w:hyperlink>
    </w:p>
    <w:p w14:paraId="6AD3E0ED" w14:textId="77777777" w:rsidR="00F9729F" w:rsidRPr="00F9729F" w:rsidRDefault="00F9729F" w:rsidP="00F9729F">
      <w:pPr>
        <w:spacing w:after="120" w:line="240" w:lineRule="exact"/>
        <w:ind w:left="283" w:hanging="283"/>
        <w:rPr>
          <w:rFonts w:ascii="FrankRuehl" w:hAnsi="FrankRuehl" w:cs="FrankRuehl"/>
          <w:szCs w:val="24"/>
          <w:rtl/>
        </w:rPr>
      </w:pPr>
    </w:p>
    <w:p w14:paraId="5D68C32E" w14:textId="77777777" w:rsidR="00002F58" w:rsidRPr="00F9729F" w:rsidRDefault="00002F58" w:rsidP="00002F58">
      <w:pPr>
        <w:jc w:val="center"/>
        <w:rPr>
          <w:rFonts w:ascii="Arial" w:hAnsi="Arial"/>
          <w:b/>
          <w:bCs/>
          <w:sz w:val="32"/>
          <w:szCs w:val="32"/>
          <w:rtl/>
        </w:rPr>
      </w:pPr>
      <w:bookmarkStart w:id="4" w:name="LawTable_End"/>
      <w:bookmarkEnd w:id="4"/>
    </w:p>
    <w:p w14:paraId="1714A8E2" w14:textId="77777777" w:rsidR="00AA2630" w:rsidRPr="00AA2630" w:rsidRDefault="00AA2630" w:rsidP="00AA2630">
      <w:pPr>
        <w:jc w:val="center"/>
        <w:rPr>
          <w:rFonts w:ascii="Arial" w:hAnsi="Arial"/>
          <w:b/>
          <w:bCs/>
          <w:sz w:val="32"/>
          <w:szCs w:val="32"/>
          <w:u w:val="single"/>
          <w:rtl/>
        </w:rPr>
      </w:pPr>
      <w:bookmarkStart w:id="5" w:name="PsakDin"/>
      <w:bookmarkEnd w:id="0"/>
      <w:r w:rsidRPr="00AA2630">
        <w:rPr>
          <w:rFonts w:ascii="Arial" w:hAnsi="Arial"/>
          <w:b/>
          <w:bCs/>
          <w:sz w:val="32"/>
          <w:szCs w:val="32"/>
          <w:u w:val="single"/>
          <w:rtl/>
        </w:rPr>
        <w:t>גזר דין</w:t>
      </w:r>
    </w:p>
    <w:bookmarkEnd w:id="5"/>
    <w:p w14:paraId="0E9FB288" w14:textId="77777777" w:rsidR="00002F58" w:rsidRPr="0003259A" w:rsidRDefault="00002F58" w:rsidP="00002F58">
      <w:pPr>
        <w:rPr>
          <w:szCs w:val="24"/>
          <w:rtl/>
        </w:rPr>
      </w:pPr>
      <w:r>
        <w:rPr>
          <w:szCs w:val="24"/>
          <w:rtl/>
        </w:rPr>
        <w:t xml:space="preserve"> </w:t>
      </w:r>
    </w:p>
    <w:p w14:paraId="1F90C960" w14:textId="77777777" w:rsidR="00002F58" w:rsidRDefault="00002F58" w:rsidP="00002F58">
      <w:pPr>
        <w:ind w:left="720" w:hanging="360"/>
        <w:rPr>
          <w:rtl/>
        </w:rPr>
      </w:pPr>
      <w:r>
        <w:rPr>
          <w:rFonts w:hint="cs"/>
          <w:rtl/>
        </w:rPr>
        <w:t>1.</w:t>
      </w:r>
      <w:r>
        <w:rPr>
          <w:rFonts w:hint="cs"/>
          <w:rtl/>
        </w:rPr>
        <w:tab/>
      </w:r>
      <w:bookmarkStart w:id="6" w:name="ABSTRACT_START"/>
      <w:bookmarkEnd w:id="6"/>
      <w:r>
        <w:rPr>
          <w:rFonts w:hint="cs"/>
          <w:rtl/>
        </w:rPr>
        <w:t xml:space="preserve">הנאשם הורשע על פי הודאתו בביצוע עבירה של החזקת סמים לצריכה עצמית  בניגוד לסעיף </w:t>
      </w:r>
      <w:hyperlink r:id="rId11" w:history="1">
        <w:r w:rsidR="00F9729F" w:rsidRPr="00F9729F">
          <w:rPr>
            <w:color w:val="0000FF"/>
            <w:u w:val="single"/>
            <w:rtl/>
          </w:rPr>
          <w:t>7 (א) _7 (ג)</w:t>
        </w:r>
      </w:hyperlink>
      <w:r>
        <w:rPr>
          <w:rFonts w:hint="cs"/>
          <w:rtl/>
        </w:rPr>
        <w:t xml:space="preserve"> סיפא, ל</w:t>
      </w:r>
      <w:hyperlink r:id="rId12" w:history="1">
        <w:r w:rsidR="00AA2630" w:rsidRPr="00AA2630">
          <w:rPr>
            <w:color w:val="0000FF"/>
            <w:u w:val="single"/>
            <w:rtl/>
          </w:rPr>
          <w:t>פקודת הסמים המסוכנים</w:t>
        </w:r>
      </w:hyperlink>
      <w:r>
        <w:rPr>
          <w:rFonts w:hint="cs"/>
          <w:rtl/>
        </w:rPr>
        <w:t xml:space="preserve"> (נוסח משולב) תשל"ג- 1973. </w:t>
      </w:r>
    </w:p>
    <w:p w14:paraId="108A23AC" w14:textId="77777777" w:rsidR="00002F58" w:rsidRDefault="00002F58" w:rsidP="00002F58">
      <w:pPr>
        <w:rPr>
          <w:rtl/>
        </w:rPr>
      </w:pPr>
      <w:bookmarkStart w:id="7" w:name="ABSTRACT_END"/>
      <w:bookmarkEnd w:id="7"/>
    </w:p>
    <w:p w14:paraId="1E872F04" w14:textId="77777777" w:rsidR="00002F58" w:rsidRDefault="00002F58" w:rsidP="00002F58">
      <w:pPr>
        <w:ind w:left="720" w:hanging="360"/>
        <w:rPr>
          <w:rtl/>
        </w:rPr>
      </w:pPr>
      <w:r>
        <w:rPr>
          <w:rFonts w:hint="cs"/>
          <w:rtl/>
        </w:rPr>
        <w:t>2.</w:t>
      </w:r>
      <w:r>
        <w:rPr>
          <w:rFonts w:hint="cs"/>
          <w:rtl/>
        </w:rPr>
        <w:tab/>
        <w:t>על פי עובדות כתב האישום ביום  3.10.12, החזיק הנאשם בדירתו ובחצר ביתו, סמים מסוג קאנבוס במשקל כולל של 364 גרם לערך נטו וזאת ללא היתר כדין.</w:t>
      </w:r>
    </w:p>
    <w:p w14:paraId="43236267" w14:textId="77777777" w:rsidR="00002F58" w:rsidRDefault="00002F58" w:rsidP="00002F58">
      <w:pPr>
        <w:ind w:firstLine="360"/>
        <w:rPr>
          <w:rtl/>
        </w:rPr>
      </w:pPr>
    </w:p>
    <w:p w14:paraId="3F82DADE" w14:textId="77777777" w:rsidR="00002F58" w:rsidRDefault="00002F58" w:rsidP="00002F58">
      <w:pPr>
        <w:ind w:left="720" w:hanging="360"/>
        <w:rPr>
          <w:rtl/>
        </w:rPr>
      </w:pPr>
      <w:r>
        <w:rPr>
          <w:rFonts w:hint="cs"/>
          <w:rtl/>
        </w:rPr>
        <w:t>3.</w:t>
      </w:r>
      <w:r>
        <w:rPr>
          <w:rFonts w:hint="cs"/>
          <w:rtl/>
        </w:rPr>
        <w:tab/>
        <w:t xml:space="preserve">הנאשם יליד  1978  ולחובתו שתי הרשעות קודמות, האחרונה בגין עבירה של החזקת סמים לצריכה עצמית, עבירה שבוצעה בשנת 2008. </w:t>
      </w:r>
    </w:p>
    <w:p w14:paraId="1A133B23" w14:textId="77777777" w:rsidR="00002F58" w:rsidRDefault="00002F58" w:rsidP="00002F58">
      <w:pPr>
        <w:ind w:left="720" w:hanging="360"/>
        <w:rPr>
          <w:rtl/>
        </w:rPr>
      </w:pPr>
    </w:p>
    <w:p w14:paraId="6ED061F0" w14:textId="77777777" w:rsidR="00002F58" w:rsidRDefault="00002F58" w:rsidP="00002F58">
      <w:pPr>
        <w:ind w:left="720" w:hanging="360"/>
        <w:rPr>
          <w:rtl/>
        </w:rPr>
      </w:pPr>
      <w:r>
        <w:rPr>
          <w:rFonts w:hint="cs"/>
          <w:rtl/>
        </w:rPr>
        <w:t>4.</w:t>
      </w:r>
      <w:r>
        <w:rPr>
          <w:rFonts w:hint="cs"/>
          <w:rtl/>
        </w:rPr>
        <w:tab/>
        <w:t xml:space="preserve">מונחים בפני תסקירי שירות המבחן. שירות המבחן התרשם מאדם בעל יכולות קוגניטיביות טובות, בשל אי בהירות ביחס לצריכת סמים, המליץ שירות המבחן על שילובו של הנאשם, בטיפול ביחידה להתמכרויות. </w:t>
      </w:r>
    </w:p>
    <w:p w14:paraId="4B4A252E" w14:textId="77777777" w:rsidR="00002F58" w:rsidRDefault="00002F58" w:rsidP="00002F58">
      <w:pPr>
        <w:ind w:left="720" w:hanging="360"/>
        <w:rPr>
          <w:rtl/>
        </w:rPr>
      </w:pPr>
    </w:p>
    <w:p w14:paraId="76812C40" w14:textId="77777777" w:rsidR="00002F58" w:rsidRDefault="00002F58" w:rsidP="00002F58">
      <w:pPr>
        <w:ind w:left="720" w:hanging="360"/>
        <w:rPr>
          <w:rtl/>
        </w:rPr>
      </w:pPr>
      <w:r>
        <w:rPr>
          <w:rFonts w:hint="cs"/>
          <w:rtl/>
        </w:rPr>
        <w:t>5.</w:t>
      </w:r>
      <w:r>
        <w:rPr>
          <w:rFonts w:hint="cs"/>
          <w:rtl/>
        </w:rPr>
        <w:tab/>
        <w:t>מהתסקיר עולה כי הנאשם טופל במשך כשמונה חודשים החל מאפריל 2016, במסגרת היחידה להתמכרויות. בבדיקה ראשונה נמצאו שרידי סם וביתר הבדיקות לא נמצאו שרידי סם. לדברי ב"כ הנאשם, השרידים שנמצאו בבדיקה הראשונה הן בשל התרופות שלוקח הנאשם ומאז הוא נמנע בלקיחת התרופות.</w:t>
      </w:r>
    </w:p>
    <w:p w14:paraId="548B8B95" w14:textId="77777777" w:rsidR="00002F58" w:rsidRDefault="00002F58" w:rsidP="00002F58">
      <w:pPr>
        <w:ind w:left="720" w:hanging="360"/>
        <w:rPr>
          <w:rtl/>
        </w:rPr>
      </w:pPr>
    </w:p>
    <w:p w14:paraId="0876C88C" w14:textId="77777777" w:rsidR="00002F58" w:rsidRDefault="00002F58" w:rsidP="00002F58">
      <w:pPr>
        <w:ind w:left="720" w:hanging="360"/>
        <w:rPr>
          <w:rtl/>
        </w:rPr>
      </w:pPr>
      <w:r>
        <w:rPr>
          <w:rFonts w:hint="cs"/>
          <w:rtl/>
        </w:rPr>
        <w:t>6.</w:t>
      </w:r>
      <w:r>
        <w:rPr>
          <w:rFonts w:hint="cs"/>
          <w:rtl/>
        </w:rPr>
        <w:tab/>
        <w:t xml:space="preserve">בשנים האחרונות עבר הנאשם שינוי מקצה לקצה במישור האישי, הוא חי בזוגיות, נולדו לו שלוש בנות. </w:t>
      </w:r>
    </w:p>
    <w:p w14:paraId="4FF8482C" w14:textId="77777777" w:rsidR="00002F58" w:rsidRDefault="00002F58" w:rsidP="00002F58">
      <w:pPr>
        <w:ind w:left="720" w:hanging="360"/>
        <w:rPr>
          <w:rtl/>
        </w:rPr>
      </w:pPr>
    </w:p>
    <w:p w14:paraId="02F5AB5C" w14:textId="77777777" w:rsidR="00002F58" w:rsidRDefault="00002F58" w:rsidP="00002F58">
      <w:pPr>
        <w:ind w:left="720" w:hanging="360"/>
        <w:rPr>
          <w:rtl/>
        </w:rPr>
      </w:pPr>
      <w:r>
        <w:rPr>
          <w:rFonts w:hint="cs"/>
          <w:rtl/>
        </w:rPr>
        <w:t>7.</w:t>
      </w:r>
      <w:r>
        <w:rPr>
          <w:rFonts w:hint="cs"/>
          <w:rtl/>
        </w:rPr>
        <w:tab/>
        <w:t>שירות המבחן בשל העדר מוטיבציה אישית לבחון לעומק את נסיבות המעורבות בפליליים, לא ראה מקום להמליץ על המשך התערבות טיפולית במסגרת צו מבחן.  שירות המבחן התרשם כי ההליך המשפטי, היה בעל השפעה מרתיעה וכי לאור הזמן הרב שחלף, המליץ על ענישה בדמות מאסר מותנה וקנס כספי, ענישה שתחדד גבולות חוק  ואת המחיר למאסר.</w:t>
      </w:r>
    </w:p>
    <w:p w14:paraId="25BBA710" w14:textId="77777777" w:rsidR="00002F58" w:rsidRDefault="00002F58" w:rsidP="00002F58">
      <w:pPr>
        <w:ind w:left="720" w:hanging="360"/>
        <w:rPr>
          <w:rtl/>
        </w:rPr>
      </w:pPr>
    </w:p>
    <w:p w14:paraId="2B04E4F6" w14:textId="77777777" w:rsidR="00002F58" w:rsidRDefault="00002F58" w:rsidP="00002F58">
      <w:pPr>
        <w:ind w:left="720" w:hanging="360"/>
        <w:rPr>
          <w:rtl/>
        </w:rPr>
      </w:pPr>
      <w:r>
        <w:rPr>
          <w:rFonts w:hint="cs"/>
          <w:rtl/>
        </w:rPr>
        <w:t>8.</w:t>
      </w:r>
      <w:r>
        <w:rPr>
          <w:rFonts w:hint="cs"/>
          <w:rtl/>
        </w:rPr>
        <w:tab/>
        <w:t>בפתח הדיון היום הציגו הצדדים הסדר, אשר כעקרון מאמץ את המלצת שירות המבחן, אלא שרכיב אחד  בהסדר אינו בהסכמה והותר לשיקול בית המשפט, והכוונה היא לרכיב הפסילה בפועל. כמו כן, הצדדים הסכימו להעמדת הנאשם במבחן, למרות ששירות המבחן לא מצא להמליץ על כך.</w:t>
      </w:r>
    </w:p>
    <w:p w14:paraId="75D07B2B" w14:textId="77777777" w:rsidR="00002F58" w:rsidRDefault="00002F58" w:rsidP="00002F58">
      <w:pPr>
        <w:ind w:left="720" w:hanging="360"/>
        <w:rPr>
          <w:rtl/>
        </w:rPr>
      </w:pPr>
    </w:p>
    <w:p w14:paraId="5A121D9A" w14:textId="77777777" w:rsidR="00002F58" w:rsidRDefault="00002F58" w:rsidP="00002F58">
      <w:pPr>
        <w:ind w:left="720"/>
        <w:rPr>
          <w:rtl/>
        </w:rPr>
      </w:pPr>
      <w:r>
        <w:rPr>
          <w:rFonts w:hint="cs"/>
          <w:rtl/>
        </w:rPr>
        <w:t>ב"כ הנאשם עתר להימנע מפסילה, הן לאור חלוף הזמן והן לאור העובדה שהנאשם זקוק לרישיונו כדי להמשיך בהליך השיקום בו החל ולשמור על יציבות במסגרת התא המשפחתי והתעסוקה.</w:t>
      </w:r>
    </w:p>
    <w:p w14:paraId="040675E4" w14:textId="77777777" w:rsidR="00002F58" w:rsidRDefault="00002F58" w:rsidP="00002F58">
      <w:pPr>
        <w:ind w:left="720" w:hanging="360"/>
        <w:rPr>
          <w:rtl/>
        </w:rPr>
      </w:pPr>
    </w:p>
    <w:p w14:paraId="06E5503F" w14:textId="77777777" w:rsidR="00002F58" w:rsidRDefault="00002F58" w:rsidP="00002F58">
      <w:pPr>
        <w:ind w:left="720" w:hanging="360"/>
        <w:rPr>
          <w:rtl/>
        </w:rPr>
      </w:pPr>
      <w:r>
        <w:rPr>
          <w:rFonts w:hint="cs"/>
          <w:rtl/>
        </w:rPr>
        <w:tab/>
        <w:t xml:space="preserve">ב"כ המאשימה עתרה להטיל רכיב של פסילה לאור חומרת העבירה. </w:t>
      </w:r>
    </w:p>
    <w:p w14:paraId="26443F01" w14:textId="77777777" w:rsidR="00002F58" w:rsidRDefault="00002F58" w:rsidP="00002F58">
      <w:pPr>
        <w:ind w:left="720" w:hanging="360"/>
        <w:rPr>
          <w:rtl/>
        </w:rPr>
      </w:pPr>
    </w:p>
    <w:p w14:paraId="2331D318" w14:textId="77777777" w:rsidR="00002F58" w:rsidRDefault="00002F58" w:rsidP="00002F58">
      <w:pPr>
        <w:ind w:left="720" w:hanging="360"/>
        <w:rPr>
          <w:rtl/>
        </w:rPr>
      </w:pPr>
      <w:r>
        <w:rPr>
          <w:rFonts w:hint="cs"/>
          <w:rtl/>
        </w:rPr>
        <w:t>9.</w:t>
      </w:r>
      <w:r>
        <w:rPr>
          <w:rFonts w:hint="cs"/>
          <w:rtl/>
        </w:rPr>
        <w:tab/>
        <w:t>דין והלכה פסוקה הם כי, ככלל, יכבד בית המשפט את ההסכמות אליהן הגיעו הצדדים במסגרת הסדר טיעון, וזאת כל עוד שיקולי התביעה סבירים וההסדר מאזן באופן ראוי את האינטרסים שעל הפרק.</w:t>
      </w:r>
    </w:p>
    <w:p w14:paraId="497C0F5E" w14:textId="77777777" w:rsidR="00002F58" w:rsidRDefault="00002F58" w:rsidP="00002F58">
      <w:pPr>
        <w:ind w:left="720" w:hanging="360"/>
        <w:rPr>
          <w:rtl/>
        </w:rPr>
      </w:pPr>
    </w:p>
    <w:p w14:paraId="37666636" w14:textId="77777777" w:rsidR="00002F58" w:rsidRDefault="00002F58" w:rsidP="00002F58">
      <w:pPr>
        <w:ind w:left="720" w:hanging="360"/>
        <w:rPr>
          <w:rtl/>
        </w:rPr>
      </w:pPr>
      <w:r>
        <w:rPr>
          <w:rFonts w:hint="cs"/>
          <w:rtl/>
        </w:rPr>
        <w:lastRenderedPageBreak/>
        <w:t>10.</w:t>
      </w:r>
      <w:r>
        <w:rPr>
          <w:rFonts w:hint="cs"/>
          <w:rtl/>
        </w:rPr>
        <w:tab/>
        <w:t>לאחר ששקלתי את מכלול השיקולים, את העובדה שהנאשם בחר לקחת אחריות ולהודות באשמה בהזדמנות ראשונה, את עברו הפלילי, את טיעוני הצדדים לעונש, את המלצת שירות המבחן, מצאתי כי ההסדר סביר ומאוזן, הגם שנמצא ברף התחתון של מתחם העונש ההולם, על כן מצאתי לנכון לכבד את ההסדר.</w:t>
      </w:r>
    </w:p>
    <w:p w14:paraId="6E6BF005" w14:textId="77777777" w:rsidR="00002F58" w:rsidRDefault="00002F58" w:rsidP="00002F58">
      <w:pPr>
        <w:ind w:left="720" w:hanging="360"/>
        <w:rPr>
          <w:b/>
          <w:bCs/>
          <w:u w:val="single"/>
          <w:rtl/>
        </w:rPr>
      </w:pPr>
    </w:p>
    <w:p w14:paraId="3DE3D7D1" w14:textId="77777777" w:rsidR="00002F58" w:rsidRDefault="00002F58" w:rsidP="00002F58">
      <w:pPr>
        <w:ind w:left="720" w:hanging="720"/>
        <w:rPr>
          <w:rtl/>
        </w:rPr>
      </w:pPr>
      <w:r>
        <w:rPr>
          <w:rFonts w:hint="cs"/>
          <w:rtl/>
        </w:rPr>
        <w:t>11.</w:t>
      </w:r>
      <w:r>
        <w:rPr>
          <w:rFonts w:hint="cs"/>
          <w:rtl/>
        </w:rPr>
        <w:tab/>
        <w:t xml:space="preserve">באשר לרכיב הפסילה, המחוקק בסעיף </w:t>
      </w:r>
      <w:hyperlink r:id="rId13" w:history="1">
        <w:r w:rsidR="00F9729F" w:rsidRPr="00F9729F">
          <w:rPr>
            <w:color w:val="0000FF"/>
            <w:u w:val="single"/>
            <w:rtl/>
          </w:rPr>
          <w:t>37 א'</w:t>
        </w:r>
      </w:hyperlink>
      <w:r>
        <w:rPr>
          <w:rFonts w:hint="cs"/>
          <w:rtl/>
        </w:rPr>
        <w:t xml:space="preserve"> ל</w:t>
      </w:r>
      <w:hyperlink r:id="rId14" w:history="1">
        <w:r w:rsidR="00AA2630" w:rsidRPr="00AA2630">
          <w:rPr>
            <w:color w:val="0000FF"/>
            <w:u w:val="single"/>
            <w:rtl/>
          </w:rPr>
          <w:t>פקודת הסמים המסוכנים</w:t>
        </w:r>
      </w:hyperlink>
      <w:r>
        <w:rPr>
          <w:rFonts w:hint="cs"/>
          <w:rtl/>
        </w:rPr>
        <w:t xml:space="preserve"> [נוסח חדש] תשל"ג </w:t>
      </w:r>
      <w:r>
        <w:rPr>
          <w:rtl/>
        </w:rPr>
        <w:t>–</w:t>
      </w:r>
      <w:r>
        <w:rPr>
          <w:rFonts w:hint="cs"/>
          <w:rtl/>
        </w:rPr>
        <w:t xml:space="preserve"> 1973, קבע כי אדם שהורשע בעבירה זו יפסל למשך שנתיים. אולם המחוקק השאיר לשיקול דעת בית המשפט, בנסיבות מיוחדות שיפורטו בפסק הדין, שלא לפסול אותו כאמור או להורות על פסילה קצרה יותר. </w:t>
      </w:r>
    </w:p>
    <w:p w14:paraId="68DB4B42" w14:textId="77777777" w:rsidR="00002F58" w:rsidRDefault="00002F58" w:rsidP="00002F58">
      <w:pPr>
        <w:ind w:left="720"/>
        <w:rPr>
          <w:rtl/>
        </w:rPr>
      </w:pPr>
      <w:r>
        <w:rPr>
          <w:rFonts w:hint="cs"/>
          <w:rtl/>
        </w:rPr>
        <w:t>לאחר שמעתי את טיעוני ההגנה, הגעתי לכלל מסקנה כי הנסיבות שהוצגו מצדיקות הפחתה משמעותית בעונש הפסילה שנקבע בחוק, עם זאת, אין להימנע כלל ברכיב של פסילה, בפרט לאור כמות של הסמים שהוחזקו (364 גרם נטו).</w:t>
      </w:r>
    </w:p>
    <w:p w14:paraId="3FE3171E" w14:textId="77777777" w:rsidR="00002F58" w:rsidRDefault="00002F58" w:rsidP="00002F58">
      <w:pPr>
        <w:ind w:left="720"/>
        <w:rPr>
          <w:rtl/>
        </w:rPr>
      </w:pPr>
    </w:p>
    <w:p w14:paraId="05FAA235" w14:textId="77777777" w:rsidR="00002F58" w:rsidRDefault="00002F58" w:rsidP="00002F58">
      <w:pPr>
        <w:ind w:left="720"/>
        <w:rPr>
          <w:rtl/>
        </w:rPr>
      </w:pPr>
    </w:p>
    <w:p w14:paraId="7B2D8997" w14:textId="77777777" w:rsidR="00002F58" w:rsidRDefault="00002F58" w:rsidP="00002F58">
      <w:pPr>
        <w:ind w:left="720"/>
        <w:rPr>
          <w:rtl/>
        </w:rPr>
      </w:pPr>
    </w:p>
    <w:p w14:paraId="1D046ADB" w14:textId="77777777" w:rsidR="00002F58" w:rsidRDefault="00002F58" w:rsidP="00002F58">
      <w:pPr>
        <w:ind w:left="720"/>
        <w:rPr>
          <w:rtl/>
        </w:rPr>
      </w:pPr>
    </w:p>
    <w:p w14:paraId="4D8416EB" w14:textId="77777777" w:rsidR="00002F58" w:rsidRDefault="00002F58" w:rsidP="00002F58">
      <w:pPr>
        <w:ind w:left="720" w:hanging="360"/>
        <w:rPr>
          <w:rtl/>
        </w:rPr>
      </w:pPr>
      <w:r>
        <w:rPr>
          <w:rFonts w:hint="cs"/>
          <w:b/>
          <w:bCs/>
          <w:u w:val="single"/>
          <w:rtl/>
        </w:rPr>
        <w:t>12.</w:t>
      </w:r>
      <w:r>
        <w:rPr>
          <w:rFonts w:hint="cs"/>
          <w:b/>
          <w:bCs/>
          <w:u w:val="single"/>
          <w:rtl/>
        </w:rPr>
        <w:tab/>
        <w:t>לאור כל האמור , אני גוזרת על הנאשם את העונשים הבאים:</w:t>
      </w:r>
    </w:p>
    <w:p w14:paraId="5F701A86" w14:textId="77777777" w:rsidR="00002F58" w:rsidRDefault="00002F58" w:rsidP="00002F58">
      <w:pPr>
        <w:rPr>
          <w:b/>
          <w:bCs/>
          <w:rtl/>
        </w:rPr>
      </w:pPr>
    </w:p>
    <w:p w14:paraId="6AB668C2" w14:textId="77777777" w:rsidR="00002F58" w:rsidRDefault="00002F58" w:rsidP="00002F58">
      <w:pPr>
        <w:pStyle w:val="ListParagraph"/>
        <w:numPr>
          <w:ilvl w:val="0"/>
          <w:numId w:val="1"/>
        </w:numPr>
        <w:spacing w:line="360" w:lineRule="auto"/>
        <w:jc w:val="both"/>
        <w:rPr>
          <w:sz w:val="24"/>
        </w:rPr>
      </w:pPr>
      <w:r>
        <w:rPr>
          <w:rFonts w:hint="cs"/>
          <w:sz w:val="24"/>
          <w:rtl/>
        </w:rPr>
        <w:t>גוזרת על הנאשם  12   חודשי מאסר אשר ירוצו במידה והנאשם יעבור עבירה מסוג פשע בניגוד ל</w:t>
      </w:r>
      <w:hyperlink r:id="rId15" w:history="1">
        <w:r w:rsidR="00AA2630" w:rsidRPr="00AA2630">
          <w:rPr>
            <w:color w:val="0000FF"/>
            <w:sz w:val="24"/>
            <w:u w:val="single"/>
            <w:rtl/>
          </w:rPr>
          <w:t>פקודת הסמים המסוכנים</w:t>
        </w:r>
      </w:hyperlink>
      <w:r>
        <w:rPr>
          <w:rFonts w:hint="cs"/>
          <w:sz w:val="24"/>
          <w:rtl/>
        </w:rPr>
        <w:t xml:space="preserve"> תשל"ג </w:t>
      </w:r>
      <w:r>
        <w:rPr>
          <w:sz w:val="24"/>
          <w:rtl/>
        </w:rPr>
        <w:t>–</w:t>
      </w:r>
      <w:r>
        <w:rPr>
          <w:rFonts w:hint="cs"/>
          <w:sz w:val="24"/>
          <w:rtl/>
        </w:rPr>
        <w:t xml:space="preserve"> 1973 תוך 3 שנים מהיום.</w:t>
      </w:r>
    </w:p>
    <w:p w14:paraId="72DDD1C2" w14:textId="77777777" w:rsidR="00002F58" w:rsidRDefault="00002F58" w:rsidP="00002F58">
      <w:pPr>
        <w:pStyle w:val="ListParagraph"/>
        <w:spacing w:line="360" w:lineRule="auto"/>
        <w:jc w:val="both"/>
        <w:rPr>
          <w:sz w:val="24"/>
        </w:rPr>
      </w:pPr>
    </w:p>
    <w:p w14:paraId="42C50646" w14:textId="77777777" w:rsidR="00002F58" w:rsidRDefault="00002F58" w:rsidP="00002F58">
      <w:pPr>
        <w:pStyle w:val="ListParagraph"/>
        <w:numPr>
          <w:ilvl w:val="0"/>
          <w:numId w:val="1"/>
        </w:numPr>
        <w:spacing w:line="360" w:lineRule="auto"/>
        <w:jc w:val="both"/>
        <w:rPr>
          <w:sz w:val="24"/>
        </w:rPr>
      </w:pPr>
      <w:r>
        <w:rPr>
          <w:rFonts w:hint="cs"/>
          <w:sz w:val="24"/>
          <w:rtl/>
        </w:rPr>
        <w:t>גוזרת על הנאשם  6   חודשי מאסר אשר ירוצו במידה והנאשם יעבור עבירה מסוג עוון בניגוד ל</w:t>
      </w:r>
      <w:hyperlink r:id="rId16" w:history="1">
        <w:r w:rsidR="00AA2630" w:rsidRPr="00AA2630">
          <w:rPr>
            <w:color w:val="0000FF"/>
            <w:sz w:val="24"/>
            <w:u w:val="single"/>
            <w:rtl/>
          </w:rPr>
          <w:t>פקודת הסמים המסוכנים</w:t>
        </w:r>
      </w:hyperlink>
      <w:r>
        <w:rPr>
          <w:rFonts w:hint="cs"/>
          <w:sz w:val="24"/>
          <w:rtl/>
        </w:rPr>
        <w:t xml:space="preserve"> תשל"ג </w:t>
      </w:r>
      <w:r>
        <w:rPr>
          <w:sz w:val="24"/>
          <w:rtl/>
        </w:rPr>
        <w:t>–</w:t>
      </w:r>
      <w:r>
        <w:rPr>
          <w:rFonts w:hint="cs"/>
          <w:sz w:val="24"/>
          <w:rtl/>
        </w:rPr>
        <w:t xml:space="preserve"> 1973 תוך 3 שנים מהיום.</w:t>
      </w:r>
    </w:p>
    <w:p w14:paraId="1B8E7C94" w14:textId="77777777" w:rsidR="00002F58" w:rsidRPr="0041665B" w:rsidRDefault="00002F58" w:rsidP="00002F58">
      <w:pPr>
        <w:pStyle w:val="ListParagraph"/>
        <w:spacing w:line="360" w:lineRule="auto"/>
        <w:jc w:val="both"/>
        <w:rPr>
          <w:sz w:val="24"/>
          <w:rtl/>
        </w:rPr>
      </w:pPr>
    </w:p>
    <w:p w14:paraId="444E08BD" w14:textId="77777777" w:rsidR="00002F58" w:rsidRDefault="00002F58" w:rsidP="00002F58">
      <w:pPr>
        <w:pStyle w:val="ListParagraph"/>
        <w:numPr>
          <w:ilvl w:val="0"/>
          <w:numId w:val="1"/>
        </w:numPr>
        <w:spacing w:line="360" w:lineRule="auto"/>
        <w:jc w:val="both"/>
        <w:rPr>
          <w:sz w:val="24"/>
          <w:rtl/>
        </w:rPr>
      </w:pPr>
      <w:r>
        <w:rPr>
          <w:rFonts w:hint="cs"/>
          <w:sz w:val="24"/>
          <w:rtl/>
        </w:rPr>
        <w:t>קנס בסך 3,000  ₪ או   30  ימי מאסר תמורתו.</w:t>
      </w:r>
    </w:p>
    <w:p w14:paraId="00B225BD" w14:textId="77777777" w:rsidR="00002F58" w:rsidRDefault="00002F58" w:rsidP="00002F58">
      <w:pPr>
        <w:pStyle w:val="ListParagraph"/>
        <w:spacing w:line="360" w:lineRule="auto"/>
        <w:jc w:val="both"/>
        <w:rPr>
          <w:sz w:val="24"/>
          <w:rtl/>
        </w:rPr>
      </w:pPr>
      <w:r>
        <w:rPr>
          <w:rFonts w:hint="cs"/>
          <w:sz w:val="24"/>
          <w:rtl/>
        </w:rPr>
        <w:t>הקנס ישולם ב- 10 תשלומים חודשיים רצופים ושווים תשלום ראשון לא יאוחר מיום 1.3.17.</w:t>
      </w:r>
    </w:p>
    <w:p w14:paraId="4D5E666D" w14:textId="77777777" w:rsidR="00002F58" w:rsidRPr="0041665B" w:rsidRDefault="00002F58" w:rsidP="00002F58">
      <w:pPr>
        <w:pStyle w:val="ListParagraph"/>
        <w:spacing w:line="360" w:lineRule="auto"/>
        <w:jc w:val="both"/>
        <w:rPr>
          <w:sz w:val="24"/>
          <w:rtl/>
        </w:rPr>
      </w:pPr>
    </w:p>
    <w:p w14:paraId="398C483A" w14:textId="77777777" w:rsidR="00002F58" w:rsidRPr="0041665B" w:rsidRDefault="00002F58" w:rsidP="00002F58">
      <w:pPr>
        <w:pStyle w:val="ListParagraph"/>
        <w:numPr>
          <w:ilvl w:val="0"/>
          <w:numId w:val="1"/>
        </w:numPr>
        <w:spacing w:line="360" w:lineRule="auto"/>
        <w:jc w:val="both"/>
        <w:rPr>
          <w:sz w:val="24"/>
          <w:rtl/>
        </w:rPr>
      </w:pPr>
      <w:bookmarkStart w:id="8" w:name="סוג_מסמך"/>
      <w:r w:rsidRPr="0041665B">
        <w:rPr>
          <w:rFonts w:hint="cs"/>
          <w:sz w:val="24"/>
          <w:rtl/>
        </w:rPr>
        <w:t>פסילה בפועל מקבל או מהחזיק רשיון נהיגה לתקופה של  3 חודשים.</w:t>
      </w:r>
    </w:p>
    <w:p w14:paraId="55BBBC33" w14:textId="77777777" w:rsidR="00002F58" w:rsidRPr="0041665B" w:rsidRDefault="00002F58" w:rsidP="00002F58">
      <w:pPr>
        <w:pStyle w:val="ListParagraph"/>
        <w:spacing w:line="360" w:lineRule="auto"/>
        <w:jc w:val="both"/>
        <w:rPr>
          <w:sz w:val="24"/>
          <w:rtl/>
        </w:rPr>
      </w:pPr>
      <w:r w:rsidRPr="0041665B">
        <w:rPr>
          <w:rFonts w:hint="cs"/>
          <w:sz w:val="24"/>
          <w:rtl/>
        </w:rPr>
        <w:t xml:space="preserve">הפסילה בפועל תחל לא יאוחר מיום 1.4.17. </w:t>
      </w:r>
    </w:p>
    <w:p w14:paraId="1E2FD648" w14:textId="77777777" w:rsidR="00002F58" w:rsidRPr="0041665B" w:rsidRDefault="00002F58" w:rsidP="00002F58">
      <w:pPr>
        <w:pStyle w:val="ListParagraph"/>
        <w:spacing w:line="360" w:lineRule="auto"/>
        <w:jc w:val="both"/>
        <w:rPr>
          <w:sz w:val="24"/>
          <w:rtl/>
        </w:rPr>
      </w:pPr>
      <w:r w:rsidRPr="0041665B">
        <w:rPr>
          <w:rFonts w:hint="cs"/>
          <w:sz w:val="24"/>
          <w:rtl/>
        </w:rPr>
        <w:t>על הנאשם להפקיד רשיון הנהיגה במזכירות בית המשפט השלום בקרית גת לא יאוחר משעה 13:00 באותו מועד.</w:t>
      </w:r>
    </w:p>
    <w:p w14:paraId="2C3C5542" w14:textId="77777777" w:rsidR="00002F58" w:rsidRPr="0041665B" w:rsidRDefault="00002F58" w:rsidP="00002F58">
      <w:pPr>
        <w:pStyle w:val="ListParagraph"/>
        <w:spacing w:line="360" w:lineRule="auto"/>
        <w:jc w:val="both"/>
        <w:rPr>
          <w:sz w:val="24"/>
          <w:rtl/>
        </w:rPr>
      </w:pPr>
      <w:r w:rsidRPr="0041665B">
        <w:rPr>
          <w:rFonts w:hint="cs"/>
          <w:sz w:val="24"/>
          <w:rtl/>
        </w:rPr>
        <w:tab/>
      </w:r>
    </w:p>
    <w:p w14:paraId="219F9B4C" w14:textId="77777777" w:rsidR="00002F58" w:rsidRPr="0041665B" w:rsidRDefault="00002F58" w:rsidP="00002F58">
      <w:pPr>
        <w:pStyle w:val="ListParagraph"/>
        <w:spacing w:line="360" w:lineRule="auto"/>
        <w:jc w:val="both"/>
        <w:rPr>
          <w:sz w:val="24"/>
          <w:rtl/>
        </w:rPr>
      </w:pPr>
      <w:r w:rsidRPr="0041665B">
        <w:rPr>
          <w:rFonts w:hint="cs"/>
          <w:sz w:val="24"/>
          <w:rtl/>
        </w:rPr>
        <w:t>מוסבר לנאשם שהוא חייב להפקיד את רשיון הנהיגה במזכירות בית המשפט. לא יופקד הר</w:t>
      </w:r>
      <w:r>
        <w:rPr>
          <w:rFonts w:hint="cs"/>
          <w:sz w:val="24"/>
          <w:rtl/>
        </w:rPr>
        <w:t>י</w:t>
      </w:r>
      <w:r w:rsidRPr="0041665B">
        <w:rPr>
          <w:rFonts w:hint="cs"/>
          <w:sz w:val="24"/>
          <w:rtl/>
        </w:rPr>
        <w:t xml:space="preserve">שיון, הוא יחשב כפסול מלנהוג מיום 1.4.17  אך הפסילה לא תימנה ולכן לא תסתיים.  </w:t>
      </w:r>
      <w:bookmarkEnd w:id="8"/>
    </w:p>
    <w:p w14:paraId="03156FAE" w14:textId="77777777" w:rsidR="00002F58" w:rsidRPr="0041665B" w:rsidRDefault="00002F58" w:rsidP="00002F58">
      <w:pPr>
        <w:pStyle w:val="ListParagraph"/>
        <w:spacing w:line="360" w:lineRule="auto"/>
        <w:jc w:val="both"/>
        <w:rPr>
          <w:sz w:val="24"/>
          <w:rtl/>
        </w:rPr>
      </w:pPr>
    </w:p>
    <w:p w14:paraId="686A1B1C" w14:textId="77777777" w:rsidR="00002F58" w:rsidRDefault="00002F58" w:rsidP="00002F58">
      <w:pPr>
        <w:pStyle w:val="ListParagraph"/>
        <w:numPr>
          <w:ilvl w:val="0"/>
          <w:numId w:val="1"/>
        </w:numPr>
        <w:spacing w:line="360" w:lineRule="auto"/>
        <w:jc w:val="both"/>
        <w:rPr>
          <w:sz w:val="24"/>
        </w:rPr>
      </w:pPr>
      <w:r w:rsidRPr="0041665B">
        <w:rPr>
          <w:rFonts w:hint="cs"/>
          <w:sz w:val="24"/>
          <w:rtl/>
        </w:rPr>
        <w:t>פסילה מלהחזיק ומלקבל רישיון נהיגה לתקופה של 12 חודשים וזאת על תנאי למשך 2 שנים שהנאשם לא יעבור עבירה בניגוד ל</w:t>
      </w:r>
      <w:hyperlink r:id="rId17" w:history="1">
        <w:r w:rsidR="00AA2630" w:rsidRPr="00AA2630">
          <w:rPr>
            <w:color w:val="0000FF"/>
            <w:sz w:val="24"/>
            <w:u w:val="single"/>
            <w:rtl/>
          </w:rPr>
          <w:t>פקודת הסמים המסוכנים</w:t>
        </w:r>
      </w:hyperlink>
      <w:r>
        <w:rPr>
          <w:rFonts w:hint="cs"/>
          <w:sz w:val="24"/>
          <w:rtl/>
        </w:rPr>
        <w:t xml:space="preserve"> [נוסח חדש] התשל"ג 1973.</w:t>
      </w:r>
    </w:p>
    <w:p w14:paraId="499EE427" w14:textId="77777777" w:rsidR="00002F58" w:rsidRDefault="00002F58" w:rsidP="00002F58">
      <w:pPr>
        <w:pStyle w:val="ListParagraph"/>
        <w:spacing w:line="360" w:lineRule="auto"/>
        <w:jc w:val="both"/>
        <w:rPr>
          <w:sz w:val="24"/>
          <w:rtl/>
        </w:rPr>
      </w:pPr>
    </w:p>
    <w:p w14:paraId="6FA39AFC" w14:textId="77777777" w:rsidR="00002F58" w:rsidRPr="0011083E" w:rsidRDefault="00002F58" w:rsidP="00002F58">
      <w:pPr>
        <w:ind w:left="720" w:hanging="720"/>
        <w:rPr>
          <w:rFonts w:ascii="Times New Roman" w:eastAsia="Times New Roman" w:hAnsi="Times New Roman"/>
          <w:szCs w:val="24"/>
          <w:rtl/>
          <w:lang w:eastAsia="he-IL"/>
        </w:rPr>
      </w:pPr>
      <w:r w:rsidRPr="0011083E">
        <w:rPr>
          <w:rFonts w:ascii="Times New Roman" w:eastAsia="Times New Roman" w:hAnsi="Times New Roman" w:hint="cs"/>
          <w:szCs w:val="24"/>
          <w:rtl/>
          <w:lang w:eastAsia="he-IL"/>
        </w:rPr>
        <w:t>ו.</w:t>
      </w:r>
      <w:r w:rsidRPr="0011083E">
        <w:rPr>
          <w:rFonts w:ascii="Times New Roman" w:eastAsia="Times New Roman" w:hAnsi="Times New Roman" w:hint="cs"/>
          <w:szCs w:val="24"/>
          <w:rtl/>
          <w:lang w:eastAsia="he-IL"/>
        </w:rPr>
        <w:tab/>
        <w:t>הנני מטילה על הנאשם צו מבחן</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cs"/>
          <w:szCs w:val="24"/>
          <w:rtl/>
          <w:lang w:eastAsia="he-IL"/>
        </w:rPr>
        <w:t>וזאת למשך שנה. הנאשם  ימצא בפיקוח שירות המבחן למשך שנה מהיום. במסגרת המבחן ישולב הנאשם בכל הליך טיפולי ששירות המבחן ימצא לנכון מעת לעת וימסור דגימות שתן, ככל שידרש..</w:t>
      </w:r>
    </w:p>
    <w:p w14:paraId="727DA82F" w14:textId="77777777" w:rsidR="00002F58" w:rsidRPr="0011083E" w:rsidRDefault="00002F58" w:rsidP="00002F58">
      <w:pPr>
        <w:ind w:left="720"/>
        <w:rPr>
          <w:rFonts w:ascii="Times New Roman" w:eastAsia="Times New Roman" w:hAnsi="Times New Roman"/>
          <w:szCs w:val="24"/>
          <w:rtl/>
          <w:lang w:eastAsia="he-IL"/>
        </w:rPr>
      </w:pPr>
      <w:r w:rsidRPr="0011083E">
        <w:rPr>
          <w:rFonts w:ascii="Times New Roman" w:eastAsia="Times New Roman" w:hAnsi="Times New Roman" w:hint="eastAsia"/>
          <w:szCs w:val="24"/>
          <w:rtl/>
          <w:lang w:eastAsia="he-IL"/>
        </w:rPr>
        <w:t>הנאש</w:t>
      </w:r>
      <w:r w:rsidRPr="0011083E">
        <w:rPr>
          <w:rFonts w:ascii="Times New Roman" w:eastAsia="Times New Roman" w:hAnsi="Times New Roman" w:hint="cs"/>
          <w:szCs w:val="24"/>
          <w:rtl/>
          <w:lang w:eastAsia="he-IL"/>
        </w:rPr>
        <w:t xml:space="preserve">ם </w:t>
      </w:r>
      <w:r w:rsidRPr="0011083E">
        <w:rPr>
          <w:rFonts w:ascii="Times New Roman" w:eastAsia="Times New Roman" w:hAnsi="Times New Roman" w:hint="eastAsia"/>
          <w:szCs w:val="24"/>
          <w:rtl/>
          <w:lang w:eastAsia="he-IL"/>
        </w:rPr>
        <w:t>מוזהר</w:t>
      </w:r>
      <w:r w:rsidRPr="0011083E">
        <w:rPr>
          <w:rFonts w:ascii="Times New Roman" w:eastAsia="Times New Roman" w:hAnsi="Times New Roman" w:hint="cs"/>
          <w:szCs w:val="24"/>
          <w:rtl/>
          <w:lang w:eastAsia="he-IL"/>
        </w:rPr>
        <w:t xml:space="preserve"> </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eastAsia"/>
          <w:szCs w:val="24"/>
          <w:rtl/>
          <w:lang w:eastAsia="he-IL"/>
        </w:rPr>
        <w:t>כי</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eastAsia"/>
          <w:szCs w:val="24"/>
          <w:rtl/>
          <w:lang w:eastAsia="he-IL"/>
        </w:rPr>
        <w:t>אם</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eastAsia"/>
          <w:szCs w:val="24"/>
          <w:rtl/>
          <w:lang w:eastAsia="he-IL"/>
        </w:rPr>
        <w:t>לא</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eastAsia"/>
          <w:szCs w:val="24"/>
          <w:rtl/>
          <w:lang w:eastAsia="he-IL"/>
        </w:rPr>
        <w:t>ימולאו</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eastAsia"/>
          <w:szCs w:val="24"/>
          <w:rtl/>
          <w:lang w:eastAsia="he-IL"/>
        </w:rPr>
        <w:t>תנאי</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eastAsia"/>
          <w:szCs w:val="24"/>
          <w:rtl/>
          <w:lang w:eastAsia="he-IL"/>
        </w:rPr>
        <w:t>הצו</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eastAsia"/>
          <w:szCs w:val="24"/>
          <w:rtl/>
          <w:lang w:eastAsia="he-IL"/>
        </w:rPr>
        <w:t>במלואם</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eastAsia"/>
          <w:szCs w:val="24"/>
          <w:rtl/>
          <w:lang w:eastAsia="he-IL"/>
        </w:rPr>
        <w:t>ניתן</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eastAsia"/>
          <w:szCs w:val="24"/>
          <w:rtl/>
          <w:lang w:eastAsia="he-IL"/>
        </w:rPr>
        <w:t>יהיה</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eastAsia"/>
          <w:szCs w:val="24"/>
          <w:rtl/>
          <w:lang w:eastAsia="he-IL"/>
        </w:rPr>
        <w:t>לבטלו</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eastAsia"/>
          <w:szCs w:val="24"/>
          <w:rtl/>
          <w:lang w:eastAsia="he-IL"/>
        </w:rPr>
        <w:t>ולהטיל</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cs"/>
          <w:szCs w:val="24"/>
          <w:rtl/>
          <w:lang w:eastAsia="he-IL"/>
        </w:rPr>
        <w:t xml:space="preserve">עליו </w:t>
      </w:r>
      <w:r w:rsidRPr="0011083E">
        <w:rPr>
          <w:rFonts w:ascii="Times New Roman" w:eastAsia="Times New Roman" w:hAnsi="Times New Roman" w:hint="eastAsia"/>
          <w:szCs w:val="24"/>
          <w:rtl/>
          <w:lang w:eastAsia="he-IL"/>
        </w:rPr>
        <w:t>עונש</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eastAsia"/>
          <w:szCs w:val="24"/>
          <w:rtl/>
          <w:lang w:eastAsia="he-IL"/>
        </w:rPr>
        <w:t>נוסף</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eastAsia"/>
          <w:szCs w:val="24"/>
          <w:rtl/>
          <w:lang w:eastAsia="he-IL"/>
        </w:rPr>
        <w:t>בגין</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eastAsia"/>
          <w:szCs w:val="24"/>
          <w:rtl/>
          <w:lang w:eastAsia="he-IL"/>
        </w:rPr>
        <w:t>העבירות</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eastAsia"/>
          <w:szCs w:val="24"/>
          <w:rtl/>
          <w:lang w:eastAsia="he-IL"/>
        </w:rPr>
        <w:t>בהן</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eastAsia"/>
          <w:szCs w:val="24"/>
          <w:rtl/>
          <w:lang w:eastAsia="he-IL"/>
        </w:rPr>
        <w:t>הורשע</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eastAsia"/>
          <w:szCs w:val="24"/>
          <w:rtl/>
          <w:lang w:eastAsia="he-IL"/>
        </w:rPr>
        <w:t>במקום</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eastAsia"/>
          <w:szCs w:val="24"/>
          <w:rtl/>
          <w:lang w:eastAsia="he-IL"/>
        </w:rPr>
        <w:t>צו</w:t>
      </w:r>
      <w:r w:rsidRPr="0011083E">
        <w:rPr>
          <w:rFonts w:ascii="Times New Roman" w:eastAsia="Times New Roman" w:hAnsi="Times New Roman"/>
          <w:szCs w:val="24"/>
          <w:rtl/>
          <w:lang w:eastAsia="he-IL"/>
        </w:rPr>
        <w:t xml:space="preserve"> </w:t>
      </w:r>
      <w:r w:rsidRPr="0011083E">
        <w:rPr>
          <w:rFonts w:ascii="Times New Roman" w:eastAsia="Times New Roman" w:hAnsi="Times New Roman" w:hint="cs"/>
          <w:szCs w:val="24"/>
          <w:rtl/>
          <w:lang w:eastAsia="he-IL"/>
        </w:rPr>
        <w:t>המבחן.</w:t>
      </w:r>
    </w:p>
    <w:p w14:paraId="59AA0FFA" w14:textId="77777777" w:rsidR="00002F58" w:rsidRPr="0011083E" w:rsidRDefault="00002F58" w:rsidP="00002F58">
      <w:pPr>
        <w:ind w:left="360"/>
        <w:rPr>
          <w:rFonts w:ascii="Times New Roman" w:eastAsia="Times New Roman" w:hAnsi="Times New Roman"/>
          <w:szCs w:val="24"/>
          <w:rtl/>
          <w:lang w:eastAsia="he-IL"/>
        </w:rPr>
      </w:pPr>
    </w:p>
    <w:p w14:paraId="6C33E23A" w14:textId="77777777" w:rsidR="00002F58" w:rsidRDefault="00002F58" w:rsidP="00002F58">
      <w:pPr>
        <w:ind w:left="720" w:hanging="720"/>
        <w:rPr>
          <w:b/>
          <w:bCs/>
          <w:rtl/>
        </w:rPr>
      </w:pPr>
      <w:r>
        <w:rPr>
          <w:rFonts w:hint="cs"/>
          <w:rtl/>
        </w:rPr>
        <w:tab/>
      </w:r>
      <w:r>
        <w:rPr>
          <w:rFonts w:hint="cs"/>
          <w:b/>
          <w:bCs/>
          <w:rtl/>
        </w:rPr>
        <w:t xml:space="preserve">העתק מגזר הדין ישלח לשרות המבחן. </w:t>
      </w:r>
    </w:p>
    <w:p w14:paraId="1D7AC74E" w14:textId="77777777" w:rsidR="00002F58" w:rsidRDefault="00002F58" w:rsidP="00002F58">
      <w:pPr>
        <w:ind w:left="1440" w:hanging="720"/>
        <w:rPr>
          <w:rtl/>
        </w:rPr>
      </w:pPr>
    </w:p>
    <w:p w14:paraId="0A3CB51C" w14:textId="77777777" w:rsidR="00002F58" w:rsidRDefault="00002F58" w:rsidP="00002F58">
      <w:pPr>
        <w:rPr>
          <w:rtl/>
        </w:rPr>
      </w:pPr>
      <w:r>
        <w:rPr>
          <w:rFonts w:hint="cs"/>
          <w:rtl/>
        </w:rPr>
        <w:t>ניתן בזאת צו להשמדת המוצג - סמים, וזאת בכפוף לחלוף תקופת הערעור.</w:t>
      </w:r>
    </w:p>
    <w:p w14:paraId="55FCA85F" w14:textId="77777777" w:rsidR="00002F58" w:rsidRDefault="00002F58" w:rsidP="00002F58">
      <w:pPr>
        <w:rPr>
          <w:rtl/>
        </w:rPr>
      </w:pPr>
      <w:r>
        <w:rPr>
          <w:rFonts w:hint="cs"/>
          <w:rtl/>
        </w:rPr>
        <w:t>ככל שתפוס טלפון, הטלפון יוחזר לנאשם.</w:t>
      </w:r>
    </w:p>
    <w:p w14:paraId="58D41D00" w14:textId="77777777" w:rsidR="00002F58" w:rsidRDefault="00002F58" w:rsidP="00002F58"/>
    <w:p w14:paraId="5C6976B2" w14:textId="77777777" w:rsidR="00002F58" w:rsidRDefault="00002F58" w:rsidP="00002F58">
      <w:pPr>
        <w:rPr>
          <w:b/>
          <w:bCs/>
        </w:rPr>
      </w:pPr>
      <w:r>
        <w:rPr>
          <w:rFonts w:hint="cs"/>
          <w:b/>
          <w:bCs/>
          <w:rtl/>
        </w:rPr>
        <w:t>זכות ערעור תוך 45 יום מהיום לבית המשפט המחוזי בבאר שבע.</w:t>
      </w:r>
    </w:p>
    <w:p w14:paraId="54FB6181" w14:textId="77777777" w:rsidR="00002F58" w:rsidRDefault="00002F58" w:rsidP="00002F58">
      <w:pPr>
        <w:rPr>
          <w:rtl/>
        </w:rPr>
      </w:pPr>
    </w:p>
    <w:p w14:paraId="4AD87FB5" w14:textId="77777777" w:rsidR="00002F58" w:rsidRDefault="00002F58" w:rsidP="00002F58">
      <w:pPr>
        <w:rPr>
          <w:sz w:val="6"/>
          <w:szCs w:val="6"/>
          <w:rtl/>
        </w:rPr>
      </w:pPr>
      <w:r>
        <w:rPr>
          <w:sz w:val="6"/>
          <w:szCs w:val="6"/>
          <w:rtl/>
        </w:rPr>
        <w:t>&lt;#4#&gt;</w:t>
      </w:r>
    </w:p>
    <w:p w14:paraId="6EA82788" w14:textId="77777777" w:rsidR="00002F58" w:rsidRDefault="00002F58" w:rsidP="00002F58">
      <w:pPr>
        <w:jc w:val="right"/>
        <w:rPr>
          <w:rtl/>
        </w:rPr>
      </w:pPr>
    </w:p>
    <w:p w14:paraId="44017202" w14:textId="77777777" w:rsidR="00002F58" w:rsidRDefault="00AA2630" w:rsidP="00002F58">
      <w:pPr>
        <w:jc w:val="center"/>
        <w:rPr>
          <w:rtl/>
        </w:rPr>
      </w:pPr>
      <w:r>
        <w:rPr>
          <w:b/>
          <w:bCs/>
          <w:rtl/>
        </w:rPr>
        <w:t xml:space="preserve">ניתנה והודעה היום ג' טבת תשע"ז, 01/01/2017 במעמד הנוכחים. </w:t>
      </w:r>
    </w:p>
    <w:p w14:paraId="067F9C42" w14:textId="77777777" w:rsidR="00002F58" w:rsidRDefault="00002F58" w:rsidP="00002F58">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A2630" w14:paraId="15A03611" w14:textId="77777777" w:rsidTr="00002F58">
        <w:trPr>
          <w:trHeight w:val="316"/>
          <w:jc w:val="right"/>
        </w:trPr>
        <w:tc>
          <w:tcPr>
            <w:tcW w:w="3936" w:type="dxa"/>
            <w:shd w:val="clear" w:color="auto" w:fill="auto"/>
          </w:tcPr>
          <w:p w14:paraId="689A482C" w14:textId="77777777" w:rsidR="00002F58" w:rsidRDefault="00002F58" w:rsidP="00002F58">
            <w:pPr>
              <w:jc w:val="center"/>
            </w:pPr>
            <w:r>
              <w:rPr>
                <w:rtl/>
              </w:rPr>
              <w:t xml:space="preserve">     </w:t>
            </w:r>
          </w:p>
          <w:p w14:paraId="01CFA2AB" w14:textId="77777777" w:rsidR="00002F58" w:rsidRDefault="00002F58" w:rsidP="00002F58">
            <w:pPr>
              <w:jc w:val="center"/>
              <w:rPr>
                <w:rtl/>
              </w:rPr>
            </w:pPr>
          </w:p>
        </w:tc>
      </w:tr>
      <w:tr w:rsidR="00AA2630" w14:paraId="417E23A7" w14:textId="77777777" w:rsidTr="00002F58">
        <w:trPr>
          <w:trHeight w:val="361"/>
          <w:jc w:val="right"/>
        </w:trPr>
        <w:tc>
          <w:tcPr>
            <w:tcW w:w="3936" w:type="dxa"/>
            <w:shd w:val="clear" w:color="auto" w:fill="auto"/>
          </w:tcPr>
          <w:p w14:paraId="3E46E9A5" w14:textId="77777777" w:rsidR="00002F58" w:rsidRPr="00002F58" w:rsidRDefault="00002F58" w:rsidP="00002F58">
            <w:pPr>
              <w:jc w:val="center"/>
              <w:rPr>
                <w:b/>
                <w:bCs/>
                <w:rtl/>
              </w:rPr>
            </w:pPr>
            <w:r w:rsidRPr="00002F58">
              <w:rPr>
                <w:b/>
                <w:bCs/>
                <w:rtl/>
              </w:rPr>
              <w:t>נועה</w:t>
            </w:r>
            <w:r w:rsidRPr="00002F58">
              <w:rPr>
                <w:rFonts w:hint="cs"/>
                <w:b/>
                <w:bCs/>
                <w:rtl/>
              </w:rPr>
              <w:t xml:space="preserve"> </w:t>
            </w:r>
            <w:r w:rsidRPr="00002F58">
              <w:rPr>
                <w:b/>
                <w:bCs/>
                <w:rtl/>
              </w:rPr>
              <w:t xml:space="preserve">חקלאי </w:t>
            </w:r>
            <w:r w:rsidRPr="00002F58">
              <w:rPr>
                <w:rFonts w:hint="cs"/>
                <w:b/>
                <w:bCs/>
                <w:rtl/>
              </w:rPr>
              <w:t xml:space="preserve">, </w:t>
            </w:r>
            <w:r w:rsidRPr="00002F58">
              <w:rPr>
                <w:b/>
                <w:bCs/>
                <w:rtl/>
              </w:rPr>
              <w:t xml:space="preserve">שופטת </w:t>
            </w:r>
          </w:p>
        </w:tc>
      </w:tr>
    </w:tbl>
    <w:p w14:paraId="1F2A86CD" w14:textId="77777777" w:rsidR="00002F58" w:rsidRDefault="00002F58" w:rsidP="00002F58">
      <w:pPr>
        <w:jc w:val="right"/>
        <w:rPr>
          <w:rtl/>
        </w:rPr>
      </w:pPr>
    </w:p>
    <w:p w14:paraId="3D8224BD" w14:textId="77777777" w:rsidR="00002F58" w:rsidRPr="0011083E" w:rsidRDefault="00002F58" w:rsidP="00002F58">
      <w:pPr>
        <w:rPr>
          <w:sz w:val="22"/>
          <w:szCs w:val="22"/>
          <w:rtl/>
        </w:rPr>
      </w:pPr>
      <w:r w:rsidRPr="0011083E">
        <w:rPr>
          <w:rFonts w:hint="cs"/>
          <w:sz w:val="22"/>
          <w:szCs w:val="22"/>
          <w:rtl/>
        </w:rPr>
        <w:t>קלדנית:לילך+אביבה</w:t>
      </w:r>
    </w:p>
    <w:p w14:paraId="44C83E54" w14:textId="77777777" w:rsidR="00002F58" w:rsidRPr="0011083E" w:rsidRDefault="00002F58" w:rsidP="00002F58">
      <w:pPr>
        <w:rPr>
          <w:szCs w:val="24"/>
          <w:rtl/>
        </w:rPr>
      </w:pPr>
      <w:r>
        <w:rPr>
          <w:szCs w:val="24"/>
          <w:rtl/>
        </w:rPr>
        <w:t xml:space="preserve"> </w:t>
      </w:r>
    </w:p>
    <w:p w14:paraId="510BE3EC" w14:textId="77777777" w:rsidR="00002F58" w:rsidRDefault="00002F58" w:rsidP="00002F58">
      <w:pPr>
        <w:rPr>
          <w:rtl/>
        </w:rPr>
      </w:pPr>
    </w:p>
    <w:p w14:paraId="5033B28B" w14:textId="77777777" w:rsidR="00002F58" w:rsidRDefault="00002F58" w:rsidP="00002F58"/>
    <w:p w14:paraId="6A556838" w14:textId="77777777" w:rsidR="00002F58" w:rsidRPr="00AA2630" w:rsidRDefault="00AA2630" w:rsidP="00002F58">
      <w:pPr>
        <w:rPr>
          <w:color w:val="FFFFFF"/>
          <w:sz w:val="2"/>
          <w:szCs w:val="2"/>
          <w:rtl/>
        </w:rPr>
      </w:pPr>
      <w:r w:rsidRPr="00AA2630">
        <w:rPr>
          <w:color w:val="FFFFFF"/>
          <w:sz w:val="2"/>
          <w:szCs w:val="2"/>
          <w:rtl/>
        </w:rPr>
        <w:t>5129371</w:t>
      </w:r>
    </w:p>
    <w:p w14:paraId="698C117F" w14:textId="77777777" w:rsidR="00002F58" w:rsidRPr="00AA2630" w:rsidRDefault="00AA2630" w:rsidP="00002F58">
      <w:pPr>
        <w:rPr>
          <w:color w:val="FFFFFF"/>
          <w:sz w:val="2"/>
          <w:szCs w:val="2"/>
        </w:rPr>
      </w:pPr>
      <w:r w:rsidRPr="00AA2630">
        <w:rPr>
          <w:color w:val="FFFFFF"/>
          <w:sz w:val="2"/>
          <w:szCs w:val="2"/>
          <w:rtl/>
        </w:rPr>
        <w:t>54678313</w:t>
      </w:r>
    </w:p>
    <w:p w14:paraId="3D881738" w14:textId="77777777" w:rsidR="00002F58" w:rsidRPr="00B32A81" w:rsidRDefault="00002F58" w:rsidP="00002F58"/>
    <w:p w14:paraId="28EF9045" w14:textId="77777777" w:rsidR="00002F58" w:rsidRDefault="00002F58" w:rsidP="00002F58">
      <w:pPr>
        <w:rPr>
          <w:rtl/>
        </w:rPr>
      </w:pPr>
    </w:p>
    <w:p w14:paraId="097E6124" w14:textId="77777777" w:rsidR="00002F58" w:rsidRDefault="00002F58" w:rsidP="00002F58">
      <w:pPr>
        <w:pStyle w:val="David"/>
        <w:rPr>
          <w:rtl/>
        </w:rPr>
      </w:pPr>
    </w:p>
    <w:p w14:paraId="50614CC9" w14:textId="77777777" w:rsidR="00002F58" w:rsidRPr="008463CD" w:rsidRDefault="00002F58" w:rsidP="00002F58">
      <w:pPr>
        <w:rPr>
          <w:szCs w:val="24"/>
          <w:rtl/>
        </w:rPr>
      </w:pPr>
      <w:r>
        <w:rPr>
          <w:szCs w:val="24"/>
          <w:rtl/>
        </w:rPr>
        <w:t xml:space="preserve"> </w:t>
      </w:r>
    </w:p>
    <w:p w14:paraId="3FCBA964" w14:textId="77777777" w:rsidR="00AA2630" w:rsidRPr="00AA2630" w:rsidRDefault="00AA2630" w:rsidP="00AA2630">
      <w:pPr>
        <w:keepNext/>
        <w:jc w:val="left"/>
        <w:rPr>
          <w:color w:val="000000"/>
          <w:sz w:val="22"/>
          <w:szCs w:val="22"/>
          <w:rtl/>
        </w:rPr>
      </w:pPr>
    </w:p>
    <w:p w14:paraId="032E2A2A" w14:textId="77777777" w:rsidR="00AA2630" w:rsidRPr="00AA2630" w:rsidRDefault="00AA2630" w:rsidP="00AA2630">
      <w:pPr>
        <w:keepNext/>
        <w:jc w:val="left"/>
        <w:rPr>
          <w:color w:val="000000"/>
          <w:sz w:val="22"/>
          <w:szCs w:val="22"/>
          <w:rtl/>
        </w:rPr>
      </w:pPr>
      <w:r w:rsidRPr="00AA2630">
        <w:rPr>
          <w:color w:val="000000"/>
          <w:sz w:val="22"/>
          <w:szCs w:val="22"/>
          <w:rtl/>
        </w:rPr>
        <w:t>נועה חקלאי 54678313</w:t>
      </w:r>
    </w:p>
    <w:p w14:paraId="1D142FA7" w14:textId="77777777" w:rsidR="00AA2630" w:rsidRDefault="00AA2630" w:rsidP="00AA2630">
      <w:pPr>
        <w:jc w:val="left"/>
      </w:pPr>
      <w:r w:rsidRPr="00AA2630">
        <w:rPr>
          <w:color w:val="000000"/>
          <w:rtl/>
        </w:rPr>
        <w:t>נוסח מסמך זה כפוף לשינויי ניסוח ועריכה</w:t>
      </w:r>
    </w:p>
    <w:p w14:paraId="2A74DB76" w14:textId="77777777" w:rsidR="00AA2630" w:rsidRDefault="00AA2630" w:rsidP="00AA2630">
      <w:pPr>
        <w:jc w:val="left"/>
        <w:rPr>
          <w:rtl/>
        </w:rPr>
      </w:pPr>
    </w:p>
    <w:p w14:paraId="6013F46A" w14:textId="77777777" w:rsidR="00AA2630" w:rsidRDefault="00AA2630" w:rsidP="00AA2630">
      <w:pPr>
        <w:jc w:val="center"/>
        <w:rPr>
          <w:color w:val="0000FF"/>
          <w:szCs w:val="24"/>
          <w:u w:val="single"/>
        </w:rPr>
      </w:pPr>
      <w:hyperlink r:id="rId18" w:history="1">
        <w:r>
          <w:rPr>
            <w:color w:val="0000FF"/>
            <w:szCs w:val="24"/>
            <w:u w:val="single"/>
            <w:rtl/>
          </w:rPr>
          <w:t>בעניין עריכה ושינויים במסמכי פסיקה, חקיקה ועוד באתר נבו – הקש כאן</w:t>
        </w:r>
      </w:hyperlink>
      <w:r w:rsidR="00786890">
        <w:rPr>
          <w:rFonts w:hint="cs"/>
          <w:color w:val="0000FF"/>
          <w:szCs w:val="24"/>
          <w:u w:val="single"/>
          <w:rtl/>
        </w:rPr>
        <w:t xml:space="preserve"> </w:t>
      </w:r>
    </w:p>
    <w:p w14:paraId="78946956" w14:textId="77777777" w:rsidR="002D7B2F" w:rsidRPr="00AA2630" w:rsidRDefault="002D7B2F" w:rsidP="00AA2630">
      <w:pPr>
        <w:jc w:val="center"/>
        <w:rPr>
          <w:color w:val="0000FF"/>
          <w:szCs w:val="24"/>
          <w:u w:val="single"/>
        </w:rPr>
      </w:pPr>
    </w:p>
    <w:sectPr w:rsidR="002D7B2F" w:rsidRPr="00AA2630" w:rsidSect="00AA2630">
      <w:headerReference w:type="even" r:id="rId19"/>
      <w:headerReference w:type="default" r:id="rId20"/>
      <w:footerReference w:type="even" r:id="rId21"/>
      <w:footerReference w:type="default" r:id="rId2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DD26A" w14:textId="77777777" w:rsidR="00930F8E" w:rsidRPr="00606078" w:rsidRDefault="00930F8E">
      <w:pPr>
        <w:rPr>
          <w:rFonts w:cs="Arial"/>
          <w:szCs w:val="20"/>
        </w:rPr>
      </w:pPr>
      <w:r>
        <w:separator/>
      </w:r>
    </w:p>
  </w:endnote>
  <w:endnote w:type="continuationSeparator" w:id="0">
    <w:p w14:paraId="64B2EF5A" w14:textId="77777777" w:rsidR="00930F8E" w:rsidRPr="00606078" w:rsidRDefault="00930F8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BC4C8" w14:textId="77777777" w:rsidR="0059785E" w:rsidRDefault="0059785E" w:rsidP="00AA2630">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10</w:t>
    </w:r>
    <w:r>
      <w:rPr>
        <w:rFonts w:ascii="FrankRuehl" w:hAnsi="FrankRuehl" w:cs="FrankRuehl"/>
        <w:szCs w:val="24"/>
        <w:rtl/>
      </w:rPr>
      <w:fldChar w:fldCharType="end"/>
    </w:r>
  </w:p>
  <w:p w14:paraId="6718EA05" w14:textId="77777777" w:rsidR="0059785E" w:rsidRPr="00AA2630" w:rsidRDefault="0059785E" w:rsidP="00AA2630">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AA2630">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5223" w14:textId="77777777" w:rsidR="0059785E" w:rsidRDefault="0059785E" w:rsidP="00AA2630">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107584">
      <w:rPr>
        <w:rFonts w:ascii="FrankRuehl" w:hAnsi="FrankRuehl" w:cs="FrankRuehl"/>
        <w:noProof/>
        <w:szCs w:val="24"/>
        <w:rtl/>
      </w:rPr>
      <w:t>1</w:t>
    </w:r>
    <w:r>
      <w:rPr>
        <w:rFonts w:ascii="FrankRuehl" w:hAnsi="FrankRuehl" w:cs="FrankRuehl"/>
        <w:szCs w:val="24"/>
        <w:rtl/>
      </w:rPr>
      <w:fldChar w:fldCharType="end"/>
    </w:r>
  </w:p>
  <w:p w14:paraId="5395FF53" w14:textId="77777777" w:rsidR="0059785E" w:rsidRPr="00AA2630" w:rsidRDefault="0059785E" w:rsidP="00AA2630">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AA2630">
      <w:rPr>
        <w:rFonts w:ascii="FrankRuehl" w:hAnsi="FrankRuehl" w:cs="FrankRuehl"/>
        <w:color w:val="000000"/>
        <w:szCs w:val="24"/>
      </w:rPr>
      <w:pict w14:anchorId="669BE6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E8AC8" w14:textId="77777777" w:rsidR="00930F8E" w:rsidRPr="00606078" w:rsidRDefault="00930F8E">
      <w:pPr>
        <w:rPr>
          <w:rFonts w:cs="Arial"/>
          <w:szCs w:val="20"/>
        </w:rPr>
      </w:pPr>
      <w:r>
        <w:separator/>
      </w:r>
    </w:p>
  </w:footnote>
  <w:footnote w:type="continuationSeparator" w:id="0">
    <w:p w14:paraId="4BCF6E4A" w14:textId="77777777" w:rsidR="00930F8E" w:rsidRPr="00606078" w:rsidRDefault="00930F8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67B98" w14:textId="77777777" w:rsidR="0059785E" w:rsidRPr="00AA2630" w:rsidRDefault="0059785E" w:rsidP="00AA2630">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37769-12-13</w:t>
    </w:r>
    <w:r>
      <w:rPr>
        <w:color w:val="000000"/>
        <w:sz w:val="22"/>
        <w:szCs w:val="22"/>
        <w:rtl/>
      </w:rPr>
      <w:tab/>
      <w:t xml:space="preserve"> מדינת ישראל נ' ליאור קריספין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3F7BD" w14:textId="77777777" w:rsidR="0059785E" w:rsidRPr="00AA2630" w:rsidRDefault="0059785E" w:rsidP="00AA2630">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37769-12-13</w:t>
    </w:r>
    <w:r>
      <w:rPr>
        <w:color w:val="000000"/>
        <w:sz w:val="22"/>
        <w:szCs w:val="22"/>
        <w:rtl/>
      </w:rPr>
      <w:tab/>
      <w:t xml:space="preserve"> מדינת ישראל נ' ליאור קריספין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8F3312"/>
    <w:multiLevelType w:val="hybridMultilevel"/>
    <w:tmpl w:val="74682BC8"/>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08578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02F58"/>
    <w:rsid w:val="00002F58"/>
    <w:rsid w:val="00107584"/>
    <w:rsid w:val="002D7B2F"/>
    <w:rsid w:val="00386D10"/>
    <w:rsid w:val="003A3F69"/>
    <w:rsid w:val="0059785E"/>
    <w:rsid w:val="00786890"/>
    <w:rsid w:val="008761E0"/>
    <w:rsid w:val="00930F8E"/>
    <w:rsid w:val="00AA2630"/>
    <w:rsid w:val="00B63392"/>
    <w:rsid w:val="00BA16A0"/>
    <w:rsid w:val="00DF166F"/>
    <w:rsid w:val="00F12954"/>
    <w:rsid w:val="00F9729F"/>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5675689"/>
  <w15:chartTrackingRefBased/>
  <w15:docId w15:val="{3536B069-46E7-4941-966E-1F5E0638D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02F58"/>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002F58"/>
    <w:pPr>
      <w:tabs>
        <w:tab w:val="center" w:pos="4153"/>
        <w:tab w:val="right" w:pos="8306"/>
      </w:tabs>
    </w:pPr>
  </w:style>
  <w:style w:type="character" w:customStyle="1" w:styleId="a4">
    <w:name w:val="כותרת עליונה תו"/>
    <w:link w:val="a3"/>
    <w:rsid w:val="00002F58"/>
    <w:rPr>
      <w:rFonts w:ascii="David" w:eastAsia="David" w:hAnsi="David" w:cs="David"/>
      <w:sz w:val="24"/>
      <w:szCs w:val="26"/>
    </w:rPr>
  </w:style>
  <w:style w:type="paragraph" w:styleId="a5">
    <w:name w:val="footer"/>
    <w:basedOn w:val="a"/>
    <w:link w:val="a6"/>
    <w:rsid w:val="00002F58"/>
    <w:pPr>
      <w:tabs>
        <w:tab w:val="center" w:pos="4153"/>
        <w:tab w:val="right" w:pos="8306"/>
      </w:tabs>
    </w:pPr>
  </w:style>
  <w:style w:type="character" w:customStyle="1" w:styleId="a6">
    <w:name w:val="כותרת תחתונה תו"/>
    <w:link w:val="a5"/>
    <w:rsid w:val="00002F58"/>
    <w:rPr>
      <w:rFonts w:ascii="David" w:eastAsia="David" w:hAnsi="David" w:cs="David"/>
      <w:sz w:val="24"/>
      <w:szCs w:val="26"/>
    </w:rPr>
  </w:style>
  <w:style w:type="table" w:styleId="a7">
    <w:name w:val="Table Grid"/>
    <w:basedOn w:val="a1"/>
    <w:rsid w:val="00002F58"/>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02F58"/>
  </w:style>
  <w:style w:type="paragraph" w:customStyle="1" w:styleId="12">
    <w:name w:val="רגיל + ‏12 נק'"/>
    <w:aliases w:val="מיושר לשני הצדדים,מרווח בין שורות:  שורה וחצי"/>
    <w:basedOn w:val="a"/>
    <w:rsid w:val="00002F58"/>
    <w:pPr>
      <w:spacing w:line="240" w:lineRule="auto"/>
      <w:jc w:val="left"/>
    </w:pPr>
    <w:rPr>
      <w:rFonts w:ascii="Times New Roman" w:eastAsia="Times New Roman" w:hAnsi="Times New Roman"/>
      <w:b/>
      <w:bCs/>
      <w:szCs w:val="24"/>
      <w:u w:val="single"/>
    </w:rPr>
  </w:style>
  <w:style w:type="paragraph" w:customStyle="1" w:styleId="David">
    <w:name w:val="סגנון (עברית ושפות אחרות) David מיושר לשני הצדדים מרווח בין שורות..."/>
    <w:basedOn w:val="a"/>
    <w:rsid w:val="00002F58"/>
    <w:rPr>
      <w:rFonts w:ascii="Times New Roman" w:eastAsia="Times New Roman" w:hAnsi="Times New Roman"/>
      <w:szCs w:val="24"/>
    </w:rPr>
  </w:style>
  <w:style w:type="paragraph" w:customStyle="1" w:styleId="ListParagraph">
    <w:name w:val="List Paragraph"/>
    <w:basedOn w:val="a"/>
    <w:rsid w:val="00002F58"/>
    <w:pPr>
      <w:snapToGrid w:val="0"/>
      <w:spacing w:line="240" w:lineRule="auto"/>
      <w:ind w:left="720"/>
      <w:contextualSpacing/>
      <w:jc w:val="left"/>
    </w:pPr>
    <w:rPr>
      <w:rFonts w:ascii="Times New Roman" w:eastAsia="Times New Roman" w:hAnsi="Times New Roman"/>
      <w:sz w:val="20"/>
      <w:szCs w:val="24"/>
      <w:lang w:eastAsia="he-IL"/>
    </w:rPr>
  </w:style>
  <w:style w:type="character" w:styleId="a9">
    <w:name w:val="line number"/>
    <w:rsid w:val="00002F58"/>
  </w:style>
  <w:style w:type="character" w:styleId="Hyperlink">
    <w:name w:val="Hyperlink"/>
    <w:rsid w:val="00AA26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37a"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7.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fontTable" Target="fontTable.xml"/><Relationship Id="rId10" Type="http://schemas.openxmlformats.org/officeDocument/2006/relationships/hyperlink" Target="http://www.nevo.co.il/law/4216/37a"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896</Words>
  <Characters>4484</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5370</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8257637</vt:i4>
      </vt:variant>
      <vt:variant>
        <vt:i4>21</vt:i4>
      </vt:variant>
      <vt:variant>
        <vt:i4>0</vt:i4>
      </vt:variant>
      <vt:variant>
        <vt:i4>5</vt:i4>
      </vt:variant>
      <vt:variant>
        <vt:lpwstr>http://www.nevo.co.il/law/4216</vt:lpwstr>
      </vt:variant>
      <vt:variant>
        <vt:lpwstr/>
      </vt:variant>
      <vt:variant>
        <vt:i4>2883709</vt:i4>
      </vt:variant>
      <vt:variant>
        <vt:i4>18</vt:i4>
      </vt:variant>
      <vt:variant>
        <vt:i4>0</vt:i4>
      </vt:variant>
      <vt:variant>
        <vt:i4>5</vt:i4>
      </vt:variant>
      <vt:variant>
        <vt:lpwstr>http://www.nevo.co.il/law/4216/37a</vt:lpwstr>
      </vt:variant>
      <vt:variant>
        <vt:lpwstr/>
      </vt:variant>
      <vt:variant>
        <vt:i4>8257637</vt:i4>
      </vt:variant>
      <vt:variant>
        <vt:i4>15</vt:i4>
      </vt:variant>
      <vt:variant>
        <vt:i4>0</vt:i4>
      </vt:variant>
      <vt:variant>
        <vt:i4>5</vt:i4>
      </vt:variant>
      <vt:variant>
        <vt:lpwstr>http://www.nevo.co.il/law/4216</vt:lpwstr>
      </vt:variant>
      <vt:variant>
        <vt:lpwstr/>
      </vt:variant>
      <vt:variant>
        <vt:i4>3997821</vt:i4>
      </vt:variant>
      <vt:variant>
        <vt:i4>12</vt:i4>
      </vt:variant>
      <vt:variant>
        <vt:i4>0</vt:i4>
      </vt:variant>
      <vt:variant>
        <vt:i4>5</vt:i4>
      </vt:variant>
      <vt:variant>
        <vt:lpwstr>http://www.nevo.co.il/law/4216/7.a.;7.c</vt:lpwstr>
      </vt:variant>
      <vt:variant>
        <vt:lpwstr/>
      </vt:variant>
      <vt:variant>
        <vt:i4>2883709</vt:i4>
      </vt:variant>
      <vt:variant>
        <vt:i4>9</vt:i4>
      </vt:variant>
      <vt:variant>
        <vt:i4>0</vt:i4>
      </vt:variant>
      <vt:variant>
        <vt:i4>5</vt:i4>
      </vt:variant>
      <vt:variant>
        <vt:lpwstr>http://www.nevo.co.il/law/4216/37a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2025-04-22T22:11:00Z</dcterms:created>
  <dcterms:modified xsi:type="dcterms:W3CDTF">2025-04-22T22:11:00Z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37769</vt:lpwstr>
  </property>
  <property fmtid="{D5CDD505-2E9C-101B-9397-08002B2CF9AE}" pid="6" name="NEWPARTB">
    <vt:lpwstr>12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ליאור קריספין</vt:lpwstr>
  </property>
  <property fmtid="{D5CDD505-2E9C-101B-9397-08002B2CF9AE}" pid="10" name="LAWYER">
    <vt:lpwstr>ליפז סימני;הרצל סמילה</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20170101</vt:lpwstr>
  </property>
  <property fmtid="{D5CDD505-2E9C-101B-9397-08002B2CF9AE}" pid="14" name="TYPE_N_DATE">
    <vt:lpwstr>38020170101</vt:lpwstr>
  </property>
  <property fmtid="{D5CDD505-2E9C-101B-9397-08002B2CF9AE}" pid="15" name="WORDNUMPAGES">
    <vt:lpwstr>5</vt:lpwstr>
  </property>
  <property fmtid="{D5CDD505-2E9C-101B-9397-08002B2CF9AE}" pid="16" name="TYPE_ABS_DATE">
    <vt:lpwstr>380020170101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4216/007.a;007.c;037a</vt:lpwstr>
  </property>
</Properties>
</file>