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C147B" w:rsidRPr="00B8783D" w14:paraId="1CE9F5A2" w14:textId="77777777">
        <w:trPr>
          <w:trHeight w:hRule="exact" w:val="418"/>
          <w:jc w:val="center"/>
        </w:trPr>
        <w:tc>
          <w:tcPr>
            <w:tcW w:w="8720" w:type="dxa"/>
            <w:gridSpan w:val="3"/>
          </w:tcPr>
          <w:p w14:paraId="1B18AE78" w14:textId="77777777" w:rsidR="00FC147B" w:rsidRPr="00B8783D" w:rsidRDefault="00B8783D">
            <w:pPr>
              <w:pStyle w:val="a4"/>
              <w:tabs>
                <w:tab w:val="clear" w:pos="8306"/>
              </w:tabs>
              <w:jc w:val="center"/>
              <w:rPr>
                <w:rFonts w:ascii="Tahoma" w:hAnsi="Tahoma" w:cs="Tahoma"/>
                <w:b/>
                <w:bCs/>
                <w:color w:val="000080"/>
                <w:sz w:val="20"/>
                <w:szCs w:val="20"/>
                <w:rtl/>
              </w:rPr>
            </w:pPr>
            <w:bookmarkStart w:id="0" w:name="LastJudge"/>
            <w:r w:rsidRPr="00B8783D">
              <w:rPr>
                <w:rFonts w:ascii="Tahoma" w:hAnsi="Tahoma" w:cs="Tahoma"/>
                <w:b/>
                <w:bCs/>
                <w:color w:val="000080"/>
                <w:sz w:val="20"/>
                <w:szCs w:val="20"/>
                <w:rtl/>
              </w:rPr>
              <w:t>בית משפט השלום בנתניה</w:t>
            </w:r>
          </w:p>
        </w:tc>
      </w:tr>
      <w:tr w:rsidR="00FC147B" w:rsidRPr="00B8783D" w14:paraId="2AA200FE" w14:textId="77777777">
        <w:trPr>
          <w:trHeight w:val="337"/>
          <w:jc w:val="center"/>
        </w:trPr>
        <w:tc>
          <w:tcPr>
            <w:tcW w:w="3973" w:type="dxa"/>
          </w:tcPr>
          <w:p w14:paraId="5680F8A1" w14:textId="77777777" w:rsidR="00FC147B" w:rsidRPr="00B8783D" w:rsidRDefault="00B8783D">
            <w:pPr>
              <w:rPr>
                <w:b/>
                <w:bCs/>
                <w:sz w:val="26"/>
                <w:szCs w:val="26"/>
                <w:rtl/>
              </w:rPr>
            </w:pPr>
            <w:r w:rsidRPr="00B8783D">
              <w:rPr>
                <w:b/>
                <w:bCs/>
                <w:sz w:val="26"/>
                <w:szCs w:val="26"/>
                <w:rtl/>
              </w:rPr>
              <w:t>ת"פ</w:t>
            </w:r>
            <w:r w:rsidRPr="00B8783D">
              <w:rPr>
                <w:rFonts w:hint="cs"/>
                <w:b/>
                <w:bCs/>
                <w:sz w:val="26"/>
                <w:szCs w:val="26"/>
                <w:rtl/>
              </w:rPr>
              <w:t xml:space="preserve"> </w:t>
            </w:r>
            <w:r w:rsidRPr="00B8783D">
              <w:rPr>
                <w:b/>
                <w:bCs/>
                <w:sz w:val="26"/>
                <w:szCs w:val="26"/>
                <w:rtl/>
              </w:rPr>
              <w:t>45181-01-14</w:t>
            </w:r>
            <w:r w:rsidRPr="00B8783D">
              <w:rPr>
                <w:rFonts w:hint="cs"/>
                <w:b/>
                <w:bCs/>
                <w:sz w:val="26"/>
                <w:szCs w:val="26"/>
                <w:rtl/>
              </w:rPr>
              <w:t xml:space="preserve"> </w:t>
            </w:r>
            <w:r w:rsidRPr="00B8783D">
              <w:rPr>
                <w:b/>
                <w:bCs/>
                <w:sz w:val="26"/>
                <w:szCs w:val="26"/>
                <w:rtl/>
              </w:rPr>
              <w:t>מדינת ישראל נ' קאשי</w:t>
            </w:r>
          </w:p>
          <w:p w14:paraId="2CCF1BD8" w14:textId="77777777" w:rsidR="00FC147B" w:rsidRPr="00B8783D" w:rsidRDefault="00FC147B">
            <w:pPr>
              <w:rPr>
                <w:b/>
                <w:bCs/>
                <w:sz w:val="26"/>
                <w:szCs w:val="26"/>
                <w:rtl/>
              </w:rPr>
            </w:pPr>
          </w:p>
        </w:tc>
        <w:tc>
          <w:tcPr>
            <w:tcW w:w="1068" w:type="dxa"/>
          </w:tcPr>
          <w:p w14:paraId="206C01C4" w14:textId="77777777" w:rsidR="00FC147B" w:rsidRPr="00B8783D" w:rsidRDefault="00FC147B">
            <w:pPr>
              <w:pStyle w:val="a4"/>
              <w:jc w:val="right"/>
              <w:rPr>
                <w:b/>
                <w:bCs/>
                <w:sz w:val="26"/>
                <w:szCs w:val="26"/>
                <w:rtl/>
              </w:rPr>
            </w:pPr>
          </w:p>
        </w:tc>
        <w:tc>
          <w:tcPr>
            <w:tcW w:w="3679" w:type="dxa"/>
          </w:tcPr>
          <w:p w14:paraId="6A8C7CF0" w14:textId="77777777" w:rsidR="00FC147B" w:rsidRPr="00B8783D" w:rsidRDefault="00B8783D">
            <w:pPr>
              <w:pStyle w:val="a4"/>
              <w:tabs>
                <w:tab w:val="clear" w:pos="4153"/>
              </w:tabs>
              <w:jc w:val="right"/>
              <w:rPr>
                <w:b/>
                <w:bCs/>
                <w:sz w:val="26"/>
                <w:szCs w:val="26"/>
                <w:rtl/>
              </w:rPr>
            </w:pPr>
            <w:r w:rsidRPr="00B8783D">
              <w:rPr>
                <w:b/>
                <w:bCs/>
                <w:sz w:val="26"/>
                <w:szCs w:val="26"/>
                <w:rtl/>
              </w:rPr>
              <w:t>03 נובמבר 2015</w:t>
            </w:r>
          </w:p>
        </w:tc>
      </w:tr>
    </w:tbl>
    <w:p w14:paraId="240CE924" w14:textId="77777777" w:rsidR="00FC147B" w:rsidRPr="00B8783D" w:rsidRDefault="00FC147B">
      <w:pPr>
        <w:pStyle w:val="a4"/>
        <w:jc w:val="center"/>
        <w:rPr>
          <w:rFonts w:ascii="Tahoma" w:hAnsi="Tahoma" w:cs="Tahoma"/>
          <w:b/>
          <w:bCs/>
          <w:color w:val="000080"/>
          <w:sz w:val="20"/>
          <w:szCs w:val="20"/>
          <w:rtl/>
        </w:rPr>
      </w:pPr>
    </w:p>
    <w:p w14:paraId="1E58CDE4" w14:textId="77777777" w:rsidR="00FC147B" w:rsidRPr="00B8783D" w:rsidRDefault="00FC147B">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FC147B" w:rsidRPr="00B8783D" w14:paraId="75062B93" w14:textId="77777777">
        <w:trPr>
          <w:trHeight w:val="337"/>
          <w:jc w:val="center"/>
        </w:trPr>
        <w:tc>
          <w:tcPr>
            <w:tcW w:w="1592" w:type="dxa"/>
          </w:tcPr>
          <w:p w14:paraId="4FDF6610" w14:textId="77777777" w:rsidR="00FC147B" w:rsidRPr="00B8783D" w:rsidRDefault="00FC147B">
            <w:pPr>
              <w:pStyle w:val="a4"/>
              <w:spacing w:line="360" w:lineRule="auto"/>
              <w:jc w:val="both"/>
              <w:rPr>
                <w:b/>
                <w:bCs/>
                <w:sz w:val="26"/>
                <w:szCs w:val="26"/>
                <w:rtl/>
              </w:rPr>
            </w:pPr>
          </w:p>
        </w:tc>
        <w:tc>
          <w:tcPr>
            <w:tcW w:w="7128" w:type="dxa"/>
          </w:tcPr>
          <w:p w14:paraId="485B6388" w14:textId="77777777" w:rsidR="00FC147B" w:rsidRPr="00B8783D" w:rsidRDefault="00B8783D">
            <w:pPr>
              <w:pStyle w:val="a4"/>
              <w:jc w:val="right"/>
              <w:rPr>
                <w:b/>
                <w:bCs/>
                <w:sz w:val="26"/>
                <w:szCs w:val="26"/>
                <w:rtl/>
              </w:rPr>
            </w:pPr>
            <w:r w:rsidRPr="00B8783D">
              <w:rPr>
                <w:rFonts w:hint="cs"/>
                <w:rtl/>
              </w:rPr>
              <w:t>45194-01-14</w:t>
            </w:r>
          </w:p>
        </w:tc>
      </w:tr>
    </w:tbl>
    <w:p w14:paraId="08C29812" w14:textId="77777777" w:rsidR="00FC147B" w:rsidRPr="00B8783D" w:rsidRDefault="00FC147B">
      <w:pPr>
        <w:suppressLineNumbers/>
        <w:spacing w:line="360" w:lineRule="auto"/>
        <w:jc w:val="both"/>
        <w:rPr>
          <w:rFonts w:ascii="Arial" w:hAnsi="Arial"/>
          <w:rtl/>
        </w:rPr>
      </w:pPr>
    </w:p>
    <w:p w14:paraId="2C50B325" w14:textId="77777777" w:rsidR="00FC147B" w:rsidRPr="00B8783D" w:rsidRDefault="00FC147B">
      <w:pPr>
        <w:spacing w:line="360" w:lineRule="auto"/>
        <w:rPr>
          <w:rFonts w:ascii="Times New Roman" w:eastAsia="Times New Roman" w:hAnsi="Times New Roman"/>
          <w:b/>
          <w:bCs/>
          <w:rtl/>
          <w:lang w:eastAsia="he-IL"/>
        </w:rPr>
      </w:pPr>
    </w:p>
    <w:tbl>
      <w:tblPr>
        <w:bidiVisual/>
        <w:tblW w:w="8802" w:type="dxa"/>
        <w:tblInd w:w="-28" w:type="dxa"/>
        <w:tblLook w:val="01E0" w:firstRow="1" w:lastRow="1" w:firstColumn="1" w:lastColumn="1" w:noHBand="0" w:noVBand="0"/>
      </w:tblPr>
      <w:tblGrid>
        <w:gridCol w:w="2880"/>
        <w:gridCol w:w="5839"/>
        <w:gridCol w:w="83"/>
      </w:tblGrid>
      <w:tr w:rsidR="00FC147B" w:rsidRPr="00B8783D" w14:paraId="3E8FCADC" w14:textId="77777777">
        <w:trPr>
          <w:gridAfter w:val="1"/>
          <w:wAfter w:w="55" w:type="dxa"/>
        </w:trPr>
        <w:tc>
          <w:tcPr>
            <w:tcW w:w="8719" w:type="dxa"/>
            <w:gridSpan w:val="2"/>
            <w:shd w:val="clear" w:color="auto" w:fill="auto"/>
          </w:tcPr>
          <w:p w14:paraId="2EF56CA8" w14:textId="77777777" w:rsidR="00FC147B" w:rsidRPr="00B8783D" w:rsidRDefault="00B8783D">
            <w:pPr>
              <w:rPr>
                <w:rFonts w:ascii="Arial" w:eastAsia="Times New Roman" w:hAnsi="Arial"/>
                <w:sz w:val="26"/>
                <w:szCs w:val="26"/>
                <w:highlight w:val="yellow"/>
              </w:rPr>
            </w:pPr>
            <w:r w:rsidRPr="00B8783D">
              <w:rPr>
                <w:rFonts w:ascii="Times New Roman" w:eastAsia="Times New Roman" w:hAnsi="Times New Roman" w:hint="cs"/>
                <w:b/>
                <w:bCs/>
                <w:sz w:val="26"/>
                <w:szCs w:val="26"/>
                <w:rtl/>
              </w:rPr>
              <w:t xml:space="preserve">בפני </w:t>
            </w:r>
            <w:r w:rsidRPr="00B8783D">
              <w:rPr>
                <w:rFonts w:ascii="Arial" w:eastAsia="Times New Roman" w:hAnsi="Arial" w:hint="cs"/>
                <w:b/>
                <w:bCs/>
                <w:sz w:val="26"/>
                <w:szCs w:val="26"/>
                <w:rtl/>
              </w:rPr>
              <w:t>כב' השופטת הבכירה איטה נחמן</w:t>
            </w:r>
          </w:p>
          <w:p w14:paraId="1856372F" w14:textId="77777777" w:rsidR="00FC147B" w:rsidRPr="00B8783D" w:rsidRDefault="00FC147B">
            <w:pPr>
              <w:spacing w:line="360" w:lineRule="auto"/>
              <w:jc w:val="both"/>
              <w:rPr>
                <w:rFonts w:ascii="Arial" w:eastAsia="Times New Roman" w:hAnsi="Arial" w:cs="Times New Roman"/>
                <w:rtl/>
              </w:rPr>
            </w:pPr>
          </w:p>
        </w:tc>
      </w:tr>
      <w:tr w:rsidR="00FC147B" w:rsidRPr="00B8783D" w14:paraId="5D056231" w14:textId="77777777">
        <w:tc>
          <w:tcPr>
            <w:tcW w:w="2880" w:type="dxa"/>
            <w:shd w:val="clear" w:color="auto" w:fill="auto"/>
          </w:tcPr>
          <w:p w14:paraId="2D662A06" w14:textId="77777777" w:rsidR="00FC147B" w:rsidRPr="00B8783D" w:rsidRDefault="00B8783D">
            <w:pPr>
              <w:ind w:left="26"/>
              <w:rPr>
                <w:rFonts w:ascii="Times New Roman" w:eastAsia="Times New Roman" w:hAnsi="Times New Roman"/>
                <w:b/>
                <w:bCs/>
                <w:sz w:val="26"/>
                <w:szCs w:val="26"/>
                <w:rtl/>
              </w:rPr>
            </w:pPr>
            <w:bookmarkStart w:id="1" w:name="FirstAppellant"/>
            <w:r w:rsidRPr="00B8783D">
              <w:rPr>
                <w:rFonts w:ascii="Times New Roman" w:eastAsia="Times New Roman" w:hAnsi="Times New Roman" w:hint="cs"/>
                <w:b/>
                <w:bCs/>
                <w:sz w:val="26"/>
                <w:szCs w:val="26"/>
                <w:rtl/>
              </w:rPr>
              <w:t>ה</w:t>
            </w:r>
            <w:r w:rsidRPr="00B8783D">
              <w:rPr>
                <w:rFonts w:ascii="Times New Roman" w:eastAsia="Times New Roman" w:hAnsi="Times New Roman" w:hint="cs"/>
                <w:rtl/>
              </w:rPr>
              <w:t>מאשימה</w:t>
            </w:r>
          </w:p>
        </w:tc>
        <w:tc>
          <w:tcPr>
            <w:tcW w:w="5922" w:type="dxa"/>
            <w:gridSpan w:val="2"/>
            <w:shd w:val="clear" w:color="auto" w:fill="auto"/>
          </w:tcPr>
          <w:p w14:paraId="4366E253" w14:textId="77777777" w:rsidR="00FC147B" w:rsidRPr="00B8783D" w:rsidRDefault="00B8783D">
            <w:pPr>
              <w:rPr>
                <w:rFonts w:ascii="Times New Roman" w:eastAsia="Times New Roman" w:hAnsi="Times New Roman"/>
                <w:b/>
                <w:bCs/>
                <w:sz w:val="26"/>
                <w:szCs w:val="26"/>
                <w:rtl/>
              </w:rPr>
            </w:pPr>
            <w:r w:rsidRPr="00B8783D">
              <w:rPr>
                <w:rFonts w:ascii="Times New Roman" w:eastAsia="Times New Roman" w:hAnsi="Times New Roman" w:hint="cs"/>
                <w:b/>
                <w:bCs/>
                <w:sz w:val="26"/>
                <w:szCs w:val="26"/>
                <w:rtl/>
              </w:rPr>
              <w:t xml:space="preserve"> </w:t>
            </w:r>
            <w:r w:rsidRPr="00B8783D">
              <w:rPr>
                <w:rFonts w:ascii="Times New Roman" w:eastAsia="Times New Roman" w:hAnsi="Times New Roman" w:hint="cs"/>
                <w:rtl/>
              </w:rPr>
              <w:t>מדינת ישראל</w:t>
            </w:r>
          </w:p>
        </w:tc>
      </w:tr>
      <w:bookmarkEnd w:id="1"/>
      <w:tr w:rsidR="00FC147B" w:rsidRPr="00B8783D" w14:paraId="6CA1F235" w14:textId="77777777">
        <w:tc>
          <w:tcPr>
            <w:tcW w:w="8802" w:type="dxa"/>
            <w:gridSpan w:val="3"/>
            <w:shd w:val="clear" w:color="auto" w:fill="auto"/>
          </w:tcPr>
          <w:p w14:paraId="3294DC0D" w14:textId="77777777" w:rsidR="00FC147B" w:rsidRPr="00B8783D" w:rsidRDefault="00FC147B">
            <w:pPr>
              <w:jc w:val="both"/>
              <w:rPr>
                <w:rFonts w:ascii="Arial" w:eastAsia="Times New Roman" w:hAnsi="Arial"/>
                <w:b/>
                <w:bCs/>
                <w:sz w:val="26"/>
                <w:szCs w:val="26"/>
                <w:rtl/>
              </w:rPr>
            </w:pPr>
          </w:p>
          <w:p w14:paraId="13CAA7EE" w14:textId="77777777" w:rsidR="00FC147B" w:rsidRPr="00B8783D" w:rsidRDefault="00B8783D">
            <w:pPr>
              <w:jc w:val="center"/>
              <w:rPr>
                <w:rFonts w:ascii="Arial" w:eastAsia="Times New Roman" w:hAnsi="Arial"/>
                <w:b/>
                <w:bCs/>
                <w:sz w:val="26"/>
                <w:szCs w:val="26"/>
                <w:rtl/>
              </w:rPr>
            </w:pPr>
            <w:r w:rsidRPr="00B8783D">
              <w:rPr>
                <w:rFonts w:ascii="Arial" w:eastAsia="Times New Roman" w:hAnsi="Arial"/>
                <w:b/>
                <w:bCs/>
                <w:sz w:val="26"/>
                <w:szCs w:val="26"/>
                <w:rtl/>
              </w:rPr>
              <w:t>נגד</w:t>
            </w:r>
          </w:p>
          <w:p w14:paraId="60991AB1" w14:textId="77777777" w:rsidR="00FC147B" w:rsidRPr="00B8783D" w:rsidRDefault="00FC147B">
            <w:pPr>
              <w:jc w:val="center"/>
              <w:rPr>
                <w:rFonts w:ascii="Arial" w:eastAsia="Times New Roman" w:hAnsi="Arial"/>
                <w:b/>
                <w:bCs/>
                <w:sz w:val="26"/>
                <w:szCs w:val="26"/>
              </w:rPr>
            </w:pPr>
          </w:p>
        </w:tc>
      </w:tr>
      <w:tr w:rsidR="00FC147B" w:rsidRPr="00B8783D" w14:paraId="48CA4CD4" w14:textId="77777777">
        <w:tc>
          <w:tcPr>
            <w:tcW w:w="2880" w:type="dxa"/>
            <w:shd w:val="clear" w:color="auto" w:fill="auto"/>
          </w:tcPr>
          <w:p w14:paraId="1BD5C967" w14:textId="77777777" w:rsidR="00FC147B" w:rsidRPr="00B8783D" w:rsidRDefault="00B8783D">
            <w:pPr>
              <w:ind w:left="26"/>
              <w:rPr>
                <w:rFonts w:ascii="Times New Roman" w:eastAsia="Times New Roman" w:hAnsi="Times New Roman"/>
                <w:b/>
                <w:bCs/>
                <w:sz w:val="26"/>
                <w:szCs w:val="26"/>
                <w:rtl/>
              </w:rPr>
            </w:pPr>
            <w:r w:rsidRPr="00B8783D">
              <w:rPr>
                <w:rFonts w:ascii="Times New Roman" w:eastAsia="Times New Roman" w:hAnsi="Times New Roman" w:hint="cs"/>
                <w:b/>
                <w:bCs/>
                <w:sz w:val="26"/>
                <w:szCs w:val="26"/>
                <w:rtl/>
              </w:rPr>
              <w:t>ה</w:t>
            </w:r>
            <w:r w:rsidRPr="00B8783D">
              <w:rPr>
                <w:rFonts w:ascii="Times New Roman" w:eastAsia="Times New Roman" w:hAnsi="Times New Roman" w:hint="cs"/>
                <w:rtl/>
              </w:rPr>
              <w:t>נאשם</w:t>
            </w:r>
          </w:p>
        </w:tc>
        <w:tc>
          <w:tcPr>
            <w:tcW w:w="5922" w:type="dxa"/>
            <w:gridSpan w:val="2"/>
            <w:shd w:val="clear" w:color="auto" w:fill="auto"/>
          </w:tcPr>
          <w:p w14:paraId="739C287E" w14:textId="77777777" w:rsidR="00FC147B" w:rsidRPr="00B8783D" w:rsidRDefault="00B8783D">
            <w:pPr>
              <w:rPr>
                <w:rFonts w:ascii="Times New Roman" w:eastAsia="Times New Roman" w:hAnsi="Times New Roman"/>
                <w:b/>
                <w:bCs/>
                <w:sz w:val="26"/>
                <w:szCs w:val="26"/>
                <w:rtl/>
              </w:rPr>
            </w:pPr>
            <w:r w:rsidRPr="00B8783D">
              <w:rPr>
                <w:rFonts w:ascii="Times New Roman" w:eastAsia="Times New Roman" w:hAnsi="Times New Roman" w:hint="cs"/>
                <w:rtl/>
              </w:rPr>
              <w:t>שמואל קאשי</w:t>
            </w:r>
          </w:p>
        </w:tc>
      </w:tr>
    </w:tbl>
    <w:p w14:paraId="13F23FF4" w14:textId="77777777" w:rsidR="00FC147B" w:rsidRPr="00B8783D" w:rsidRDefault="00B8783D">
      <w:pPr>
        <w:spacing w:line="360" w:lineRule="auto"/>
        <w:rPr>
          <w:rFonts w:ascii="Times New Roman" w:eastAsia="Times New Roman" w:hAnsi="Times New Roman"/>
          <w:b/>
          <w:bCs/>
          <w:rtl/>
          <w:lang w:eastAsia="he-IL"/>
        </w:rPr>
      </w:pPr>
      <w:r w:rsidRPr="00B8783D">
        <w:rPr>
          <w:rFonts w:ascii="Times New Roman" w:eastAsia="Times New Roman" w:hAnsi="Times New Roman"/>
          <w:b/>
          <w:bCs/>
          <w:rtl/>
          <w:lang w:eastAsia="he-IL"/>
        </w:rPr>
        <w:t>נוכחים:</w:t>
      </w:r>
    </w:p>
    <w:p w14:paraId="4F8C2C70" w14:textId="77777777" w:rsidR="00FC147B" w:rsidRPr="00B8783D" w:rsidRDefault="00B8783D">
      <w:pPr>
        <w:spacing w:line="360" w:lineRule="auto"/>
        <w:rPr>
          <w:rFonts w:ascii="Times New Roman" w:eastAsia="Times New Roman" w:hAnsi="Times New Roman"/>
          <w:rtl/>
          <w:lang w:eastAsia="he-IL"/>
        </w:rPr>
      </w:pPr>
      <w:bookmarkStart w:id="2" w:name="FirstLawyer"/>
      <w:r w:rsidRPr="00B8783D">
        <w:rPr>
          <w:rFonts w:ascii="Times New Roman" w:eastAsia="Times New Roman" w:hAnsi="Times New Roman"/>
          <w:rtl/>
          <w:lang w:eastAsia="he-IL"/>
        </w:rPr>
        <w:t>ב"כ</w:t>
      </w:r>
      <w:bookmarkEnd w:id="2"/>
      <w:r w:rsidRPr="00B8783D">
        <w:rPr>
          <w:rFonts w:ascii="Times New Roman" w:eastAsia="Times New Roman" w:hAnsi="Times New Roman"/>
          <w:rtl/>
          <w:lang w:eastAsia="he-IL"/>
        </w:rPr>
        <w:t xml:space="preserve"> המאשימה – עוה"ד  אלמוג בן חמו</w:t>
      </w:r>
    </w:p>
    <w:p w14:paraId="4F919263" w14:textId="77777777" w:rsidR="00FC147B" w:rsidRPr="00B8783D" w:rsidRDefault="00B8783D">
      <w:pPr>
        <w:spacing w:line="360" w:lineRule="auto"/>
        <w:rPr>
          <w:rtl/>
        </w:rPr>
      </w:pPr>
      <w:r w:rsidRPr="00B8783D">
        <w:rPr>
          <w:rFonts w:ascii="DaunPenh" w:eastAsia="Times New Roman" w:hAnsi="DaunPenh" w:hint="eastAsia"/>
          <w:rtl/>
          <w:lang w:eastAsia="he-IL"/>
        </w:rPr>
        <w:t>הנאשם</w:t>
      </w:r>
      <w:r w:rsidRPr="00B8783D">
        <w:rPr>
          <w:rFonts w:ascii="DaunPenh" w:eastAsia="Times New Roman" w:hAnsi="DaunPenh"/>
          <w:rtl/>
          <w:lang w:eastAsia="he-IL"/>
        </w:rPr>
        <w:t xml:space="preserve"> </w:t>
      </w:r>
      <w:r w:rsidRPr="00B8783D">
        <w:rPr>
          <w:rFonts w:ascii="DaunPenh" w:eastAsia="Times New Roman" w:hAnsi="DaunPenh" w:hint="eastAsia"/>
          <w:rtl/>
          <w:lang w:eastAsia="he-IL"/>
        </w:rPr>
        <w:t>וב</w:t>
      </w:r>
      <w:r w:rsidRPr="00B8783D">
        <w:rPr>
          <w:rFonts w:ascii="DaunPenh" w:eastAsia="Times New Roman" w:hAnsi="DaunPenh"/>
          <w:rtl/>
          <w:lang w:eastAsia="he-IL"/>
        </w:rPr>
        <w:t>"</w:t>
      </w:r>
      <w:r w:rsidRPr="00B8783D">
        <w:rPr>
          <w:rFonts w:ascii="DaunPenh" w:eastAsia="Times New Roman" w:hAnsi="DaunPenh" w:hint="eastAsia"/>
          <w:rtl/>
          <w:lang w:eastAsia="he-IL"/>
        </w:rPr>
        <w:t>כ</w:t>
      </w:r>
      <w:r w:rsidRPr="00B8783D">
        <w:rPr>
          <w:rFonts w:ascii="DaunPenh" w:eastAsia="Times New Roman" w:hAnsi="DaunPenh"/>
          <w:rtl/>
          <w:lang w:eastAsia="he-IL"/>
        </w:rPr>
        <w:t xml:space="preserve"> – </w:t>
      </w:r>
      <w:r w:rsidRPr="00B8783D">
        <w:rPr>
          <w:rFonts w:ascii="DaunPenh" w:eastAsia="Times New Roman" w:hAnsi="DaunPenh" w:hint="eastAsia"/>
          <w:rtl/>
          <w:lang w:eastAsia="he-IL"/>
        </w:rPr>
        <w:t>עוה</w:t>
      </w:r>
      <w:r w:rsidRPr="00B8783D">
        <w:rPr>
          <w:rFonts w:ascii="DaunPenh" w:eastAsia="Times New Roman" w:hAnsi="DaunPenh"/>
          <w:rtl/>
          <w:lang w:eastAsia="he-IL"/>
        </w:rPr>
        <w:t>"</w:t>
      </w:r>
      <w:r w:rsidRPr="00B8783D">
        <w:rPr>
          <w:rFonts w:ascii="DaunPenh" w:eastAsia="Times New Roman" w:hAnsi="DaunPenh" w:hint="eastAsia"/>
          <w:rtl/>
          <w:lang w:eastAsia="he-IL"/>
        </w:rPr>
        <w:t>ד</w:t>
      </w:r>
      <w:r w:rsidRPr="00B8783D">
        <w:rPr>
          <w:rFonts w:ascii="DaunPenh" w:eastAsia="Times New Roman" w:hAnsi="DaunPenh"/>
          <w:rtl/>
          <w:lang w:eastAsia="he-IL"/>
        </w:rPr>
        <w:t xml:space="preserve"> </w:t>
      </w:r>
      <w:r w:rsidRPr="00B8783D">
        <w:rPr>
          <w:rFonts w:ascii="DaunPenh" w:eastAsia="Times New Roman" w:hAnsi="DaunPenh" w:hint="cs"/>
          <w:rtl/>
          <w:lang w:eastAsia="he-IL"/>
        </w:rPr>
        <w:t>אסף שלם</w:t>
      </w:r>
    </w:p>
    <w:p w14:paraId="1EA9C7AB" w14:textId="77777777" w:rsidR="00B8783D" w:rsidRPr="00B8783D" w:rsidRDefault="00B8783D" w:rsidP="00B8783D">
      <w:pPr>
        <w:spacing w:after="120" w:line="240" w:lineRule="exact"/>
        <w:ind w:left="283" w:hanging="283"/>
        <w:jc w:val="both"/>
        <w:rPr>
          <w:rFonts w:ascii="FrankRuehl" w:hAnsi="FrankRuehl" w:cs="FrankRuehl"/>
          <w:rtl/>
        </w:rPr>
      </w:pPr>
    </w:p>
    <w:p w14:paraId="725DAD94" w14:textId="77777777" w:rsidR="00B8783D" w:rsidRPr="00B8783D" w:rsidRDefault="00B8783D" w:rsidP="00B8783D">
      <w:pPr>
        <w:spacing w:after="120" w:line="240" w:lineRule="exact"/>
        <w:ind w:left="283" w:hanging="283"/>
        <w:jc w:val="both"/>
        <w:rPr>
          <w:rFonts w:ascii="FrankRuehl" w:hAnsi="FrankRuehl" w:cs="FrankRuehl"/>
          <w:rtl/>
        </w:rPr>
      </w:pPr>
      <w:r w:rsidRPr="00B8783D">
        <w:rPr>
          <w:rFonts w:ascii="FrankRuehl" w:hAnsi="FrankRuehl" w:cs="FrankRuehl"/>
          <w:rtl/>
        </w:rPr>
        <w:t xml:space="preserve">חקיקה שאוזכרה: </w:t>
      </w:r>
    </w:p>
    <w:p w14:paraId="0ED90B64" w14:textId="77777777" w:rsidR="00B8783D" w:rsidRPr="00B8783D" w:rsidRDefault="00B8783D" w:rsidP="00B8783D">
      <w:pPr>
        <w:spacing w:after="120" w:line="240" w:lineRule="exact"/>
        <w:ind w:left="283" w:hanging="283"/>
        <w:jc w:val="both"/>
        <w:rPr>
          <w:rFonts w:ascii="FrankRuehl" w:hAnsi="FrankRuehl" w:cs="FrankRuehl"/>
          <w:color w:val="0000FF"/>
          <w:u w:val="single"/>
          <w:rtl/>
        </w:rPr>
      </w:pPr>
      <w:hyperlink r:id="rId7" w:history="1">
        <w:r w:rsidRPr="00B8783D">
          <w:rPr>
            <w:rStyle w:val="Hyperlink"/>
            <w:rFonts w:ascii="FrankRuehl" w:hAnsi="FrankRuehl" w:cs="FrankRuehl"/>
            <w:rtl/>
          </w:rPr>
          <w:t>פקודת הסמים המסוכנים [נוסח חדש], תשל"ג-1973</w:t>
        </w:r>
      </w:hyperlink>
    </w:p>
    <w:p w14:paraId="3796C249" w14:textId="77777777" w:rsidR="002B229D" w:rsidRDefault="00B8783D" w:rsidP="00B8783D">
      <w:pPr>
        <w:spacing w:after="120" w:line="240" w:lineRule="exact"/>
        <w:ind w:left="283" w:hanging="283"/>
        <w:jc w:val="both"/>
        <w:rPr>
          <w:rFonts w:ascii="FrankRuehl" w:hAnsi="FrankRuehl" w:cs="FrankRuehl"/>
          <w:color w:val="0000FF"/>
          <w:rtl/>
        </w:rPr>
      </w:pPr>
      <w:hyperlink r:id="rId8" w:history="1">
        <w:r w:rsidRPr="00B8783D">
          <w:rPr>
            <w:rStyle w:val="Hyperlink"/>
            <w:rFonts w:ascii="FrankRuehl" w:hAnsi="FrankRuehl" w:cs="FrankRuehl"/>
            <w:rtl/>
          </w:rPr>
          <w:t>חוק העונשין, תשל"ז-1977</w:t>
        </w:r>
      </w:hyperlink>
      <w:bookmarkStart w:id="3" w:name="LawTable"/>
      <w:bookmarkEnd w:id="3"/>
    </w:p>
    <w:p w14:paraId="2DA844E2" w14:textId="77777777" w:rsidR="002B229D" w:rsidRPr="002B229D" w:rsidRDefault="002B229D" w:rsidP="002B229D">
      <w:pPr>
        <w:spacing w:after="120" w:line="240" w:lineRule="exact"/>
        <w:ind w:left="283" w:hanging="283"/>
        <w:jc w:val="both"/>
        <w:rPr>
          <w:rFonts w:ascii="FrankRuehl" w:hAnsi="FrankRuehl" w:cs="FrankRuehl"/>
          <w:color w:val="0000FF"/>
          <w:rtl/>
        </w:rPr>
      </w:pPr>
    </w:p>
    <w:p w14:paraId="2B676E31" w14:textId="77777777" w:rsidR="002B229D" w:rsidRPr="002B229D" w:rsidRDefault="002B229D" w:rsidP="002B229D">
      <w:pPr>
        <w:spacing w:after="120" w:line="240" w:lineRule="exact"/>
        <w:ind w:left="283" w:hanging="283"/>
        <w:jc w:val="both"/>
        <w:rPr>
          <w:rFonts w:ascii="FrankRuehl" w:hAnsi="FrankRuehl" w:cs="FrankRuehl"/>
          <w:color w:val="0000FF"/>
          <w:rtl/>
        </w:rPr>
      </w:pPr>
      <w:r w:rsidRPr="002B229D">
        <w:rPr>
          <w:rFonts w:ascii="FrankRuehl" w:hAnsi="FrankRuehl" w:cs="FrankRuehl"/>
          <w:color w:val="0000FF"/>
          <w:rtl/>
        </w:rPr>
        <w:t xml:space="preserve">חקיקה שאוזכרה: </w:t>
      </w:r>
    </w:p>
    <w:p w14:paraId="39FB0A58" w14:textId="77777777" w:rsidR="002B229D" w:rsidRPr="002B229D" w:rsidRDefault="002B229D" w:rsidP="002B229D">
      <w:pPr>
        <w:spacing w:after="120" w:line="240" w:lineRule="exact"/>
        <w:ind w:left="283" w:hanging="283"/>
        <w:jc w:val="both"/>
        <w:rPr>
          <w:rFonts w:ascii="FrankRuehl" w:hAnsi="FrankRuehl" w:cs="FrankRuehl"/>
          <w:rtl/>
        </w:rPr>
      </w:pPr>
      <w:hyperlink r:id="rId9" w:history="1">
        <w:r w:rsidRPr="002B229D">
          <w:rPr>
            <w:rFonts w:ascii="FrankRuehl" w:hAnsi="FrankRuehl" w:cs="FrankRuehl"/>
            <w:color w:val="0000FF"/>
            <w:u w:val="single"/>
            <w:rtl/>
          </w:rPr>
          <w:t>פקודת הסמים המסוכנים [נוסח חדש], תשל"ג-1973</w:t>
        </w:r>
      </w:hyperlink>
      <w:r w:rsidRPr="002B229D">
        <w:rPr>
          <w:rFonts w:ascii="FrankRuehl" w:hAnsi="FrankRuehl" w:cs="FrankRuehl"/>
          <w:rtl/>
        </w:rPr>
        <w:t xml:space="preserve">: סע'  </w:t>
      </w:r>
      <w:hyperlink r:id="rId10" w:history="1">
        <w:r w:rsidRPr="002B229D">
          <w:rPr>
            <w:rFonts w:ascii="FrankRuehl" w:hAnsi="FrankRuehl" w:cs="FrankRuehl"/>
            <w:color w:val="0000FF"/>
            <w:u w:val="single"/>
            <w:rtl/>
          </w:rPr>
          <w:t>6</w:t>
        </w:r>
      </w:hyperlink>
      <w:r w:rsidRPr="002B229D">
        <w:rPr>
          <w:rFonts w:ascii="FrankRuehl" w:hAnsi="FrankRuehl" w:cs="FrankRuehl"/>
          <w:rtl/>
        </w:rPr>
        <w:t xml:space="preserve">, </w:t>
      </w:r>
      <w:hyperlink r:id="rId11" w:history="1">
        <w:r w:rsidRPr="002B229D">
          <w:rPr>
            <w:rFonts w:ascii="FrankRuehl" w:hAnsi="FrankRuehl" w:cs="FrankRuehl"/>
            <w:color w:val="0000FF"/>
            <w:u w:val="single"/>
            <w:rtl/>
          </w:rPr>
          <w:t>7 (א)</w:t>
        </w:r>
      </w:hyperlink>
      <w:r w:rsidRPr="002B229D">
        <w:rPr>
          <w:rFonts w:ascii="FrankRuehl" w:hAnsi="FrankRuehl" w:cs="FrankRuehl"/>
          <w:rtl/>
        </w:rPr>
        <w:t xml:space="preserve">, </w:t>
      </w:r>
      <w:hyperlink r:id="rId12" w:history="1">
        <w:r w:rsidRPr="002B229D">
          <w:rPr>
            <w:rFonts w:ascii="FrankRuehl" w:hAnsi="FrankRuehl" w:cs="FrankRuehl"/>
            <w:color w:val="0000FF"/>
            <w:u w:val="single"/>
            <w:rtl/>
          </w:rPr>
          <w:t>7 (ג)</w:t>
        </w:r>
      </w:hyperlink>
      <w:r w:rsidRPr="002B229D">
        <w:rPr>
          <w:rFonts w:ascii="FrankRuehl" w:hAnsi="FrankRuehl" w:cs="FrankRuehl"/>
          <w:rtl/>
        </w:rPr>
        <w:t xml:space="preserve">, </w:t>
      </w:r>
      <w:hyperlink r:id="rId13" w:history="1">
        <w:r w:rsidRPr="002B229D">
          <w:rPr>
            <w:rFonts w:ascii="FrankRuehl" w:hAnsi="FrankRuehl" w:cs="FrankRuehl"/>
            <w:color w:val="0000FF"/>
            <w:u w:val="single"/>
            <w:rtl/>
          </w:rPr>
          <w:t>10</w:t>
        </w:r>
      </w:hyperlink>
    </w:p>
    <w:p w14:paraId="6EC8A2D0" w14:textId="77777777" w:rsidR="002B229D" w:rsidRPr="002B229D" w:rsidRDefault="002B229D" w:rsidP="002B229D">
      <w:pPr>
        <w:spacing w:after="120" w:line="240" w:lineRule="exact"/>
        <w:ind w:left="283" w:hanging="283"/>
        <w:jc w:val="both"/>
        <w:rPr>
          <w:rFonts w:ascii="FrankRuehl" w:hAnsi="FrankRuehl" w:cs="FrankRuehl"/>
          <w:rtl/>
        </w:rPr>
      </w:pPr>
      <w:hyperlink r:id="rId14" w:history="1">
        <w:r w:rsidRPr="002B229D">
          <w:rPr>
            <w:rFonts w:ascii="FrankRuehl" w:hAnsi="FrankRuehl" w:cs="FrankRuehl"/>
            <w:color w:val="0000FF"/>
            <w:u w:val="single"/>
            <w:rtl/>
          </w:rPr>
          <w:t>חוק העונשין, תשל"ז-1977</w:t>
        </w:r>
      </w:hyperlink>
      <w:r w:rsidRPr="002B229D">
        <w:rPr>
          <w:rFonts w:ascii="FrankRuehl" w:hAnsi="FrankRuehl" w:cs="FrankRuehl"/>
          <w:rtl/>
        </w:rPr>
        <w:t xml:space="preserve">: סע'  </w:t>
      </w:r>
      <w:hyperlink r:id="rId15" w:history="1">
        <w:r w:rsidRPr="002B229D">
          <w:rPr>
            <w:rFonts w:ascii="FrankRuehl" w:hAnsi="FrankRuehl" w:cs="FrankRuehl"/>
            <w:color w:val="0000FF"/>
            <w:u w:val="single"/>
            <w:rtl/>
          </w:rPr>
          <w:t>40 ב'</w:t>
        </w:r>
      </w:hyperlink>
      <w:r w:rsidRPr="002B229D">
        <w:rPr>
          <w:rFonts w:ascii="FrankRuehl" w:hAnsi="FrankRuehl" w:cs="FrankRuehl"/>
          <w:rtl/>
        </w:rPr>
        <w:t xml:space="preserve">, </w:t>
      </w:r>
      <w:hyperlink r:id="rId16" w:history="1">
        <w:r w:rsidRPr="002B229D">
          <w:rPr>
            <w:rFonts w:ascii="FrankRuehl" w:hAnsi="FrankRuehl" w:cs="FrankRuehl"/>
            <w:color w:val="0000FF"/>
            <w:u w:val="single"/>
            <w:rtl/>
          </w:rPr>
          <w:t>40 ג' (א)</w:t>
        </w:r>
      </w:hyperlink>
      <w:r w:rsidRPr="002B229D">
        <w:rPr>
          <w:rFonts w:ascii="FrankRuehl" w:hAnsi="FrankRuehl" w:cs="FrankRuehl"/>
          <w:rtl/>
        </w:rPr>
        <w:t xml:space="preserve">, </w:t>
      </w:r>
      <w:hyperlink r:id="rId17" w:history="1">
        <w:r w:rsidRPr="002B229D">
          <w:rPr>
            <w:rFonts w:ascii="FrankRuehl" w:hAnsi="FrankRuehl" w:cs="FrankRuehl"/>
            <w:color w:val="0000FF"/>
            <w:u w:val="single"/>
            <w:rtl/>
          </w:rPr>
          <w:t>40ד(א)</w:t>
        </w:r>
      </w:hyperlink>
      <w:r w:rsidRPr="002B229D">
        <w:rPr>
          <w:rFonts w:ascii="FrankRuehl" w:hAnsi="FrankRuehl" w:cs="FrankRuehl"/>
          <w:rtl/>
        </w:rPr>
        <w:t xml:space="preserve">, </w:t>
      </w:r>
      <w:hyperlink r:id="rId18" w:history="1">
        <w:r w:rsidRPr="002B229D">
          <w:rPr>
            <w:rFonts w:ascii="FrankRuehl" w:hAnsi="FrankRuehl" w:cs="FrankRuehl"/>
            <w:color w:val="0000FF"/>
            <w:u w:val="single"/>
            <w:rtl/>
          </w:rPr>
          <w:t>40יא</w:t>
        </w:r>
      </w:hyperlink>
    </w:p>
    <w:p w14:paraId="221B0564" w14:textId="77777777" w:rsidR="002B229D" w:rsidRPr="002B229D" w:rsidRDefault="002B229D" w:rsidP="002B229D">
      <w:pPr>
        <w:spacing w:after="120" w:line="240" w:lineRule="exact"/>
        <w:ind w:left="283" w:hanging="283"/>
        <w:jc w:val="both"/>
        <w:rPr>
          <w:rFonts w:ascii="FrankRuehl" w:hAnsi="FrankRuehl" w:cs="FrankRuehl"/>
          <w:rtl/>
        </w:rPr>
      </w:pPr>
    </w:p>
    <w:p w14:paraId="01AAA2AD" w14:textId="77777777" w:rsidR="002B229D" w:rsidRPr="002B229D" w:rsidRDefault="002B229D" w:rsidP="00B8783D">
      <w:pPr>
        <w:spacing w:after="120" w:line="240" w:lineRule="exact"/>
        <w:ind w:left="283" w:hanging="283"/>
        <w:jc w:val="both"/>
        <w:rPr>
          <w:rFonts w:ascii="FrankRuehl" w:hAnsi="FrankRuehl" w:cs="FrankRuehl"/>
          <w:rtl/>
        </w:rPr>
      </w:pPr>
      <w:bookmarkStart w:id="4" w:name="LawTable_End"/>
      <w:bookmarkEnd w:id="4"/>
    </w:p>
    <w:p w14:paraId="0A2F760E" w14:textId="77777777" w:rsidR="002B229D" w:rsidRPr="002B229D" w:rsidRDefault="002B229D" w:rsidP="00B8783D">
      <w:pPr>
        <w:spacing w:after="120" w:line="240" w:lineRule="exact"/>
        <w:ind w:left="283" w:hanging="283"/>
        <w:jc w:val="both"/>
        <w:rPr>
          <w:rFonts w:ascii="FrankRuehl" w:hAnsi="FrankRuehl" w:cs="FrankRuehl"/>
          <w:color w:val="0000FF"/>
          <w:rtl/>
        </w:rPr>
      </w:pPr>
    </w:p>
    <w:p w14:paraId="59D0BB32" w14:textId="77777777" w:rsidR="00B8783D" w:rsidRPr="002B229D" w:rsidRDefault="00B8783D" w:rsidP="00B8783D">
      <w:pPr>
        <w:spacing w:after="120" w:line="240" w:lineRule="exact"/>
        <w:ind w:left="283" w:hanging="283"/>
        <w:jc w:val="both"/>
        <w:rPr>
          <w:rFonts w:ascii="FrankRuehl" w:hAnsi="FrankRuehl" w:cs="FrankRuehl"/>
          <w:color w:val="0000FF"/>
          <w:rtl/>
        </w:rPr>
      </w:pPr>
    </w:p>
    <w:p w14:paraId="37AA6245" w14:textId="77777777" w:rsidR="00B8783D" w:rsidRPr="00B8783D" w:rsidRDefault="00B8783D" w:rsidP="00B8783D">
      <w:pPr>
        <w:spacing w:line="360" w:lineRule="auto"/>
        <w:ind w:left="720" w:hanging="720"/>
        <w:jc w:val="center"/>
        <w:rPr>
          <w:rFonts w:ascii="Arial" w:hAnsi="Arial"/>
          <w:b/>
          <w:bCs/>
          <w:sz w:val="28"/>
          <w:szCs w:val="28"/>
          <w:u w:val="single"/>
          <w:rtl/>
        </w:rPr>
      </w:pPr>
      <w:bookmarkStart w:id="5" w:name="PsakDin"/>
      <w:bookmarkEnd w:id="0"/>
      <w:r w:rsidRPr="00B8783D">
        <w:rPr>
          <w:rFonts w:ascii="Arial" w:hAnsi="Arial"/>
          <w:b/>
          <w:bCs/>
          <w:sz w:val="28"/>
          <w:szCs w:val="28"/>
          <w:u w:val="single"/>
          <w:rtl/>
        </w:rPr>
        <w:t>גזר דין</w:t>
      </w:r>
    </w:p>
    <w:bookmarkEnd w:id="5"/>
    <w:p w14:paraId="1E88B7F3" w14:textId="77777777" w:rsidR="00FC147B" w:rsidRDefault="00B8783D">
      <w:pPr>
        <w:spacing w:line="360" w:lineRule="auto"/>
        <w:ind w:left="720" w:hanging="720"/>
        <w:jc w:val="both"/>
        <w:rPr>
          <w:rFonts w:ascii="Times New Roman" w:hAnsi="Times New Roman"/>
          <w:rtl/>
        </w:rPr>
      </w:pPr>
      <w:r>
        <w:rPr>
          <w:rFonts w:hint="cs"/>
          <w:rtl/>
        </w:rPr>
        <w:t>1.</w:t>
      </w:r>
      <w:r>
        <w:rPr>
          <w:rFonts w:hint="cs"/>
          <w:rtl/>
        </w:rPr>
        <w:tab/>
      </w:r>
      <w:bookmarkStart w:id="6" w:name="ABSTRACT_START"/>
      <w:bookmarkEnd w:id="6"/>
      <w:r>
        <w:rPr>
          <w:rFonts w:hint="cs"/>
          <w:rtl/>
        </w:rPr>
        <w:t xml:space="preserve">הנאשם הורשע, על פי הודאתו, בעובדות כתב האישום המתוקן, המייחס לו גידול יצור הכנת סמים מסוכנים, עבירה על </w:t>
      </w:r>
      <w:hyperlink r:id="rId19" w:history="1">
        <w:r w:rsidR="00DA0020" w:rsidRPr="00DA0020">
          <w:rPr>
            <w:color w:val="0000FF"/>
            <w:u w:val="single"/>
            <w:rtl/>
          </w:rPr>
          <w:t>סעיף 6</w:t>
        </w:r>
      </w:hyperlink>
      <w:r>
        <w:rPr>
          <w:rFonts w:hint="cs"/>
          <w:rtl/>
        </w:rPr>
        <w:t xml:space="preserve"> ב</w:t>
      </w:r>
      <w:hyperlink r:id="rId20" w:history="1">
        <w:r w:rsidRPr="00B8783D">
          <w:rPr>
            <w:rStyle w:val="Hyperlink"/>
            <w:rFonts w:hint="eastAsia"/>
            <w:rtl/>
          </w:rPr>
          <w:t>פקודת</w:t>
        </w:r>
        <w:r w:rsidRPr="00B8783D">
          <w:rPr>
            <w:rStyle w:val="Hyperlink"/>
            <w:rtl/>
          </w:rPr>
          <w:t xml:space="preserve"> הסמים המסוכנים</w:t>
        </w:r>
      </w:hyperlink>
      <w:r>
        <w:rPr>
          <w:rFonts w:hint="cs"/>
          <w:rtl/>
        </w:rPr>
        <w:t xml:space="preserve"> (נוסח חדש) תשל"ג-1973 (להלן: "הפקודה"), החזקת סמים לצריכה עצמית, עבירה על סעיף </w:t>
      </w:r>
      <w:hyperlink r:id="rId21" w:history="1">
        <w:r w:rsidR="00DA0020" w:rsidRPr="00DA0020">
          <w:rPr>
            <w:color w:val="0000FF"/>
            <w:u w:val="single"/>
            <w:rtl/>
          </w:rPr>
          <w:t>7 (א)</w:t>
        </w:r>
      </w:hyperlink>
      <w:r>
        <w:rPr>
          <w:rFonts w:hint="cs"/>
          <w:rtl/>
        </w:rPr>
        <w:t xml:space="preserve"> + </w:t>
      </w:r>
      <w:hyperlink r:id="rId22" w:history="1">
        <w:r w:rsidR="00DA0020" w:rsidRPr="00DA0020">
          <w:rPr>
            <w:color w:val="0000FF"/>
            <w:u w:val="single"/>
            <w:rtl/>
          </w:rPr>
          <w:t>7 (ג)</w:t>
        </w:r>
      </w:hyperlink>
      <w:r>
        <w:rPr>
          <w:rFonts w:hint="cs"/>
          <w:rtl/>
        </w:rPr>
        <w:t xml:space="preserve"> סיפא בפקודה והחזקת כלים להכנת סם לצריכה עצמית, עבירה על </w:t>
      </w:r>
      <w:hyperlink r:id="rId23" w:history="1">
        <w:r w:rsidR="00DA0020" w:rsidRPr="00DA0020">
          <w:rPr>
            <w:color w:val="0000FF"/>
            <w:u w:val="single"/>
            <w:rtl/>
          </w:rPr>
          <w:t>סעיף 10</w:t>
        </w:r>
      </w:hyperlink>
      <w:r>
        <w:rPr>
          <w:rFonts w:hint="cs"/>
          <w:rtl/>
        </w:rPr>
        <w:t xml:space="preserve"> רישא בפקודה.</w:t>
      </w:r>
    </w:p>
    <w:p w14:paraId="7E05B8AB" w14:textId="77777777" w:rsidR="00FC147B" w:rsidRDefault="00FC147B">
      <w:pPr>
        <w:spacing w:line="360" w:lineRule="auto"/>
        <w:jc w:val="both"/>
        <w:rPr>
          <w:rtl/>
        </w:rPr>
      </w:pPr>
      <w:bookmarkStart w:id="7" w:name="ABSTRACT_END"/>
      <w:bookmarkEnd w:id="7"/>
    </w:p>
    <w:p w14:paraId="3C8A7EB1" w14:textId="77777777" w:rsidR="00FC147B" w:rsidRDefault="00B8783D">
      <w:pPr>
        <w:spacing w:line="360" w:lineRule="auto"/>
        <w:ind w:left="720" w:hanging="720"/>
        <w:jc w:val="both"/>
        <w:rPr>
          <w:rtl/>
        </w:rPr>
      </w:pPr>
      <w:r>
        <w:rPr>
          <w:rFonts w:hint="cs"/>
          <w:rtl/>
        </w:rPr>
        <w:t>2.</w:t>
      </w:r>
      <w:r>
        <w:rPr>
          <w:rFonts w:hint="cs"/>
          <w:rtl/>
        </w:rPr>
        <w:tab/>
        <w:t xml:space="preserve">מעובדות כתב האישום עולה כי ביום 16.1.14 שעה 18:30, במהלך חיפוש בדירתו של הנאשם, על פי צו מבית המשפט השלום בנתניה, החזיק הנאשם על גופו נייר מקופל ובו סם </w:t>
      </w:r>
      <w:r>
        <w:rPr>
          <w:rFonts w:hint="cs"/>
          <w:rtl/>
        </w:rPr>
        <w:lastRenderedPageBreak/>
        <w:t>מסוכן מסוג קנבוס במשקל כולל של 0.18 גרם נטו וזאת ללא היתר מהמנהל, שלא כדין, לצריכתו העצמית.</w:t>
      </w:r>
    </w:p>
    <w:p w14:paraId="282B2ED5" w14:textId="77777777" w:rsidR="00FC147B" w:rsidRDefault="00B8783D">
      <w:pPr>
        <w:spacing w:line="360" w:lineRule="auto"/>
        <w:ind w:left="720" w:hanging="720"/>
        <w:jc w:val="both"/>
        <w:rPr>
          <w:rtl/>
        </w:rPr>
      </w:pPr>
      <w:r>
        <w:rPr>
          <w:rFonts w:hint="cs"/>
          <w:rtl/>
        </w:rPr>
        <w:tab/>
        <w:t>בנוסף נתפסו ע ל הנאשם 601 דולר ו-600 ₪.</w:t>
      </w:r>
    </w:p>
    <w:p w14:paraId="1BB075C0" w14:textId="77777777" w:rsidR="00FC147B" w:rsidRDefault="00B8783D">
      <w:pPr>
        <w:spacing w:line="360" w:lineRule="auto"/>
        <w:ind w:left="720"/>
        <w:jc w:val="both"/>
        <w:rPr>
          <w:rtl/>
        </w:rPr>
      </w:pPr>
      <w:r>
        <w:rPr>
          <w:rFonts w:hint="cs"/>
          <w:rtl/>
        </w:rPr>
        <w:t>בהמשך למתואר לעיל, כשלושה חודשים עובר למועד המתואר לעיל, התקין הנאשם בביתו אביזרי חשמל שונים לרבות מנורות הלוגן, מזגן, גופי תאורה, טסטרים בעלי צג מדידה, כבלי חשמל שונים (להלן: "המכשיר החשמלי") וכן ציוד חקלאי לרבות פילטרים, מעמד לשתילים, חומרי בידוד וחומרי דישון, מפצלי השקיה (להלן: "הציוד החקלאי"), וזאת במטרה לגדל בדירה סם מסוג קנבוס, בתנאי מעבדה (להלן: "המעבדה").</w:t>
      </w:r>
    </w:p>
    <w:p w14:paraId="5BA20E74" w14:textId="77777777" w:rsidR="00FC147B" w:rsidRDefault="00B8783D">
      <w:pPr>
        <w:spacing w:line="360" w:lineRule="auto"/>
        <w:ind w:left="720"/>
        <w:jc w:val="both"/>
        <w:rPr>
          <w:rtl/>
        </w:rPr>
      </w:pPr>
      <w:r>
        <w:rPr>
          <w:rFonts w:hint="cs"/>
          <w:rtl/>
        </w:rPr>
        <w:t>בנסיבות אלו, ביום 16.1.14 במעבדה אשר בבית, החזיק וגידל הנאשם 24 שתילים מסוג קנבוס במשקל כולל של 346.55 גרם נטו.</w:t>
      </w:r>
    </w:p>
    <w:p w14:paraId="731171D2" w14:textId="77777777" w:rsidR="00FC147B" w:rsidRDefault="00B8783D">
      <w:pPr>
        <w:spacing w:line="360" w:lineRule="auto"/>
        <w:jc w:val="both"/>
        <w:rPr>
          <w:rtl/>
        </w:rPr>
      </w:pPr>
      <w:r>
        <w:rPr>
          <w:rFonts w:hint="cs"/>
          <w:rtl/>
        </w:rPr>
        <w:tab/>
      </w:r>
    </w:p>
    <w:p w14:paraId="7F4884E3" w14:textId="77777777" w:rsidR="00FC147B" w:rsidRDefault="00B8783D">
      <w:pPr>
        <w:spacing w:line="360" w:lineRule="auto"/>
        <w:ind w:left="720" w:hanging="720"/>
        <w:jc w:val="both"/>
        <w:rPr>
          <w:rtl/>
        </w:rPr>
      </w:pPr>
      <w:r>
        <w:rPr>
          <w:rFonts w:hint="cs"/>
          <w:rtl/>
        </w:rPr>
        <w:t>3.</w:t>
      </w:r>
      <w:r>
        <w:rPr>
          <w:rFonts w:hint="cs"/>
          <w:rtl/>
        </w:rPr>
        <w:tab/>
        <w:t>הצדדים הגיעו להסדר דיוני לפיו הודה הנאשם בכתב האישום המתוקן, הורשע ונשלח לקבלת תסקיר שירות מבחן בעניינו.</w:t>
      </w:r>
    </w:p>
    <w:p w14:paraId="1C1F058F" w14:textId="77777777" w:rsidR="00FC147B" w:rsidRDefault="00FC147B">
      <w:pPr>
        <w:spacing w:line="360" w:lineRule="auto"/>
        <w:jc w:val="both"/>
        <w:rPr>
          <w:rtl/>
        </w:rPr>
      </w:pPr>
    </w:p>
    <w:p w14:paraId="6D24F39F" w14:textId="77777777" w:rsidR="00FC147B" w:rsidRDefault="00B8783D">
      <w:pPr>
        <w:spacing w:line="360" w:lineRule="auto"/>
        <w:ind w:left="720" w:hanging="720"/>
        <w:jc w:val="both"/>
        <w:rPr>
          <w:rtl/>
        </w:rPr>
      </w:pPr>
      <w:r>
        <w:rPr>
          <w:rFonts w:hint="cs"/>
          <w:rtl/>
        </w:rPr>
        <w:t>4.</w:t>
      </w:r>
      <w:r>
        <w:rPr>
          <w:rFonts w:hint="cs"/>
          <w:rtl/>
        </w:rPr>
        <w:tab/>
        <w:t>לתיק בית המשפט הוגש תסקיר שירות המבחן ממנו עלה כי הנאשם בן 61, נעדר עבר פלילי, גרוש ואב לארבעה ילדים משתי מערכות נישואין, אשתו הראשונה נפטרה ממחלת הסרטן לאחר 16 שנות נישואין. הנאשם נמצא ב"מרכז יום" ב"בית חוסן" ועובד במזנון כמוכר פלאפל מ-12/2014.</w:t>
      </w:r>
    </w:p>
    <w:p w14:paraId="3DA30F33" w14:textId="77777777" w:rsidR="00FC147B" w:rsidRDefault="00B8783D">
      <w:pPr>
        <w:spacing w:line="360" w:lineRule="auto"/>
        <w:ind w:left="720" w:hanging="720"/>
        <w:jc w:val="both"/>
        <w:rPr>
          <w:rtl/>
        </w:rPr>
      </w:pPr>
      <w:r>
        <w:rPr>
          <w:rFonts w:hint="cs"/>
          <w:rtl/>
        </w:rPr>
        <w:tab/>
        <w:t xml:space="preserve">הנאשם סיים 12 שנות לימוד וגויס לצה"ל בגיל המתאים. </w:t>
      </w:r>
    </w:p>
    <w:p w14:paraId="338AFBDB" w14:textId="77777777" w:rsidR="00FC147B" w:rsidRDefault="00B8783D">
      <w:pPr>
        <w:spacing w:line="360" w:lineRule="auto"/>
        <w:ind w:left="720"/>
        <w:jc w:val="both"/>
        <w:rPr>
          <w:rtl/>
        </w:rPr>
      </w:pPr>
      <w:r>
        <w:rPr>
          <w:rFonts w:hint="cs"/>
          <w:rtl/>
        </w:rPr>
        <w:t>אשר לשימוש בסמים הנאשם שיתף את שירות המבחן כי הוא החל שימוש בסמים מסוג קנאביס בגיל 12, בארץ הולדתו. במהלך השנים התנסה בסוגי סמים שונים, אולם עשה שימוש קבוע בקנאביס.</w:t>
      </w:r>
    </w:p>
    <w:p w14:paraId="75ECE2B6" w14:textId="77777777" w:rsidR="00FC147B" w:rsidRDefault="00B8783D">
      <w:pPr>
        <w:spacing w:line="360" w:lineRule="auto"/>
        <w:ind w:left="720"/>
        <w:jc w:val="both"/>
        <w:rPr>
          <w:rtl/>
        </w:rPr>
      </w:pPr>
      <w:r>
        <w:rPr>
          <w:rFonts w:hint="cs"/>
          <w:rtl/>
        </w:rPr>
        <w:t>הנאשם הוסיף כי לפני כ-4 שנים ועל רקע משבר הגירושין מאשתו השנייה ועל רקע היותו נתון במצב נפשי ירוד החל שימוש אינטנסיבי ויומיומי בקנאביס, זאת עד למעצרו בתיק דנן.</w:t>
      </w:r>
    </w:p>
    <w:p w14:paraId="1BC25E60" w14:textId="77777777" w:rsidR="00FC147B" w:rsidRDefault="00B8783D">
      <w:pPr>
        <w:spacing w:line="360" w:lineRule="auto"/>
        <w:ind w:left="720"/>
        <w:jc w:val="both"/>
        <w:rPr>
          <w:rtl/>
        </w:rPr>
      </w:pPr>
      <w:r>
        <w:rPr>
          <w:rFonts w:hint="cs"/>
          <w:rtl/>
        </w:rPr>
        <w:t>שירות המבחן התרשם כי הנאשם מתקשה לבחון קשייו ואופן התנהלותו הבעייתיים וניכר כי מושפע מהתמכרותו לסמים. במסגרת חקירת המעצר הוא הופנה על ידי שירות המבחן ל"בית חוסן", היחידה לטיפול בהתמכרויות בנתניה.</w:t>
      </w:r>
    </w:p>
    <w:p w14:paraId="0AAB3EE7" w14:textId="77777777" w:rsidR="00FC147B" w:rsidRDefault="00B8783D">
      <w:pPr>
        <w:spacing w:line="360" w:lineRule="auto"/>
        <w:ind w:left="720"/>
        <w:jc w:val="both"/>
        <w:rPr>
          <w:rtl/>
        </w:rPr>
      </w:pPr>
      <w:r>
        <w:rPr>
          <w:rFonts w:hint="cs"/>
          <w:rtl/>
        </w:rPr>
        <w:t xml:space="preserve">מדו"ח אשר נמסר לשירות המבחן מגורמי הטיפול ב"בית חוסן" בתאריך 28.4.15 עלה כי הנאשם החל טיפול במרכזם במהלך 1/2014, לאחר כחודש השתלב בקבוצת הכנה. במהלך קבוצה זו השתלבותו במרכז לוותה בקשיים והוחלט להשעותו מהטיפול. לאחר כחודש, הנאשם פנה בבקשה לחזור לטיפול, והתרשמות גורמי הטיפול הייתה שהשעייתו סייעה לו באופן ראשוני להבין את מורכבות מצבו האישי והצורך בטיפול. בתאריך 8.9.15 השתלב הנאשם ב"מרכז יום" – תכנית טיפול אינטנסיבית, המתקיימת 5 ימים בשבוע בין 08:00-14:00. עוד צוין בדו"ח כי הנאשם עומד בכללי המסגרת ומוסר בדיקות שתן נקיות משרידי סם. כמו כן, הנאשם לוקח חלק פעיל בקבוצות הטיפוליות, ממוקד בהתבוננות עצמית וניכרת </w:t>
      </w:r>
    </w:p>
    <w:p w14:paraId="6698D5F8" w14:textId="77777777" w:rsidR="00FC147B" w:rsidRDefault="00B8783D">
      <w:pPr>
        <w:spacing w:line="360" w:lineRule="auto"/>
        <w:ind w:left="720"/>
        <w:jc w:val="both"/>
        <w:rPr>
          <w:rtl/>
        </w:rPr>
      </w:pPr>
      <w:r>
        <w:rPr>
          <w:rFonts w:hint="cs"/>
          <w:rtl/>
        </w:rPr>
        <w:lastRenderedPageBreak/>
        <w:t>נכונות לדבר בפתיחות על התנהגויות שוליות בעברו ולזהות דפוסיו המכשילים מעברו וכיום.</w:t>
      </w:r>
    </w:p>
    <w:p w14:paraId="105571D3" w14:textId="77777777" w:rsidR="00FC147B" w:rsidRDefault="00B8783D">
      <w:pPr>
        <w:spacing w:line="360" w:lineRule="auto"/>
        <w:ind w:left="720"/>
        <w:jc w:val="both"/>
        <w:rPr>
          <w:rtl/>
        </w:rPr>
      </w:pPr>
      <w:r>
        <w:rPr>
          <w:rFonts w:hint="cs"/>
          <w:rtl/>
        </w:rPr>
        <w:t>התרשמות גורמי הטיפול במקום היא כי הנאשם עורך מאמצים להיעזר במסגרת הטיפולית ולהפיק ממנה תועלת לצורך שיקום חייו.</w:t>
      </w:r>
    </w:p>
    <w:p w14:paraId="38FC6041" w14:textId="77777777" w:rsidR="00FC147B" w:rsidRDefault="00B8783D">
      <w:pPr>
        <w:spacing w:line="360" w:lineRule="auto"/>
        <w:ind w:left="720"/>
        <w:jc w:val="both"/>
        <w:rPr>
          <w:rtl/>
        </w:rPr>
      </w:pPr>
      <w:r>
        <w:rPr>
          <w:rFonts w:hint="cs"/>
          <w:rtl/>
        </w:rPr>
        <w:t xml:space="preserve">בהתייחסותו לעבירות דנן, תיאר הנאשם בפני שירות המבחן את התנהגותו בעבירות וביטא צער וחרטה עליה. כמו כן, הוא הסביר כי ברקע לביצוע העבירות והחלטתו לגדל סמים, עמד מצבו הנפשי הירוד ורצונו כי יהיו ברשותו סמים זמינים, זאת ללא תלות באחרים. </w:t>
      </w:r>
    </w:p>
    <w:p w14:paraId="450564B8" w14:textId="77777777" w:rsidR="00FC147B" w:rsidRDefault="00B8783D">
      <w:pPr>
        <w:spacing w:line="360" w:lineRule="auto"/>
        <w:ind w:left="720"/>
        <w:jc w:val="both"/>
        <w:rPr>
          <w:rtl/>
        </w:rPr>
      </w:pPr>
      <w:r>
        <w:rPr>
          <w:rFonts w:hint="cs"/>
          <w:rtl/>
        </w:rPr>
        <w:t>שירות המבחן ציין כי כיום ובעקבות מעורבותו של הנאשם בתיק דנן, וההליך הטיפולי אותו עובר, ניכר כי הוא מכיר בחומרת התנהגותו, באיסור ובסיכון הטמונים בה.</w:t>
      </w:r>
    </w:p>
    <w:p w14:paraId="7AF5CF24" w14:textId="77777777" w:rsidR="00FC147B" w:rsidRDefault="00B8783D">
      <w:pPr>
        <w:spacing w:line="360" w:lineRule="auto"/>
        <w:ind w:left="720"/>
        <w:jc w:val="both"/>
        <w:rPr>
          <w:rtl/>
        </w:rPr>
      </w:pPr>
      <w:r>
        <w:rPr>
          <w:rFonts w:hint="cs"/>
          <w:rtl/>
        </w:rPr>
        <w:t>שירות המבחן שיקף לנאשם את הערכתו באשר לחשיבות המשך השתתפותו בטיפול לצורך העמקה בדפוסי התנהגותו הבעייתיים במצבי לחץ ודחק כפי שעולים גם ממעורבותו בעבירות דנן והנאשם הביע נכונות להמשך השתתפותו בטיפול.</w:t>
      </w:r>
    </w:p>
    <w:p w14:paraId="43189249" w14:textId="77777777" w:rsidR="00FC147B" w:rsidRDefault="00B8783D">
      <w:pPr>
        <w:spacing w:line="360" w:lineRule="auto"/>
        <w:ind w:left="720"/>
        <w:jc w:val="both"/>
        <w:rPr>
          <w:rtl/>
        </w:rPr>
      </w:pPr>
      <w:r>
        <w:rPr>
          <w:rFonts w:hint="cs"/>
          <w:rtl/>
        </w:rPr>
        <w:t>לאחר בחינת גורמי הסיכון והסיכוי בעניינו של הנאשם התרשם שירות המבחן כי קיימים גורמים המצמצמים את הסיכון במצבו של הנאשם, בהם השתלבותו בהליך הטיפול וכן העובדה שלא נפתחו נגדו תיקים חדשים, לצד ההערכה כי ההליך המשפטי הנוכחי מהווה לו גורם מרתיע ומציב גבול.</w:t>
      </w:r>
    </w:p>
    <w:p w14:paraId="20B0DE40" w14:textId="77777777" w:rsidR="00FC147B" w:rsidRDefault="00B8783D">
      <w:pPr>
        <w:spacing w:line="360" w:lineRule="auto"/>
        <w:ind w:left="720"/>
        <w:jc w:val="both"/>
        <w:rPr>
          <w:rtl/>
        </w:rPr>
      </w:pPr>
      <w:r>
        <w:rPr>
          <w:rFonts w:hint="cs"/>
          <w:rtl/>
        </w:rPr>
        <w:t xml:space="preserve">לאור אלו, המליץ שירות המבחן להעמיד את הנאשם בצו מבחן למשך שנה, וכענישה קונקרטית להשית עליו צו של"צ בהיקף 120 שעות וגובשה עבורו תכנית לפיה ישולב במסגרת המשתלה העירונית, המעסיקה אנשים בעלי צרכים מיוחדים.  </w:t>
      </w:r>
    </w:p>
    <w:p w14:paraId="3C4B0E06" w14:textId="77777777" w:rsidR="00FC147B" w:rsidRDefault="00FC147B">
      <w:pPr>
        <w:spacing w:line="360" w:lineRule="auto"/>
        <w:jc w:val="both"/>
        <w:rPr>
          <w:rtl/>
        </w:rPr>
      </w:pPr>
    </w:p>
    <w:p w14:paraId="2665CEAD" w14:textId="77777777" w:rsidR="00FC147B" w:rsidRDefault="00B8783D">
      <w:pPr>
        <w:spacing w:line="360" w:lineRule="auto"/>
        <w:ind w:left="720" w:hanging="720"/>
        <w:jc w:val="both"/>
        <w:rPr>
          <w:rtl/>
        </w:rPr>
      </w:pPr>
      <w:r>
        <w:rPr>
          <w:rFonts w:hint="cs"/>
          <w:rtl/>
        </w:rPr>
        <w:t>5.</w:t>
      </w:r>
      <w:r>
        <w:rPr>
          <w:rFonts w:hint="cs"/>
          <w:rtl/>
        </w:rPr>
        <w:tab/>
        <w:t>הנאשם הופנה לממונה על עבודות השרות לקבלת חוות דעת באם הוא כשיר לבצע עונש מאסר בתנאי עבודות שרות. מחוות הדעת שהתקבלה עולה כי הנאשם אכן כשיר.</w:t>
      </w:r>
    </w:p>
    <w:p w14:paraId="2AB69C2A" w14:textId="77777777" w:rsidR="00FC147B" w:rsidRDefault="00FC147B">
      <w:pPr>
        <w:spacing w:line="360" w:lineRule="auto"/>
        <w:jc w:val="both"/>
        <w:rPr>
          <w:rtl/>
        </w:rPr>
      </w:pPr>
    </w:p>
    <w:p w14:paraId="3A91BE84" w14:textId="77777777" w:rsidR="00FC147B" w:rsidRDefault="00B8783D">
      <w:pPr>
        <w:spacing w:line="360" w:lineRule="auto"/>
        <w:ind w:left="720" w:hanging="720"/>
        <w:jc w:val="both"/>
        <w:rPr>
          <w:rtl/>
        </w:rPr>
      </w:pPr>
      <w:r>
        <w:rPr>
          <w:rFonts w:hint="cs"/>
          <w:rtl/>
        </w:rPr>
        <w:t>6.</w:t>
      </w:r>
      <w:r>
        <w:rPr>
          <w:rFonts w:hint="cs"/>
          <w:rtl/>
        </w:rPr>
        <w:tab/>
        <w:t xml:space="preserve">ב"כ המאשימה, בטיעוניו לעונש, הפנה לחומרת מעשיו של הנאשם, לנזק שעבירות כגון אלו שביצע הנאשם גורמות לחברה ולקושי של הנאשם להירתם לטיפול בתחילת ההליך, כפי שעלה מתסקיר שירות המבחן. </w:t>
      </w:r>
    </w:p>
    <w:p w14:paraId="04469DD5" w14:textId="77777777" w:rsidR="00FC147B" w:rsidRDefault="00B8783D">
      <w:pPr>
        <w:spacing w:line="360" w:lineRule="auto"/>
        <w:ind w:left="720"/>
        <w:jc w:val="both"/>
        <w:rPr>
          <w:rtl/>
        </w:rPr>
      </w:pPr>
      <w:r>
        <w:rPr>
          <w:rFonts w:hint="cs"/>
          <w:rtl/>
        </w:rPr>
        <w:t xml:space="preserve">תוך הפנייה לאסמכתאות, הדגיש ב"כ המאשימה כי בתי המשפט מחמירים בענישת עבריינים דוגמת הנאשם, גם אלה שהם נעדרי עבר פלילי. </w:t>
      </w:r>
    </w:p>
    <w:p w14:paraId="2421999F" w14:textId="77777777" w:rsidR="00FC147B" w:rsidRDefault="00B8783D">
      <w:pPr>
        <w:spacing w:line="360" w:lineRule="auto"/>
        <w:ind w:left="720"/>
        <w:jc w:val="both"/>
        <w:rPr>
          <w:rtl/>
        </w:rPr>
      </w:pPr>
      <w:r>
        <w:rPr>
          <w:rFonts w:hint="cs"/>
          <w:rtl/>
        </w:rPr>
        <w:t>לגישת ב"כ המאשימה מתחם העונש ההולם את מעשי הנאשם נע בין 6 – 18 חודשי מאסר בפועל, כפי שעלה מפסיקה אליה הפנה (</w:t>
      </w:r>
      <w:hyperlink r:id="rId24" w:history="1">
        <w:r w:rsidRPr="00B8783D">
          <w:rPr>
            <w:rStyle w:val="Hyperlink"/>
            <w:rFonts w:hint="eastAsia"/>
            <w:rtl/>
          </w:rPr>
          <w:t>עפ</w:t>
        </w:r>
        <w:r w:rsidRPr="00B8783D">
          <w:rPr>
            <w:rStyle w:val="Hyperlink"/>
            <w:rtl/>
          </w:rPr>
          <w:t>"ג 55899-01-14</w:t>
        </w:r>
      </w:hyperlink>
      <w:r>
        <w:rPr>
          <w:rFonts w:hint="cs"/>
          <w:rtl/>
        </w:rPr>
        <w:t xml:space="preserve"> מ"י נ' מזרחי, מיום 8.5.14; </w:t>
      </w:r>
      <w:hyperlink r:id="rId25" w:history="1">
        <w:r w:rsidRPr="00B8783D">
          <w:rPr>
            <w:rStyle w:val="Hyperlink"/>
            <w:rFonts w:hint="eastAsia"/>
            <w:rtl/>
          </w:rPr>
          <w:t>רע</w:t>
        </w:r>
        <w:r w:rsidRPr="00B8783D">
          <w:rPr>
            <w:rStyle w:val="Hyperlink"/>
            <w:rtl/>
          </w:rPr>
          <w:t>"פ 7005/14</w:t>
        </w:r>
      </w:hyperlink>
      <w:r>
        <w:rPr>
          <w:rFonts w:hint="cs"/>
          <w:rtl/>
        </w:rPr>
        <w:t xml:space="preserve"> דגן נ' מ"י, מיום 30.11.14 ו</w:t>
      </w:r>
      <w:hyperlink r:id="rId26" w:history="1">
        <w:r w:rsidRPr="00B8783D">
          <w:rPr>
            <w:rStyle w:val="Hyperlink"/>
            <w:rFonts w:hint="eastAsia"/>
            <w:rtl/>
          </w:rPr>
          <w:t>רע</w:t>
        </w:r>
        <w:r w:rsidRPr="00B8783D">
          <w:rPr>
            <w:rStyle w:val="Hyperlink"/>
            <w:rtl/>
          </w:rPr>
          <w:t>"פ 4512/15</w:t>
        </w:r>
      </w:hyperlink>
      <w:r>
        <w:rPr>
          <w:rFonts w:hint="cs"/>
          <w:rtl/>
        </w:rPr>
        <w:t xml:space="preserve"> אברהם הרוש נ' מ"י, מיום 6.7.15). </w:t>
      </w:r>
    </w:p>
    <w:p w14:paraId="380F26CE" w14:textId="77777777" w:rsidR="00FC147B" w:rsidRDefault="00B8783D">
      <w:pPr>
        <w:spacing w:line="360" w:lineRule="auto"/>
        <w:ind w:left="720"/>
        <w:jc w:val="both"/>
        <w:rPr>
          <w:rtl/>
        </w:rPr>
      </w:pPr>
      <w:r>
        <w:rPr>
          <w:rFonts w:hint="cs"/>
          <w:rtl/>
        </w:rPr>
        <w:t>אך בעניינו של הנאשם, לאחר שקילת מכלול נסיבותיו, בין היתר העדר עבר פלילי לחובתו וגילו, עתרה המאשימה להשית עליו 6 חודשי מאסר לריצוי בעבודות שירות, מאסר על תנאי וקנס ובנוסף להכריז על הנאשם סוחר סמים ולחלט את הרכוש כמפורט בכתב האישום.</w:t>
      </w:r>
    </w:p>
    <w:p w14:paraId="38506F99" w14:textId="77777777" w:rsidR="00FC147B" w:rsidRDefault="00B8783D">
      <w:pPr>
        <w:spacing w:line="360" w:lineRule="auto"/>
        <w:jc w:val="both"/>
        <w:rPr>
          <w:rtl/>
        </w:rPr>
      </w:pPr>
      <w:r>
        <w:rPr>
          <w:rFonts w:hint="cs"/>
          <w:rtl/>
        </w:rPr>
        <w:tab/>
      </w:r>
    </w:p>
    <w:p w14:paraId="00D6145B" w14:textId="77777777" w:rsidR="00FC147B" w:rsidRDefault="00B8783D">
      <w:pPr>
        <w:spacing w:line="360" w:lineRule="auto"/>
        <w:ind w:left="720" w:hanging="720"/>
        <w:jc w:val="both"/>
        <w:rPr>
          <w:rtl/>
        </w:rPr>
      </w:pPr>
      <w:r>
        <w:rPr>
          <w:rFonts w:hint="cs"/>
          <w:rtl/>
        </w:rPr>
        <w:t>7.</w:t>
      </w:r>
      <w:r>
        <w:rPr>
          <w:rFonts w:hint="cs"/>
          <w:rtl/>
        </w:rPr>
        <w:tab/>
        <w:t>ב"כ הנאשם, בטיעוניו לעונש, עתר לקבלת המלצת שירות המבחן שבאה אחרי מעקב ארוך למשך שנתיים. הסנגור הוסיף כי הנאשם נעדר עבר פלילי, שירת שירות צבאי מלא ומאז האישום דנן, לא נפתחו נגדו תיקים נוספים.</w:t>
      </w:r>
    </w:p>
    <w:p w14:paraId="2FD79D62" w14:textId="77777777" w:rsidR="00FC147B" w:rsidRDefault="00B8783D">
      <w:pPr>
        <w:spacing w:line="360" w:lineRule="auto"/>
        <w:ind w:left="720" w:hanging="720"/>
        <w:jc w:val="both"/>
        <w:rPr>
          <w:rtl/>
        </w:rPr>
      </w:pPr>
      <w:r>
        <w:rPr>
          <w:rFonts w:hint="cs"/>
          <w:rtl/>
        </w:rPr>
        <w:tab/>
        <w:t xml:space="preserve">הסנגור ציין כי הרקע לביצוע העבירות הוא משבר הגירושין הקשה שחווה הנאשם. עוד הוסיף כי הנאשם לא חבר לגורמים עבריינים אלא ביצע את המעשים על מנת לספק סמים לצריכתו העצמית והם לא נועדו לסחר. הסנגור הוסיף וציין כי בניגוד לדברי ב"כ המאשימה, הנאשם החל בטיפול בינואר 2014, וחווה קשיים שבעקבותם הופסקה השתתפותו בקבוצה למשך חודש, ולאחר מכן הוא פנה מיוזמתו ל"בית חוסן" ושולב בחזרה, שם הוא נמצא יום יום מהשעה 08:00 – 14:00 ומוסר בדיקות שתן נקיות. הסנגור הגיש מסמך המעיד על סיום טיפול ב"בית חוסן" וכן מכתב אישי מצוות "מרכז יום". </w:t>
      </w:r>
    </w:p>
    <w:p w14:paraId="7DBD8686" w14:textId="77777777" w:rsidR="00FC147B" w:rsidRDefault="00B8783D">
      <w:pPr>
        <w:spacing w:line="360" w:lineRule="auto"/>
        <w:ind w:left="720" w:hanging="720"/>
        <w:jc w:val="both"/>
        <w:rPr>
          <w:rtl/>
        </w:rPr>
      </w:pPr>
      <w:r>
        <w:rPr>
          <w:rFonts w:hint="cs"/>
          <w:rtl/>
        </w:rPr>
        <w:tab/>
        <w:t>לגישת הסנגור, תיקון 113 ב</w:t>
      </w:r>
      <w:hyperlink r:id="rId27" w:history="1">
        <w:r w:rsidRPr="00B8783D">
          <w:rPr>
            <w:rStyle w:val="Hyperlink"/>
            <w:rFonts w:hint="eastAsia"/>
            <w:rtl/>
          </w:rPr>
          <w:t>חוק</w:t>
        </w:r>
        <w:r w:rsidRPr="00B8783D">
          <w:rPr>
            <w:rStyle w:val="Hyperlink"/>
            <w:rtl/>
          </w:rPr>
          <w:t xml:space="preserve"> העונשין</w:t>
        </w:r>
      </w:hyperlink>
      <w:r>
        <w:rPr>
          <w:rFonts w:hint="cs"/>
          <w:rtl/>
        </w:rPr>
        <w:t xml:space="preserve">, מתיר חריגה ממתחם העונש ההולם משיקולי שיקום ובמקרה שיש בו סיכוי ממשי לשיקום ובמקרה דנן, גורס הסנגור, כי מדובר בשיקום מרשים ביותר, כשבמשך שנתיים הנאשם מקפיד להגיע ל"בית חוסן" באופן יומיומי ולמשך 6 שעות ביום ומוסר בדיקות שתן נקיות משרידי סם. עוד לגישת הסנגור, הנאשם חזר לחיים נורמטיביים, יחסיו עם ילדיו קרובים, החל לעבוד ומפרנס את עצמו והוא הופנה לקורס מחסנאי ממוחשב. הסנגור גרס כי האינטרס הציבורי מחייב מתן הזדמנות לנאשם בדמות קבלת המלצת שירות המבחן ולגישתו צו מבחן ירתיע את הנאשם מלשוב לסורו. </w:t>
      </w:r>
    </w:p>
    <w:p w14:paraId="6ADECAC9" w14:textId="77777777" w:rsidR="00FC147B" w:rsidRDefault="00B8783D">
      <w:pPr>
        <w:spacing w:line="360" w:lineRule="auto"/>
        <w:ind w:left="720"/>
        <w:jc w:val="both"/>
        <w:rPr>
          <w:rtl/>
        </w:rPr>
      </w:pPr>
      <w:r>
        <w:rPr>
          <w:rFonts w:hint="cs"/>
          <w:rtl/>
        </w:rPr>
        <w:t>הסנגור חלק על הפסיקה שהוצגה על ידי המאשימה, הציג פסיקה מבתי משפט שונים בה נגזרו עונשים החל מאי הרשעה ועד למאסר על תנאי (</w:t>
      </w:r>
      <w:hyperlink r:id="rId28" w:history="1">
        <w:r w:rsidRPr="00B8783D">
          <w:rPr>
            <w:rStyle w:val="Hyperlink"/>
            <w:rFonts w:hint="eastAsia"/>
            <w:rtl/>
          </w:rPr>
          <w:t>ת</w:t>
        </w:r>
        <w:r w:rsidRPr="00B8783D">
          <w:rPr>
            <w:rStyle w:val="Hyperlink"/>
            <w:rtl/>
          </w:rPr>
          <w:t>"פ 8538-03-12</w:t>
        </w:r>
      </w:hyperlink>
      <w:r>
        <w:rPr>
          <w:rFonts w:hint="cs"/>
          <w:rtl/>
        </w:rPr>
        <w:t xml:space="preserve"> מ"י נ' שלוש, מיום 24.6.13; </w:t>
      </w:r>
      <w:hyperlink r:id="rId29" w:history="1">
        <w:r w:rsidRPr="00B8783D">
          <w:rPr>
            <w:rStyle w:val="Hyperlink"/>
            <w:rFonts w:hint="eastAsia"/>
            <w:rtl/>
          </w:rPr>
          <w:t>עפ</w:t>
        </w:r>
        <w:r w:rsidRPr="00B8783D">
          <w:rPr>
            <w:rStyle w:val="Hyperlink"/>
            <w:rtl/>
          </w:rPr>
          <w:t>"ג 52810-07-10</w:t>
        </w:r>
      </w:hyperlink>
      <w:r>
        <w:rPr>
          <w:rFonts w:hint="cs"/>
          <w:rtl/>
        </w:rPr>
        <w:t xml:space="preserve"> עזריה נ' מ"י, מיום 21.12.10; </w:t>
      </w:r>
      <w:hyperlink r:id="rId30" w:history="1">
        <w:r w:rsidRPr="00B8783D">
          <w:rPr>
            <w:rStyle w:val="Hyperlink"/>
            <w:rFonts w:hint="eastAsia"/>
            <w:rtl/>
          </w:rPr>
          <w:t>ת</w:t>
        </w:r>
        <w:r w:rsidRPr="00B8783D">
          <w:rPr>
            <w:rStyle w:val="Hyperlink"/>
            <w:rtl/>
          </w:rPr>
          <w:t>"פ 13365-08-13</w:t>
        </w:r>
      </w:hyperlink>
      <w:r>
        <w:rPr>
          <w:rFonts w:hint="cs"/>
          <w:rtl/>
        </w:rPr>
        <w:t xml:space="preserve"> מ"י נ' טל, מיום 8.7.14; </w:t>
      </w:r>
      <w:hyperlink r:id="rId31" w:history="1">
        <w:r w:rsidRPr="00B8783D">
          <w:rPr>
            <w:rStyle w:val="Hyperlink"/>
            <w:rFonts w:hint="eastAsia"/>
            <w:rtl/>
          </w:rPr>
          <w:t>ת</w:t>
        </w:r>
        <w:r w:rsidRPr="00B8783D">
          <w:rPr>
            <w:rStyle w:val="Hyperlink"/>
            <w:rtl/>
          </w:rPr>
          <w:t>"פ 46837-05-12</w:t>
        </w:r>
      </w:hyperlink>
      <w:r>
        <w:rPr>
          <w:rFonts w:hint="cs"/>
          <w:rtl/>
        </w:rPr>
        <w:t xml:space="preserve"> מ"י נ' י.ח. ואח', מיום 2.9.13; </w:t>
      </w:r>
      <w:hyperlink r:id="rId32" w:history="1">
        <w:r w:rsidRPr="00B8783D">
          <w:rPr>
            <w:rStyle w:val="Hyperlink"/>
            <w:rFonts w:hint="eastAsia"/>
            <w:rtl/>
          </w:rPr>
          <w:t>ת</w:t>
        </w:r>
        <w:r w:rsidRPr="00B8783D">
          <w:rPr>
            <w:rStyle w:val="Hyperlink"/>
            <w:rtl/>
          </w:rPr>
          <w:t>"פ 3827-11-09</w:t>
        </w:r>
      </w:hyperlink>
      <w:r>
        <w:rPr>
          <w:rFonts w:hint="cs"/>
          <w:rtl/>
        </w:rPr>
        <w:t xml:space="preserve"> מ"י נ' נהב ואח', מיום 7.7.10; </w:t>
      </w:r>
      <w:hyperlink r:id="rId33" w:history="1">
        <w:r w:rsidRPr="00B8783D">
          <w:rPr>
            <w:rStyle w:val="Hyperlink"/>
            <w:rFonts w:hint="eastAsia"/>
            <w:rtl/>
          </w:rPr>
          <w:t>ת</w:t>
        </w:r>
        <w:r w:rsidRPr="00B8783D">
          <w:rPr>
            <w:rStyle w:val="Hyperlink"/>
            <w:rtl/>
          </w:rPr>
          <w:t>"פ 51673-05-13</w:t>
        </w:r>
      </w:hyperlink>
      <w:r>
        <w:rPr>
          <w:rFonts w:hint="cs"/>
          <w:rtl/>
        </w:rPr>
        <w:t xml:space="preserve"> מ"י נ ' חריט, מיום 7.4.14 ו</w:t>
      </w:r>
      <w:hyperlink r:id="rId34" w:history="1">
        <w:r w:rsidRPr="00B8783D">
          <w:rPr>
            <w:rStyle w:val="Hyperlink"/>
            <w:rFonts w:hint="eastAsia"/>
            <w:rtl/>
          </w:rPr>
          <w:t>ת</w:t>
        </w:r>
        <w:r w:rsidRPr="00B8783D">
          <w:rPr>
            <w:rStyle w:val="Hyperlink"/>
            <w:rtl/>
          </w:rPr>
          <w:t>"פ 1627-04-09</w:t>
        </w:r>
      </w:hyperlink>
      <w:r>
        <w:rPr>
          <w:rFonts w:hint="cs"/>
          <w:rtl/>
        </w:rPr>
        <w:t xml:space="preserve"> מ"י נ' מוסלח, מיום 9.11.10) ועתר לקבל המלצת שירות המבחן ולשיקול דעת בית המשפט להשית צו של"צ בהיקף רחב יותר.</w:t>
      </w:r>
    </w:p>
    <w:p w14:paraId="00166C3F" w14:textId="77777777" w:rsidR="00FC147B" w:rsidRDefault="00B8783D">
      <w:pPr>
        <w:spacing w:line="360" w:lineRule="auto"/>
        <w:jc w:val="both"/>
        <w:rPr>
          <w:rtl/>
        </w:rPr>
      </w:pPr>
      <w:r>
        <w:rPr>
          <w:rFonts w:hint="cs"/>
          <w:rtl/>
        </w:rPr>
        <w:tab/>
      </w:r>
    </w:p>
    <w:p w14:paraId="77435DA9" w14:textId="77777777" w:rsidR="00FC147B" w:rsidRDefault="00B8783D">
      <w:pPr>
        <w:spacing w:line="360" w:lineRule="auto"/>
        <w:ind w:left="720" w:hanging="720"/>
        <w:jc w:val="both"/>
        <w:rPr>
          <w:rtl/>
        </w:rPr>
      </w:pPr>
      <w:r>
        <w:rPr>
          <w:rFonts w:hint="cs"/>
          <w:rtl/>
        </w:rPr>
        <w:t>8.</w:t>
      </w:r>
      <w:r>
        <w:rPr>
          <w:rFonts w:hint="cs"/>
          <w:rtl/>
        </w:rPr>
        <w:tab/>
        <w:t xml:space="preserve">הנאשם, בדבריו האחרונים, מסר כי מתחרט על מעשיו וכי לא ישוב לסורו, הוסיף כי הוא נמצא בדרך נכונה, עובד ומתחיל ללמוד קורס בעוד כחודש. </w:t>
      </w:r>
    </w:p>
    <w:p w14:paraId="6E6D261D" w14:textId="77777777" w:rsidR="00FC147B" w:rsidRDefault="00FC147B">
      <w:pPr>
        <w:spacing w:line="360" w:lineRule="auto"/>
        <w:jc w:val="both"/>
        <w:rPr>
          <w:b/>
          <w:bCs/>
          <w:u w:val="single"/>
          <w:rtl/>
        </w:rPr>
      </w:pPr>
    </w:p>
    <w:p w14:paraId="6C5C089D" w14:textId="77777777" w:rsidR="00FC147B" w:rsidRDefault="00B8783D">
      <w:pPr>
        <w:spacing w:line="360" w:lineRule="auto"/>
        <w:jc w:val="both"/>
        <w:rPr>
          <w:b/>
          <w:bCs/>
          <w:u w:val="single"/>
          <w:rtl/>
        </w:rPr>
      </w:pPr>
      <w:r>
        <w:rPr>
          <w:rFonts w:hint="cs"/>
          <w:b/>
          <w:bCs/>
          <w:u w:val="single"/>
          <w:rtl/>
        </w:rPr>
        <w:t>דיון</w:t>
      </w:r>
    </w:p>
    <w:p w14:paraId="21C36666" w14:textId="77777777" w:rsidR="00FC147B" w:rsidRDefault="00FC147B">
      <w:pPr>
        <w:spacing w:line="360" w:lineRule="auto"/>
        <w:jc w:val="both"/>
        <w:rPr>
          <w:b/>
          <w:bCs/>
          <w:u w:val="single"/>
          <w:rtl/>
        </w:rPr>
      </w:pPr>
    </w:p>
    <w:p w14:paraId="603C182A" w14:textId="77777777" w:rsidR="00FC147B" w:rsidRDefault="00B8783D">
      <w:pPr>
        <w:spacing w:line="360" w:lineRule="auto"/>
        <w:ind w:left="720" w:hanging="720"/>
        <w:jc w:val="both"/>
        <w:rPr>
          <w:rtl/>
        </w:rPr>
      </w:pPr>
      <w:r>
        <w:rPr>
          <w:rFonts w:hint="cs"/>
          <w:rtl/>
        </w:rPr>
        <w:t>9.</w:t>
      </w:r>
      <w:r>
        <w:rPr>
          <w:rFonts w:hint="cs"/>
          <w:rtl/>
        </w:rPr>
        <w:tab/>
        <w:t xml:space="preserve">כמצוות המחוקק בסעיף </w:t>
      </w:r>
      <w:hyperlink r:id="rId35" w:history="1">
        <w:r w:rsidR="00DA0020" w:rsidRPr="00DA0020">
          <w:rPr>
            <w:color w:val="0000FF"/>
            <w:u w:val="single"/>
            <w:rtl/>
          </w:rPr>
          <w:t>40 ג' (א)</w:t>
        </w:r>
      </w:hyperlink>
      <w:r>
        <w:rPr>
          <w:rFonts w:hint="cs"/>
          <w:rtl/>
        </w:rPr>
        <w:t xml:space="preserve"> בחוק, בקביעת מתחם העונש ההולם את מעשי העבירות שביצע הנאשם, בהתאם לעיקרון המנחה הקבוע בסעיף </w:t>
      </w:r>
      <w:hyperlink r:id="rId36" w:history="1">
        <w:r w:rsidR="00DA0020" w:rsidRPr="00DA0020">
          <w:rPr>
            <w:color w:val="0000FF"/>
            <w:u w:val="single"/>
            <w:rtl/>
          </w:rPr>
          <w:t>40 ב'</w:t>
        </w:r>
      </w:hyperlink>
      <w:r>
        <w:rPr>
          <w:rFonts w:hint="cs"/>
          <w:rtl/>
        </w:rPr>
        <w:t xml:space="preserve"> בחוק, יש להתחשב בערך החברתי שנפגע מביצוע העבירות, במידת הפגיעה בו, במדיניות הענישה הנהוגה ובנסיבות הקשורות בביצוע העבירות. </w:t>
      </w:r>
    </w:p>
    <w:p w14:paraId="7C77FD8A" w14:textId="77777777" w:rsidR="00FC147B" w:rsidRDefault="00FC147B">
      <w:pPr>
        <w:spacing w:line="360" w:lineRule="auto"/>
        <w:jc w:val="both"/>
        <w:rPr>
          <w:rtl/>
        </w:rPr>
      </w:pPr>
    </w:p>
    <w:p w14:paraId="224681C2" w14:textId="77777777" w:rsidR="00FC147B" w:rsidRDefault="00B8783D">
      <w:pPr>
        <w:spacing w:line="360" w:lineRule="auto"/>
        <w:jc w:val="both"/>
        <w:rPr>
          <w:b/>
          <w:bCs/>
          <w:u w:val="single"/>
          <w:rtl/>
        </w:rPr>
      </w:pPr>
      <w:r>
        <w:rPr>
          <w:rFonts w:hint="cs"/>
          <w:b/>
          <w:bCs/>
          <w:u w:val="single"/>
          <w:rtl/>
        </w:rPr>
        <w:t>הערך החברתי שנפגע</w:t>
      </w:r>
    </w:p>
    <w:p w14:paraId="05ECB53D" w14:textId="77777777" w:rsidR="00FC147B" w:rsidRDefault="00FC147B">
      <w:pPr>
        <w:spacing w:line="360" w:lineRule="auto"/>
        <w:jc w:val="both"/>
        <w:rPr>
          <w:rtl/>
        </w:rPr>
      </w:pPr>
    </w:p>
    <w:p w14:paraId="64F19CC1" w14:textId="77777777" w:rsidR="00FC147B" w:rsidRDefault="00B8783D">
      <w:pPr>
        <w:spacing w:line="360" w:lineRule="auto"/>
        <w:ind w:left="720" w:hanging="720"/>
        <w:jc w:val="both"/>
        <w:rPr>
          <w:rtl/>
        </w:rPr>
      </w:pPr>
      <w:r>
        <w:rPr>
          <w:rFonts w:hint="cs"/>
          <w:rtl/>
        </w:rPr>
        <w:t>10.</w:t>
      </w:r>
      <w:r>
        <w:rPr>
          <w:rFonts w:hint="cs"/>
          <w:rtl/>
        </w:rPr>
        <w:tab/>
        <w:t>במעשיו פגע הנאשם בערכים חברתיים בדמות שמירה על שלום ובטחון הציבור מפני פגיעתם הקשה של הסמים המסוכנים.</w:t>
      </w:r>
    </w:p>
    <w:p w14:paraId="24178FC7" w14:textId="77777777" w:rsidR="00FC147B" w:rsidRDefault="00FC147B">
      <w:pPr>
        <w:spacing w:line="360" w:lineRule="auto"/>
        <w:jc w:val="both"/>
        <w:rPr>
          <w:rtl/>
        </w:rPr>
      </w:pPr>
    </w:p>
    <w:p w14:paraId="36F37BD7" w14:textId="77777777" w:rsidR="00FC147B" w:rsidRDefault="00B8783D">
      <w:pPr>
        <w:spacing w:line="360" w:lineRule="auto"/>
        <w:jc w:val="both"/>
        <w:rPr>
          <w:b/>
          <w:bCs/>
          <w:u w:val="single"/>
          <w:rtl/>
        </w:rPr>
      </w:pPr>
      <w:r>
        <w:rPr>
          <w:rFonts w:hint="cs"/>
          <w:b/>
          <w:bCs/>
          <w:u w:val="single"/>
          <w:rtl/>
        </w:rPr>
        <w:t>מדיניות הענישה הנהוגה ומתחם העונש ההולם</w:t>
      </w:r>
    </w:p>
    <w:p w14:paraId="35E2C9F0" w14:textId="77777777" w:rsidR="00FC147B" w:rsidRDefault="00FC147B">
      <w:pPr>
        <w:spacing w:line="360" w:lineRule="auto"/>
        <w:jc w:val="both"/>
        <w:rPr>
          <w:rtl/>
        </w:rPr>
      </w:pPr>
    </w:p>
    <w:p w14:paraId="5869C611" w14:textId="77777777" w:rsidR="00FC147B" w:rsidRDefault="00B8783D">
      <w:pPr>
        <w:spacing w:line="360" w:lineRule="auto"/>
        <w:ind w:left="720" w:hanging="720"/>
        <w:jc w:val="both"/>
        <w:rPr>
          <w:rtl/>
        </w:rPr>
      </w:pPr>
      <w:r>
        <w:rPr>
          <w:rFonts w:hint="cs"/>
          <w:rtl/>
        </w:rPr>
        <w:t>11.</w:t>
      </w:r>
      <w:r>
        <w:rPr>
          <w:rFonts w:hint="cs"/>
          <w:rtl/>
        </w:rPr>
        <w:tab/>
        <w:t xml:space="preserve">מדיניות הענישה הנהוגה בעבירות בהן הורשע הנאשם, מתחשבת בצורך במאבק בנגע הסמים ובתפקיד בית המשפט, בהעברת מסר מתבקש, באמצעות השתת עונשים חמורים על מי שפוגע במעשיו במאבק בנגע זה. </w:t>
      </w:r>
    </w:p>
    <w:p w14:paraId="6CE057C2" w14:textId="77777777" w:rsidR="00FC147B" w:rsidRDefault="00FC147B">
      <w:pPr>
        <w:spacing w:line="360" w:lineRule="auto"/>
        <w:jc w:val="both"/>
        <w:rPr>
          <w:rtl/>
        </w:rPr>
      </w:pPr>
    </w:p>
    <w:p w14:paraId="7593A8A8" w14:textId="77777777" w:rsidR="00FC147B" w:rsidRDefault="00B8783D">
      <w:pPr>
        <w:spacing w:line="360" w:lineRule="auto"/>
        <w:ind w:left="720"/>
        <w:jc w:val="both"/>
        <w:rPr>
          <w:rtl/>
        </w:rPr>
      </w:pPr>
      <w:r>
        <w:rPr>
          <w:rFonts w:hint="cs"/>
          <w:rtl/>
        </w:rPr>
        <w:t>יפים לענייננו הדברים שנקבעו ב</w:t>
      </w:r>
      <w:hyperlink r:id="rId37" w:history="1">
        <w:r w:rsidRPr="00B8783D">
          <w:rPr>
            <w:rStyle w:val="Hyperlink"/>
            <w:rFonts w:hint="eastAsia"/>
            <w:rtl/>
          </w:rPr>
          <w:t>ע</w:t>
        </w:r>
        <w:r w:rsidRPr="00B8783D">
          <w:rPr>
            <w:rStyle w:val="Hyperlink"/>
            <w:rtl/>
          </w:rPr>
          <w:t>"פ (מחוזי י-ם) 1987-04-10</w:t>
        </w:r>
      </w:hyperlink>
      <w:r>
        <w:rPr>
          <w:rFonts w:hint="cs"/>
          <w:rtl/>
        </w:rPr>
        <w:t xml:space="preserve"> </w:t>
      </w:r>
      <w:r>
        <w:rPr>
          <w:rFonts w:hint="cs"/>
          <w:b/>
          <w:bCs/>
          <w:rtl/>
        </w:rPr>
        <w:t>מ"י נ' אלוני</w:t>
      </w:r>
      <w:r>
        <w:rPr>
          <w:rFonts w:hint="cs"/>
          <w:rtl/>
        </w:rPr>
        <w:t xml:space="preserve"> (מיום 28.6.10):</w:t>
      </w:r>
    </w:p>
    <w:p w14:paraId="3CBA268C" w14:textId="77777777" w:rsidR="00FC147B" w:rsidRDefault="00FC147B">
      <w:pPr>
        <w:spacing w:line="360" w:lineRule="auto"/>
        <w:ind w:left="720"/>
        <w:jc w:val="both"/>
        <w:rPr>
          <w:rtl/>
        </w:rPr>
      </w:pPr>
    </w:p>
    <w:p w14:paraId="4C65A9E4" w14:textId="77777777" w:rsidR="00FC147B" w:rsidRDefault="00B8783D">
      <w:pPr>
        <w:spacing w:line="360" w:lineRule="auto"/>
        <w:ind w:left="1440" w:right="1134"/>
        <w:jc w:val="both"/>
        <w:rPr>
          <w:rtl/>
        </w:rPr>
      </w:pPr>
      <w:r>
        <w:rPr>
          <w:rFonts w:hint="cs"/>
          <w:rtl/>
        </w:rPr>
        <w:t>"</w:t>
      </w:r>
      <w:r>
        <w:rPr>
          <w:rFonts w:hint="cs"/>
          <w:b/>
          <w:bCs/>
          <w:rtl/>
        </w:rPr>
        <w:t>סבורים אנו, אפוא, כי יש צורך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הסמים חמורות הן בעיקר נוכח הנזק הרב שהן גורמות לציבור ולחברה, ואיש לא יחלוק על כך כי במלחמה סיזיפית זו שומה על בית המשפט לתרום את חלקו בדרך של הכבדה בהטלת עונשים מרתיעים</w:t>
      </w:r>
      <w:r>
        <w:rPr>
          <w:rFonts w:hint="cs"/>
          <w:rtl/>
        </w:rPr>
        <w:t>."</w:t>
      </w:r>
    </w:p>
    <w:p w14:paraId="73337248" w14:textId="77777777" w:rsidR="00FC147B" w:rsidRDefault="00FC147B">
      <w:pPr>
        <w:spacing w:line="360" w:lineRule="auto"/>
        <w:jc w:val="both"/>
        <w:rPr>
          <w:rtl/>
        </w:rPr>
      </w:pPr>
    </w:p>
    <w:p w14:paraId="17B427EC" w14:textId="77777777" w:rsidR="00FC147B" w:rsidRDefault="00B8783D">
      <w:pPr>
        <w:spacing w:line="360" w:lineRule="auto"/>
        <w:ind w:left="720"/>
        <w:jc w:val="both"/>
        <w:rPr>
          <w:rtl/>
        </w:rPr>
      </w:pPr>
      <w:r>
        <w:rPr>
          <w:rFonts w:hint="cs"/>
          <w:rtl/>
        </w:rPr>
        <w:t>אשר לפגיעה בערך המוגן בדמות ביטחונו של הציבור, יפים לענייננו דברי כב' השופט ברסלר-גונן, ב</w:t>
      </w:r>
      <w:hyperlink r:id="rId38" w:history="1">
        <w:r w:rsidRPr="00B8783D">
          <w:rPr>
            <w:rStyle w:val="Hyperlink"/>
            <w:rFonts w:hint="eastAsia"/>
            <w:rtl/>
          </w:rPr>
          <w:t>ת</w:t>
        </w:r>
        <w:r w:rsidRPr="00B8783D">
          <w:rPr>
            <w:rStyle w:val="Hyperlink"/>
            <w:rtl/>
          </w:rPr>
          <w:t>"פ (שלום ב"ש) 11284-07-12</w:t>
        </w:r>
      </w:hyperlink>
      <w:r>
        <w:rPr>
          <w:rFonts w:hint="cs"/>
          <w:rtl/>
        </w:rPr>
        <w:t xml:space="preserve"> </w:t>
      </w:r>
      <w:r>
        <w:rPr>
          <w:rFonts w:hint="cs"/>
          <w:b/>
          <w:bCs/>
          <w:rtl/>
        </w:rPr>
        <w:t>מ"י נ' לוי</w:t>
      </w:r>
      <w:r>
        <w:rPr>
          <w:rFonts w:hint="cs"/>
          <w:rtl/>
        </w:rPr>
        <w:t xml:space="preserve"> (מיום 16.9.13):</w:t>
      </w:r>
    </w:p>
    <w:p w14:paraId="756C54A2" w14:textId="77777777" w:rsidR="00FC147B" w:rsidRDefault="00FC147B">
      <w:pPr>
        <w:spacing w:line="360" w:lineRule="auto"/>
        <w:jc w:val="both"/>
        <w:rPr>
          <w:rtl/>
        </w:rPr>
      </w:pPr>
    </w:p>
    <w:p w14:paraId="57F7CB21" w14:textId="77777777" w:rsidR="00FC147B" w:rsidRDefault="00B8783D">
      <w:pPr>
        <w:spacing w:line="360" w:lineRule="auto"/>
        <w:ind w:left="1440" w:right="1276"/>
        <w:jc w:val="both"/>
        <w:rPr>
          <w:rtl/>
        </w:rPr>
      </w:pPr>
      <w:r>
        <w:rPr>
          <w:rFonts w:hint="cs"/>
          <w:rtl/>
        </w:rPr>
        <w:t>"</w:t>
      </w:r>
      <w:r>
        <w:rPr>
          <w:rFonts w:hint="cs"/>
          <w:b/>
          <w:bCs/>
          <w:rtl/>
        </w:rPr>
        <w:t>גם אם פועל אדם בדלת אמותיו שלו, בביתו ומבצרו, עדיין ישנן פעולות שלא נסכים, כחברה, שתבוצענה אף במסגרת זו. גידול הסם היא אחת מאלו, ועל כל אחד מאתנו לשאול עצמו כיצד היה חש והאם היה בטחונו מתעצם, מתערער או אפילו לא נפגע כלל, אילו שכנו לדלת, האדם בחצר הסמוך, היה מקים חממה כפי שהקים הנאשם</w:t>
      </w:r>
      <w:r>
        <w:rPr>
          <w:rFonts w:hint="cs"/>
          <w:rtl/>
        </w:rPr>
        <w:t>."</w:t>
      </w:r>
    </w:p>
    <w:p w14:paraId="583889A1" w14:textId="77777777" w:rsidR="00FC147B" w:rsidRDefault="00FC147B">
      <w:pPr>
        <w:spacing w:line="360" w:lineRule="auto"/>
        <w:jc w:val="both"/>
        <w:rPr>
          <w:rFonts w:ascii="Times New Roman" w:hAnsi="Times New Roman"/>
          <w:rtl/>
        </w:rPr>
      </w:pPr>
    </w:p>
    <w:p w14:paraId="0C04BAC3" w14:textId="77777777" w:rsidR="00FC147B" w:rsidRDefault="00B8783D">
      <w:pPr>
        <w:spacing w:line="360" w:lineRule="auto"/>
        <w:ind w:left="720" w:hanging="720"/>
        <w:jc w:val="both"/>
        <w:rPr>
          <w:b/>
          <w:bCs/>
        </w:rPr>
      </w:pPr>
      <w:r>
        <w:rPr>
          <w:rFonts w:hint="cs"/>
          <w:rtl/>
        </w:rPr>
        <w:t>12.</w:t>
      </w:r>
      <w:r>
        <w:rPr>
          <w:rFonts w:hint="cs"/>
          <w:rtl/>
        </w:rPr>
        <w:tab/>
      </w:r>
      <w:r>
        <w:rPr>
          <w:rFonts w:hint="cs"/>
          <w:b/>
          <w:bCs/>
          <w:rtl/>
        </w:rPr>
        <w:t xml:space="preserve">מכל המפורט ולאחר עיון באסמכתאות שהוגשו על ידי ב"כ הצדדים וכן אסמכתאות נוספות מבתי המשפט השונים, אני קובעת כי מתחם העונש ההולם הינו החל מ-6 חודשי מאסר בפועל ועד ל-18 חודשי מאסר בפועל, מאסר על תנאי וקנס.  </w:t>
      </w:r>
    </w:p>
    <w:p w14:paraId="2C7D7314" w14:textId="77777777" w:rsidR="00FC147B" w:rsidRDefault="00B8783D">
      <w:pPr>
        <w:spacing w:line="360" w:lineRule="auto"/>
        <w:ind w:left="720" w:hanging="720"/>
        <w:jc w:val="both"/>
        <w:rPr>
          <w:b/>
          <w:bCs/>
          <w:rtl/>
        </w:rPr>
      </w:pPr>
      <w:r>
        <w:rPr>
          <w:rFonts w:hint="cs"/>
          <w:rtl/>
        </w:rPr>
        <w:tab/>
        <w:t>אציין כי הפסיקה המקלה שהובאה על ידי ההגנה כללה מקרים חריגים בנסיבותיהם שאינם מתאימים למקרה דנן.</w:t>
      </w:r>
      <w:r>
        <w:rPr>
          <w:rFonts w:hint="cs"/>
          <w:b/>
          <w:bCs/>
          <w:rtl/>
        </w:rPr>
        <w:t xml:space="preserve"> </w:t>
      </w:r>
    </w:p>
    <w:p w14:paraId="63B48E7F" w14:textId="77777777" w:rsidR="00FC147B" w:rsidRDefault="00FC147B">
      <w:pPr>
        <w:spacing w:line="360" w:lineRule="auto"/>
        <w:ind w:left="720" w:hanging="720"/>
        <w:jc w:val="both"/>
        <w:rPr>
          <w:b/>
          <w:bCs/>
          <w:rtl/>
        </w:rPr>
      </w:pPr>
    </w:p>
    <w:p w14:paraId="20CB7BE0" w14:textId="77777777" w:rsidR="00FC147B" w:rsidRDefault="00B8783D">
      <w:pPr>
        <w:spacing w:line="360" w:lineRule="auto"/>
        <w:jc w:val="both"/>
        <w:rPr>
          <w:b/>
          <w:bCs/>
          <w:u w:val="single"/>
          <w:rtl/>
        </w:rPr>
      </w:pPr>
      <w:r>
        <w:rPr>
          <w:rFonts w:hint="cs"/>
          <w:b/>
          <w:bCs/>
          <w:u w:val="single"/>
          <w:rtl/>
        </w:rPr>
        <w:t>חריגה ממתחם העונש הראוי</w:t>
      </w:r>
    </w:p>
    <w:p w14:paraId="395BFCC5" w14:textId="77777777" w:rsidR="00FC147B" w:rsidRDefault="00FC147B">
      <w:pPr>
        <w:spacing w:line="360" w:lineRule="auto"/>
        <w:jc w:val="both"/>
        <w:rPr>
          <w:rtl/>
        </w:rPr>
      </w:pPr>
    </w:p>
    <w:p w14:paraId="18FCD47B" w14:textId="77777777" w:rsidR="00FC147B" w:rsidRDefault="00B8783D">
      <w:pPr>
        <w:spacing w:line="360" w:lineRule="auto"/>
        <w:ind w:left="720" w:hanging="720"/>
        <w:jc w:val="both"/>
        <w:rPr>
          <w:rtl/>
        </w:rPr>
      </w:pPr>
      <w:r>
        <w:rPr>
          <w:rFonts w:hint="cs"/>
          <w:rtl/>
        </w:rPr>
        <w:t>13.</w:t>
      </w:r>
      <w:r>
        <w:rPr>
          <w:rFonts w:hint="cs"/>
          <w:rtl/>
        </w:rPr>
        <w:tab/>
      </w:r>
      <w:hyperlink r:id="rId39" w:history="1">
        <w:r w:rsidR="00DA0020" w:rsidRPr="00DA0020">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36702E07" w14:textId="77777777" w:rsidR="00FC147B" w:rsidRDefault="00B8783D">
      <w:pPr>
        <w:spacing w:line="360" w:lineRule="auto"/>
        <w:ind w:left="720" w:hanging="720"/>
        <w:jc w:val="both"/>
        <w:rPr>
          <w:rtl/>
        </w:rPr>
      </w:pPr>
      <w:r>
        <w:rPr>
          <w:rFonts w:hint="cs"/>
          <w:rtl/>
        </w:rPr>
        <w:tab/>
        <w:t xml:space="preserve">במקרה שבפניי אכן מדובר בנאשם שהשתקם, הוא עבר הליך טיפולי ארוך, נגמל מסמים והשתלב בעבודה. על כן, בעניינו של הנאשם, יש מקום לחרוג ממתחם העונש ההולם על ידי כך שהמאסר שיושת על נאשם ירוצה בעבודות שירות ולא מאחורי סורג ובריח. אין בשיקומו של הנאשם כדי להביא לאימוץ המלצת שירות המבחן שהינה מקלה מאוד בנסיבות העניין ואינה מגשימה כלל את מטרות הענישה. </w:t>
      </w:r>
    </w:p>
    <w:p w14:paraId="08A296FE" w14:textId="77777777" w:rsidR="00FC147B" w:rsidRDefault="00FC147B">
      <w:pPr>
        <w:spacing w:line="360" w:lineRule="auto"/>
        <w:jc w:val="both"/>
        <w:rPr>
          <w:rtl/>
        </w:rPr>
      </w:pPr>
    </w:p>
    <w:p w14:paraId="60873695" w14:textId="77777777" w:rsidR="00FC147B" w:rsidRDefault="00B8783D">
      <w:pPr>
        <w:spacing w:line="360" w:lineRule="auto"/>
        <w:jc w:val="both"/>
        <w:rPr>
          <w:b/>
          <w:bCs/>
          <w:u w:val="single"/>
          <w:rtl/>
        </w:rPr>
      </w:pPr>
      <w:r>
        <w:rPr>
          <w:rFonts w:hint="cs"/>
          <w:b/>
          <w:bCs/>
          <w:u w:val="single"/>
          <w:rtl/>
        </w:rPr>
        <w:t>נסיבות הקשורות בביצוע העבירות</w:t>
      </w:r>
    </w:p>
    <w:p w14:paraId="3E45E7B1" w14:textId="77777777" w:rsidR="00FC147B" w:rsidRDefault="00FC147B">
      <w:pPr>
        <w:spacing w:line="360" w:lineRule="auto"/>
        <w:jc w:val="both"/>
        <w:rPr>
          <w:rtl/>
        </w:rPr>
      </w:pPr>
    </w:p>
    <w:p w14:paraId="1AD64AEB" w14:textId="77777777" w:rsidR="00FC147B" w:rsidRDefault="00B8783D">
      <w:pPr>
        <w:spacing w:line="360" w:lineRule="auto"/>
        <w:jc w:val="both"/>
        <w:rPr>
          <w:rtl/>
        </w:rPr>
      </w:pPr>
      <w:r>
        <w:rPr>
          <w:rFonts w:hint="cs"/>
          <w:rtl/>
        </w:rPr>
        <w:t>14.</w:t>
      </w:r>
      <w:r>
        <w:rPr>
          <w:rFonts w:hint="cs"/>
          <w:rtl/>
        </w:rPr>
        <w:tab/>
        <w:t>במסגרת הנסיבות הקשורות לביצוע העבירות יש לקחת בחשבון את קיום הנסיבות הבאות:</w:t>
      </w:r>
    </w:p>
    <w:p w14:paraId="2A04D624" w14:textId="77777777" w:rsidR="00FC147B" w:rsidRDefault="00B8783D">
      <w:pPr>
        <w:spacing w:line="360" w:lineRule="auto"/>
        <w:ind w:left="720"/>
        <w:jc w:val="both"/>
        <w:rPr>
          <w:b/>
          <w:bCs/>
          <w:rtl/>
        </w:rPr>
      </w:pPr>
      <w:r>
        <w:rPr>
          <w:rFonts w:hint="cs"/>
          <w:rtl/>
        </w:rPr>
        <w:t xml:space="preserve">הנאשם תכנן מעשיו היטב והקים "מעבדה" של ממש ובה כל הציוד הנדרש לגידול הסמים. חלקו היחסי של הנאשם בעבירות הינו עיקרי ובלעדי. הנזק הצפוי מביצוע עבירות אלו הינו עצום, אילו הסמים היו מתפשטים בחברה היה נגרם נזק לשלום ובטחון הציבור. לנאשם נגרם נזק מביצוע העבירות, שימושו בסמים פגע בבריאותו. אשר לסיבות שהביאו את הנאשם לביצוע העבירות, לדבריו, הוא ביצע את העבירות על רקע משבר הגירושין הקשה שעבר, החל לצרוך סמים על בסיס יומיומי ולכן גידל סמים בביתו על מנת לצרוך סמים ללא תלות באחרים. </w:t>
      </w:r>
    </w:p>
    <w:p w14:paraId="1697E278" w14:textId="77777777" w:rsidR="00FC147B" w:rsidRDefault="00B8783D">
      <w:pPr>
        <w:spacing w:line="360" w:lineRule="auto"/>
        <w:ind w:left="720"/>
        <w:jc w:val="both"/>
        <w:rPr>
          <w:rtl/>
        </w:rPr>
      </w:pPr>
      <w:r>
        <w:rPr>
          <w:rFonts w:hint="cs"/>
          <w:rtl/>
        </w:rPr>
        <w:t>לא נגרעה</w:t>
      </w:r>
      <w:r>
        <w:rPr>
          <w:rFonts w:hint="cs"/>
          <w:b/>
          <w:bCs/>
          <w:rtl/>
        </w:rPr>
        <w:t xml:space="preserve"> </w:t>
      </w:r>
      <w:r>
        <w:rPr>
          <w:rFonts w:hint="cs"/>
          <w:rtl/>
        </w:rPr>
        <w:t>יכולתו של הנאשם להבין את אשר הוא עושה, את הפסול שבמעשהו או את משמעות מעשהו, הוא אינו קרוב לסייג לאחריות הפלילית ויכול  היה  להימנע מהמעשה עליו הייתה לו שליטה מלאה.</w:t>
      </w:r>
    </w:p>
    <w:p w14:paraId="5BD7E2B2" w14:textId="77777777" w:rsidR="00FC147B" w:rsidRDefault="00B8783D">
      <w:pPr>
        <w:spacing w:line="360" w:lineRule="auto"/>
        <w:jc w:val="both"/>
      </w:pPr>
      <w:r>
        <w:rPr>
          <w:rFonts w:hint="cs"/>
          <w:rtl/>
        </w:rPr>
        <w:tab/>
      </w:r>
      <w:r>
        <w:rPr>
          <w:rFonts w:hint="cs"/>
          <w:rtl/>
        </w:rPr>
        <w:tab/>
      </w:r>
    </w:p>
    <w:p w14:paraId="04209CFC" w14:textId="77777777" w:rsidR="00FC147B" w:rsidRDefault="00B8783D">
      <w:pPr>
        <w:spacing w:line="360" w:lineRule="auto"/>
        <w:jc w:val="both"/>
        <w:rPr>
          <w:b/>
          <w:bCs/>
          <w:u w:val="single"/>
          <w:rtl/>
        </w:rPr>
      </w:pPr>
      <w:r>
        <w:rPr>
          <w:rFonts w:hint="cs"/>
          <w:b/>
          <w:bCs/>
          <w:u w:val="single"/>
          <w:rtl/>
        </w:rPr>
        <w:t>נסיבות שאינן קשורות בביצוע העבירות</w:t>
      </w:r>
    </w:p>
    <w:p w14:paraId="72332C9C" w14:textId="77777777" w:rsidR="00FC147B" w:rsidRDefault="00FC147B">
      <w:pPr>
        <w:spacing w:line="360" w:lineRule="auto"/>
        <w:jc w:val="both"/>
        <w:rPr>
          <w:rtl/>
        </w:rPr>
      </w:pPr>
    </w:p>
    <w:p w14:paraId="30435E4D" w14:textId="77777777" w:rsidR="00FC147B" w:rsidRDefault="00B8783D">
      <w:pPr>
        <w:spacing w:line="360" w:lineRule="auto"/>
        <w:ind w:left="720" w:hanging="720"/>
        <w:jc w:val="both"/>
        <w:rPr>
          <w:rtl/>
        </w:rPr>
      </w:pPr>
      <w:r>
        <w:rPr>
          <w:rFonts w:hint="cs"/>
          <w:rtl/>
        </w:rPr>
        <w:t>15.</w:t>
      </w:r>
      <w:r>
        <w:rPr>
          <w:rFonts w:hint="cs"/>
          <w:rtl/>
        </w:rPr>
        <w:tab/>
        <w:t xml:space="preserve">כמצווה על בית המשפט </w:t>
      </w:r>
      <w:hyperlink r:id="rId40" w:history="1">
        <w:r w:rsidR="00DA0020" w:rsidRPr="00DA0020">
          <w:rPr>
            <w:color w:val="0000FF"/>
            <w:u w:val="single"/>
            <w:rtl/>
          </w:rPr>
          <w:t>בסעיף 40יא</w:t>
        </w:r>
      </w:hyperlink>
      <w:r>
        <w:rPr>
          <w:rFonts w:hint="cs"/>
          <w:rtl/>
        </w:rPr>
        <w:t xml:space="preserve"> בחוק יש לקחת בחשבון, בעת ענישת הנאשם, את נסיבותיו האישיות אשר אינן קשורות בביצוע העבירות. במקרה דנן נסיבות אלו נלמדות מטיעוני ההגנה, מתסקיר שירות המבחן ומדברי הנאשם.</w:t>
      </w:r>
    </w:p>
    <w:p w14:paraId="23856CBE" w14:textId="77777777" w:rsidR="00FC147B" w:rsidRDefault="00B8783D">
      <w:pPr>
        <w:spacing w:line="360" w:lineRule="auto"/>
        <w:ind w:left="720"/>
        <w:jc w:val="both"/>
        <w:rPr>
          <w:rtl/>
        </w:rPr>
      </w:pPr>
      <w:r>
        <w:rPr>
          <w:rFonts w:hint="cs"/>
          <w:rtl/>
        </w:rPr>
        <w:t>מדובר בנאשם בן 62, נעדר עבר פלילי, שעונש מאסר אינו קל עבורו בשל גילו. הנאשם גרוש ואב ל-4 ילדים משתי מערכות נישואין. הנאשם נטל אחריות על מעשיו, הודה במיוחס לו בכתב האישום שתוקן לקולא, הביע צער וחרטה עליהם וערך שינוי בחייו, נרתם לטיפול שבסופו הוא נגמל מסמים וחזר למוטב.</w:t>
      </w:r>
    </w:p>
    <w:p w14:paraId="50A97469" w14:textId="77777777" w:rsidR="00FC147B" w:rsidRDefault="00B8783D">
      <w:pPr>
        <w:spacing w:line="360" w:lineRule="auto"/>
        <w:ind w:left="720"/>
        <w:jc w:val="both"/>
        <w:rPr>
          <w:rtl/>
        </w:rPr>
      </w:pPr>
      <w:r>
        <w:rPr>
          <w:rFonts w:hint="cs"/>
          <w:rtl/>
        </w:rPr>
        <w:t>נסיבות חייו של הנאשם אינן קלות ונטען כי למשבר הגירושין הקשה שעבר לפני מספר שנים הייתה השפעה על מצבו הנפשי וגרמה לו לבצע את העבירות דנן על רקע צריכתו סמים.</w:t>
      </w:r>
    </w:p>
    <w:p w14:paraId="0FE3D39D" w14:textId="77777777" w:rsidR="00FC147B" w:rsidRDefault="00FC147B">
      <w:pPr>
        <w:spacing w:line="360" w:lineRule="auto"/>
        <w:jc w:val="both"/>
        <w:rPr>
          <w:rtl/>
        </w:rPr>
      </w:pPr>
    </w:p>
    <w:p w14:paraId="3239DDFE" w14:textId="77777777" w:rsidR="00FC147B" w:rsidRDefault="00B8783D">
      <w:pPr>
        <w:spacing w:line="360" w:lineRule="auto"/>
        <w:jc w:val="both"/>
        <w:rPr>
          <w:rtl/>
        </w:rPr>
      </w:pPr>
      <w:r>
        <w:rPr>
          <w:rFonts w:hint="cs"/>
          <w:rtl/>
        </w:rPr>
        <w:t>16.</w:t>
      </w:r>
      <w:r>
        <w:rPr>
          <w:rFonts w:hint="cs"/>
          <w:rtl/>
        </w:rPr>
        <w:tab/>
        <w:t>לאור האמור לעיל הנני משיתה על הנאשם את העונשים הבאים:</w:t>
      </w:r>
    </w:p>
    <w:p w14:paraId="71061656" w14:textId="77777777" w:rsidR="00FC147B" w:rsidRDefault="00FC147B">
      <w:pPr>
        <w:spacing w:line="360" w:lineRule="auto"/>
        <w:jc w:val="both"/>
        <w:rPr>
          <w:rtl/>
        </w:rPr>
      </w:pPr>
    </w:p>
    <w:p w14:paraId="1193E2DF" w14:textId="77777777" w:rsidR="00FC147B" w:rsidRDefault="00B8783D">
      <w:pPr>
        <w:numPr>
          <w:ilvl w:val="0"/>
          <w:numId w:val="1"/>
        </w:numPr>
        <w:spacing w:line="360" w:lineRule="auto"/>
        <w:jc w:val="both"/>
        <w:rPr>
          <w:rtl/>
        </w:rPr>
      </w:pPr>
      <w:r>
        <w:rPr>
          <w:rFonts w:hint="cs"/>
          <w:rtl/>
        </w:rPr>
        <w:t>מאסר בפועל למשך 6 חודשים</w:t>
      </w:r>
    </w:p>
    <w:p w14:paraId="717341C7" w14:textId="77777777" w:rsidR="00FC147B" w:rsidRDefault="00B8783D">
      <w:pPr>
        <w:spacing w:line="360" w:lineRule="auto"/>
        <w:ind w:left="1080"/>
        <w:jc w:val="both"/>
      </w:pPr>
      <w:r>
        <w:rPr>
          <w:rFonts w:hint="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6DAF550B" w14:textId="77777777" w:rsidR="00FC147B" w:rsidRDefault="00FC147B">
      <w:pPr>
        <w:spacing w:line="360" w:lineRule="auto"/>
        <w:ind w:left="1440"/>
        <w:jc w:val="both"/>
        <w:rPr>
          <w:rtl/>
        </w:rPr>
      </w:pPr>
    </w:p>
    <w:p w14:paraId="7A5E7A9B" w14:textId="77777777" w:rsidR="00FC147B" w:rsidRDefault="00B8783D">
      <w:pPr>
        <w:spacing w:line="360" w:lineRule="auto"/>
        <w:ind w:left="1080"/>
        <w:jc w:val="both"/>
        <w:rPr>
          <w:rtl/>
        </w:rPr>
      </w:pPr>
      <w:r>
        <w:rPr>
          <w:rFonts w:hint="cs"/>
          <w:rtl/>
        </w:rPr>
        <w:t>הנאשם ירצה את עבודות השירות במקום העבודה "שווים עמותה לשיקום תעסוקתי" ברח' המסגר 43 בנתניה, 5 ימים בשבוע, 8.5 שעות יומיות.</w:t>
      </w:r>
    </w:p>
    <w:p w14:paraId="15929701" w14:textId="77777777" w:rsidR="00FC147B" w:rsidRDefault="00B8783D">
      <w:pPr>
        <w:spacing w:line="360" w:lineRule="auto"/>
        <w:ind w:left="1440"/>
        <w:jc w:val="both"/>
        <w:rPr>
          <w:rtl/>
        </w:rPr>
      </w:pPr>
      <w:r>
        <w:rPr>
          <w:rFonts w:hint="cs"/>
          <w:rtl/>
        </w:rPr>
        <w:t xml:space="preserve"> </w:t>
      </w:r>
    </w:p>
    <w:p w14:paraId="33B7BD3B" w14:textId="77777777" w:rsidR="00FC147B" w:rsidRDefault="00B8783D">
      <w:pPr>
        <w:spacing w:line="360" w:lineRule="auto"/>
        <w:ind w:left="1080"/>
        <w:jc w:val="both"/>
        <w:rPr>
          <w:rtl/>
        </w:rPr>
      </w:pPr>
      <w:r>
        <w:rPr>
          <w:rFonts w:hint="cs"/>
          <w:rtl/>
        </w:rPr>
        <w:t>הנאשם הביע את הסכמתו למקום העבודה הנ"ל להמרת המאסר בפועל בעבודות שירות. הריני קובעת, שהנאשם ישא את עונש המאסר שהוטל עליו בתיק זה ולמשך תקופה של 6 חודשים בעבודות שירות.</w:t>
      </w:r>
    </w:p>
    <w:p w14:paraId="2AE35F4B" w14:textId="77777777" w:rsidR="00FC147B" w:rsidRDefault="00FC147B">
      <w:pPr>
        <w:spacing w:line="360" w:lineRule="auto"/>
        <w:ind w:left="1440"/>
        <w:jc w:val="both"/>
        <w:rPr>
          <w:rtl/>
        </w:rPr>
      </w:pPr>
    </w:p>
    <w:p w14:paraId="6FCB986F" w14:textId="77777777" w:rsidR="00FC147B" w:rsidRDefault="00B8783D">
      <w:pPr>
        <w:spacing w:line="360" w:lineRule="auto"/>
        <w:ind w:left="1080"/>
        <w:jc w:val="both"/>
        <w:rPr>
          <w:rtl/>
        </w:rPr>
      </w:pPr>
      <w:r>
        <w:rPr>
          <w:rFonts w:hint="cs"/>
          <w:rtl/>
        </w:rPr>
        <w:t>תחילת ריצוי עבודות השירות ביום 13.12.2015 והנאשם יתייצב בפני המפקח על עבודות השרות בשעה 08:00 לצורך קליטה והצבה במפקדת גוש מרכז ת.ד 81 רמלה.</w:t>
      </w:r>
    </w:p>
    <w:p w14:paraId="70A3D282" w14:textId="77777777" w:rsidR="00FC147B" w:rsidRDefault="00FC147B">
      <w:pPr>
        <w:spacing w:line="360" w:lineRule="auto"/>
        <w:ind w:left="1440"/>
        <w:jc w:val="both"/>
        <w:rPr>
          <w:rtl/>
        </w:rPr>
      </w:pPr>
    </w:p>
    <w:p w14:paraId="57CFAC8D" w14:textId="77777777" w:rsidR="00FC147B" w:rsidRDefault="00B8783D">
      <w:pPr>
        <w:spacing w:line="360" w:lineRule="auto"/>
        <w:ind w:left="1080"/>
        <w:jc w:val="both"/>
        <w:rPr>
          <w:rtl/>
        </w:rPr>
      </w:pPr>
      <w:r>
        <w:rPr>
          <w:rFonts w:hint="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מנהלית ולריצוי העונש במאסר ממש.</w:t>
      </w:r>
    </w:p>
    <w:p w14:paraId="551B89A5" w14:textId="77777777" w:rsidR="00FC147B" w:rsidRDefault="00FC147B">
      <w:pPr>
        <w:spacing w:line="360" w:lineRule="auto"/>
        <w:ind w:left="1440"/>
        <w:jc w:val="both"/>
        <w:rPr>
          <w:rtl/>
        </w:rPr>
      </w:pPr>
    </w:p>
    <w:p w14:paraId="1C7C526A" w14:textId="77777777" w:rsidR="00FC147B" w:rsidRDefault="00B8783D">
      <w:pPr>
        <w:spacing w:line="360" w:lineRule="auto"/>
        <w:ind w:left="1080"/>
        <w:jc w:val="both"/>
        <w:rPr>
          <w:rtl/>
        </w:rPr>
      </w:pPr>
      <w:r>
        <w:rPr>
          <w:rFonts w:hint="cs"/>
          <w:rtl/>
        </w:rPr>
        <w:t>בנוסף, הנני מורה על עיכוב יציאה מן הארץ, ובאם הנאשם מחזיק בדרכון עליו להפקידו במזכירות בית המשפט.</w:t>
      </w:r>
    </w:p>
    <w:p w14:paraId="68726D52" w14:textId="77777777" w:rsidR="00FC147B" w:rsidRDefault="00FC147B">
      <w:pPr>
        <w:spacing w:line="360" w:lineRule="auto"/>
        <w:ind w:left="1440"/>
        <w:jc w:val="both"/>
        <w:rPr>
          <w:rtl/>
        </w:rPr>
      </w:pPr>
    </w:p>
    <w:p w14:paraId="08D8C134" w14:textId="77777777" w:rsidR="00FC147B" w:rsidRDefault="00B8783D">
      <w:pPr>
        <w:spacing w:line="360" w:lineRule="auto"/>
        <w:ind w:left="360" w:firstLine="720"/>
        <w:jc w:val="both"/>
        <w:rPr>
          <w:rtl/>
        </w:rPr>
      </w:pPr>
      <w:r>
        <w:rPr>
          <w:rFonts w:hint="cs"/>
          <w:rtl/>
        </w:rPr>
        <w:t>לא יתייצב הנאשם לריצוי המאסר בעבודות שירות - תיחתם פקודת מאסר.</w:t>
      </w:r>
    </w:p>
    <w:p w14:paraId="7E789645" w14:textId="77777777" w:rsidR="00FC147B" w:rsidRDefault="00FC147B">
      <w:pPr>
        <w:spacing w:line="360" w:lineRule="auto"/>
        <w:jc w:val="both"/>
        <w:rPr>
          <w:b/>
          <w:bCs/>
          <w:rtl/>
        </w:rPr>
      </w:pPr>
    </w:p>
    <w:p w14:paraId="7329BF9D" w14:textId="77777777" w:rsidR="00FC147B" w:rsidRDefault="00B8783D">
      <w:pPr>
        <w:numPr>
          <w:ilvl w:val="0"/>
          <w:numId w:val="1"/>
        </w:numPr>
        <w:spacing w:line="360" w:lineRule="auto"/>
        <w:jc w:val="both"/>
        <w:rPr>
          <w:rtl/>
        </w:rPr>
      </w:pPr>
      <w:r>
        <w:rPr>
          <w:rFonts w:hint="cs"/>
          <w:rtl/>
        </w:rPr>
        <w:t>מאסר על תנאי למשך  8 חודשים והנאשם לא יישא עונש זה אלא אם יעבור בתוך 3 שנים מהיום עבירות על פקודת הסמים מסוג פשע.</w:t>
      </w:r>
      <w:r>
        <w:rPr>
          <w:rFonts w:hint="cs"/>
          <w:rtl/>
        </w:rPr>
        <w:tab/>
      </w:r>
    </w:p>
    <w:p w14:paraId="23A8CF44" w14:textId="77777777" w:rsidR="00FC147B" w:rsidRDefault="00FC147B">
      <w:pPr>
        <w:spacing w:line="360" w:lineRule="auto"/>
        <w:ind w:left="1080"/>
        <w:jc w:val="both"/>
      </w:pPr>
    </w:p>
    <w:p w14:paraId="1E242677" w14:textId="77777777" w:rsidR="00FC147B" w:rsidRDefault="00B8783D">
      <w:pPr>
        <w:numPr>
          <w:ilvl w:val="0"/>
          <w:numId w:val="1"/>
        </w:numPr>
        <w:spacing w:line="360" w:lineRule="auto"/>
        <w:jc w:val="both"/>
      </w:pPr>
      <w:r>
        <w:rPr>
          <w:rFonts w:hint="cs"/>
          <w:rtl/>
        </w:rPr>
        <w:t>מאסר על תנאי למשך  4 חודשים והנאשם לא יישא עונש זה אלא אם יעבור בתוך 3 שנים מהיום עבירות על פקודת הסמים מסוג עוון.</w:t>
      </w:r>
      <w:r>
        <w:rPr>
          <w:rFonts w:hint="cs"/>
          <w:rtl/>
        </w:rPr>
        <w:tab/>
      </w:r>
    </w:p>
    <w:p w14:paraId="6BE476FF" w14:textId="77777777" w:rsidR="00FC147B" w:rsidRDefault="00FC147B">
      <w:pPr>
        <w:spacing w:line="360" w:lineRule="auto"/>
        <w:ind w:left="720"/>
        <w:jc w:val="both"/>
        <w:rPr>
          <w:rtl/>
        </w:rPr>
      </w:pPr>
    </w:p>
    <w:p w14:paraId="36B617B0" w14:textId="77777777" w:rsidR="00FC147B" w:rsidRDefault="00B8783D">
      <w:pPr>
        <w:numPr>
          <w:ilvl w:val="0"/>
          <w:numId w:val="1"/>
        </w:numPr>
        <w:spacing w:line="360" w:lineRule="auto"/>
        <w:jc w:val="both"/>
        <w:rPr>
          <w:rtl/>
        </w:rPr>
      </w:pPr>
      <w:r>
        <w:rPr>
          <w:rFonts w:hint="cs"/>
          <w:rtl/>
        </w:rPr>
        <w:t>קנס כספי בסך 5,000 ₪ או 50  ימי מאסר תמורתו.</w:t>
      </w:r>
    </w:p>
    <w:p w14:paraId="02B788F1" w14:textId="77777777" w:rsidR="00FC147B" w:rsidRDefault="00B8783D">
      <w:pPr>
        <w:spacing w:line="360" w:lineRule="auto"/>
        <w:jc w:val="both"/>
        <w:rPr>
          <w:rtl/>
        </w:rPr>
      </w:pPr>
      <w:r>
        <w:rPr>
          <w:rFonts w:hint="cs"/>
          <w:rtl/>
        </w:rPr>
        <w:tab/>
      </w:r>
    </w:p>
    <w:p w14:paraId="560D3C66" w14:textId="77777777" w:rsidR="00FC147B" w:rsidRDefault="00B8783D">
      <w:pPr>
        <w:spacing w:line="360" w:lineRule="auto"/>
        <w:ind w:left="360" w:firstLine="720"/>
        <w:jc w:val="both"/>
        <w:rPr>
          <w:rtl/>
        </w:rPr>
      </w:pPr>
      <w:r>
        <w:rPr>
          <w:rFonts w:hint="cs"/>
          <w:rtl/>
        </w:rPr>
        <w:t xml:space="preserve">הקנס יקוזז מהפיקדון הקיים בתיק </w:t>
      </w:r>
      <w:hyperlink r:id="rId41" w:history="1">
        <w:r w:rsidRPr="00B8783D">
          <w:rPr>
            <w:rStyle w:val="Hyperlink"/>
            <w:rFonts w:hint="eastAsia"/>
            <w:rtl/>
          </w:rPr>
          <w:t>מ</w:t>
        </w:r>
        <w:r w:rsidRPr="00B8783D">
          <w:rPr>
            <w:rStyle w:val="Hyperlink"/>
            <w:rtl/>
          </w:rPr>
          <w:t>"ת 45194-01-14</w:t>
        </w:r>
      </w:hyperlink>
      <w:r>
        <w:rPr>
          <w:rFonts w:hint="cs"/>
          <w:rtl/>
        </w:rPr>
        <w:t xml:space="preserve"> על סך 2,000 ₪, והיתרה תשולם </w:t>
      </w:r>
    </w:p>
    <w:p w14:paraId="54D2ED66" w14:textId="77777777" w:rsidR="00FC147B" w:rsidRDefault="00B8783D">
      <w:pPr>
        <w:spacing w:line="360" w:lineRule="auto"/>
        <w:ind w:left="1080"/>
        <w:jc w:val="both"/>
        <w:rPr>
          <w:rtl/>
        </w:rPr>
      </w:pPr>
      <w:r>
        <w:rPr>
          <w:rFonts w:hint="cs"/>
          <w:rtl/>
        </w:rPr>
        <w:t xml:space="preserve">ב- 6 תשלומים חודשיים שווים ורצופים החל מיום 1.12.15. לא  ישולם תשלום במועדו  תעמוד מלוא יתרת הקנס לפירעון מיידי. </w:t>
      </w:r>
    </w:p>
    <w:p w14:paraId="3AEA3274" w14:textId="77777777" w:rsidR="00FC147B" w:rsidRDefault="00FC147B">
      <w:pPr>
        <w:spacing w:line="360" w:lineRule="auto"/>
        <w:ind w:left="1080"/>
        <w:jc w:val="both"/>
        <w:rPr>
          <w:rtl/>
        </w:rPr>
      </w:pPr>
    </w:p>
    <w:p w14:paraId="459E6229" w14:textId="77777777" w:rsidR="00FC147B" w:rsidRDefault="00B8783D">
      <w:pPr>
        <w:spacing w:line="360" w:lineRule="auto"/>
        <w:ind w:left="-284" w:firstLine="992"/>
        <w:jc w:val="both"/>
        <w:rPr>
          <w:rtl/>
        </w:rPr>
      </w:pPr>
      <w:r>
        <w:rPr>
          <w:rFonts w:hint="cs"/>
          <w:rtl/>
        </w:rPr>
        <w:t>ה.   מכריזה על הנאשם סוחר סמים ומורה על חילוט סך של 601 דולר ארה"ב ו- 600 ₪ .</w:t>
      </w:r>
    </w:p>
    <w:p w14:paraId="68288673" w14:textId="77777777" w:rsidR="00FC147B" w:rsidRDefault="00FC147B">
      <w:pPr>
        <w:spacing w:line="360" w:lineRule="auto"/>
        <w:jc w:val="both"/>
        <w:rPr>
          <w:b/>
          <w:bCs/>
          <w:rtl/>
        </w:rPr>
      </w:pPr>
    </w:p>
    <w:p w14:paraId="75BAD585" w14:textId="77777777" w:rsidR="00FC147B" w:rsidRDefault="00B8783D">
      <w:pPr>
        <w:spacing w:line="360" w:lineRule="auto"/>
        <w:jc w:val="both"/>
        <w:rPr>
          <w:b/>
          <w:bCs/>
          <w:rtl/>
        </w:rPr>
      </w:pPr>
      <w:r>
        <w:rPr>
          <w:rFonts w:hint="cs"/>
          <w:b/>
          <w:bCs/>
          <w:rtl/>
        </w:rPr>
        <w:t>מוצגים – סמים יושמדו.</w:t>
      </w:r>
    </w:p>
    <w:p w14:paraId="1B9E572A" w14:textId="77777777" w:rsidR="00FC147B" w:rsidRDefault="00B8783D">
      <w:pPr>
        <w:spacing w:line="360" w:lineRule="auto"/>
        <w:jc w:val="both"/>
        <w:rPr>
          <w:b/>
          <w:bCs/>
          <w:u w:val="single"/>
          <w:rtl/>
        </w:rPr>
      </w:pPr>
      <w:r>
        <w:rPr>
          <w:rFonts w:hint="cs"/>
          <w:b/>
          <w:bCs/>
          <w:u w:val="single"/>
          <w:rtl/>
        </w:rPr>
        <w:t>זכות ערעור תוך 45 יום מהיום</w:t>
      </w:r>
    </w:p>
    <w:p w14:paraId="2482A5E0" w14:textId="77777777" w:rsidR="00FC147B" w:rsidRDefault="00FC147B">
      <w:pPr>
        <w:spacing w:line="360" w:lineRule="auto"/>
        <w:jc w:val="both"/>
        <w:rPr>
          <w:rtl/>
        </w:rPr>
      </w:pPr>
    </w:p>
    <w:p w14:paraId="43223E05" w14:textId="77777777" w:rsidR="00FC147B" w:rsidRDefault="00B8783D">
      <w:pPr>
        <w:spacing w:line="360" w:lineRule="auto"/>
        <w:jc w:val="both"/>
        <w:rPr>
          <w:sz w:val="6"/>
          <w:szCs w:val="6"/>
          <w:rtl/>
        </w:rPr>
      </w:pPr>
      <w:r>
        <w:rPr>
          <w:sz w:val="6"/>
          <w:szCs w:val="6"/>
          <w:rtl/>
        </w:rPr>
        <w:t>&lt;#3#&gt;</w:t>
      </w:r>
    </w:p>
    <w:p w14:paraId="13B20FC6" w14:textId="77777777" w:rsidR="00FC147B" w:rsidRDefault="00FC147B">
      <w:pPr>
        <w:jc w:val="right"/>
        <w:rPr>
          <w:rtl/>
        </w:rPr>
      </w:pPr>
    </w:p>
    <w:p w14:paraId="3113DD1F" w14:textId="77777777" w:rsidR="00FC147B" w:rsidRDefault="00B8783D">
      <w:pPr>
        <w:jc w:val="center"/>
        <w:rPr>
          <w:rtl/>
        </w:rPr>
      </w:pPr>
      <w:r w:rsidRPr="00B8783D">
        <w:rPr>
          <w:b/>
          <w:bCs/>
          <w:color w:val="FFFFFF"/>
          <w:sz w:val="2"/>
          <w:szCs w:val="2"/>
          <w:rtl/>
        </w:rPr>
        <w:t>5129371</w:t>
      </w:r>
      <w:r>
        <w:rPr>
          <w:b/>
          <w:bCs/>
          <w:rtl/>
        </w:rPr>
        <w:t xml:space="preserve">ניתנה והודעה היום כ"א חשוון תשע"ו, 03/11/2015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C147B" w14:paraId="6B4A64A0" w14:textId="77777777">
        <w:trPr>
          <w:trHeight w:val="364"/>
          <w:jc w:val="right"/>
        </w:trPr>
        <w:tc>
          <w:tcPr>
            <w:tcW w:w="3708" w:type="dxa"/>
            <w:shd w:val="clear" w:color="auto" w:fill="auto"/>
          </w:tcPr>
          <w:p w14:paraId="6216BEF5" w14:textId="77777777" w:rsidR="00FC147B" w:rsidRPr="00B8783D" w:rsidRDefault="00B8783D">
            <w:pPr>
              <w:jc w:val="center"/>
              <w:rPr>
                <w:rFonts w:ascii="Times New Roman" w:eastAsia="Times New Roman" w:hAnsi="Times New Roman" w:cs="Times New Roman"/>
                <w:color w:val="FFFFFF"/>
                <w:sz w:val="2"/>
                <w:szCs w:val="2"/>
              </w:rPr>
            </w:pPr>
            <w:r w:rsidRPr="00B8783D">
              <w:rPr>
                <w:rFonts w:ascii="Times New Roman" w:eastAsia="Times New Roman" w:hAnsi="Times New Roman" w:cs="Times New Roman"/>
                <w:color w:val="FFFFFF"/>
                <w:sz w:val="2"/>
                <w:szCs w:val="2"/>
                <w:rtl/>
              </w:rPr>
              <w:t>54678313</w:t>
            </w:r>
          </w:p>
          <w:p w14:paraId="1DA8AEE6" w14:textId="77777777" w:rsidR="00FC147B" w:rsidRDefault="00FC147B">
            <w:pPr>
              <w:jc w:val="center"/>
              <w:rPr>
                <w:rFonts w:ascii="Times New Roman" w:eastAsia="Times New Roman" w:hAnsi="Times New Roman" w:cs="Times New Roman"/>
                <w:rtl/>
              </w:rPr>
            </w:pPr>
          </w:p>
        </w:tc>
      </w:tr>
      <w:tr w:rsidR="00FC147B" w14:paraId="37097F0F" w14:textId="77777777">
        <w:trPr>
          <w:trHeight w:val="415"/>
          <w:jc w:val="right"/>
        </w:trPr>
        <w:tc>
          <w:tcPr>
            <w:tcW w:w="3708" w:type="dxa"/>
            <w:shd w:val="clear" w:color="auto" w:fill="auto"/>
          </w:tcPr>
          <w:p w14:paraId="20033B5F" w14:textId="77777777" w:rsidR="00FC147B" w:rsidRDefault="00B8783D">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025C2A3C" w14:textId="77777777" w:rsidR="00FC147B" w:rsidRDefault="00FC147B">
      <w:pPr>
        <w:jc w:val="right"/>
        <w:rPr>
          <w:rtl/>
        </w:rPr>
      </w:pPr>
    </w:p>
    <w:p w14:paraId="24CCF3B9" w14:textId="77777777" w:rsidR="00FC147B" w:rsidRDefault="00B8783D">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65AED553" w14:textId="77777777" w:rsidR="00B8783D" w:rsidRPr="00B8783D" w:rsidRDefault="00B8783D" w:rsidP="00B8783D">
      <w:pPr>
        <w:keepNext/>
        <w:rPr>
          <w:color w:val="000000"/>
          <w:sz w:val="22"/>
          <w:szCs w:val="22"/>
          <w:rtl/>
        </w:rPr>
      </w:pPr>
    </w:p>
    <w:p w14:paraId="7F3ACF2E" w14:textId="77777777" w:rsidR="00B8783D" w:rsidRPr="00B8783D" w:rsidRDefault="00B8783D" w:rsidP="00B8783D">
      <w:pPr>
        <w:keepNext/>
        <w:rPr>
          <w:color w:val="000000"/>
          <w:sz w:val="22"/>
          <w:szCs w:val="22"/>
          <w:rtl/>
        </w:rPr>
      </w:pPr>
      <w:r w:rsidRPr="00B8783D">
        <w:rPr>
          <w:color w:val="000000"/>
          <w:sz w:val="22"/>
          <w:szCs w:val="22"/>
          <w:rtl/>
        </w:rPr>
        <w:t>איטה נחמן 54678313</w:t>
      </w:r>
    </w:p>
    <w:p w14:paraId="0E2B057C" w14:textId="77777777" w:rsidR="00B8783D" w:rsidRDefault="00B8783D" w:rsidP="00B8783D">
      <w:r w:rsidRPr="00B8783D">
        <w:rPr>
          <w:color w:val="000000"/>
          <w:rtl/>
        </w:rPr>
        <w:t>נוסח מסמך זה כפוף לשינויי ניסוח ועריכה</w:t>
      </w:r>
    </w:p>
    <w:p w14:paraId="237E1D92" w14:textId="77777777" w:rsidR="00B8783D" w:rsidRDefault="00B8783D" w:rsidP="00B8783D">
      <w:pPr>
        <w:rPr>
          <w:rtl/>
        </w:rPr>
      </w:pPr>
    </w:p>
    <w:p w14:paraId="3841345E" w14:textId="77777777" w:rsidR="00B8783D" w:rsidRDefault="00B8783D" w:rsidP="00B8783D">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882DB2E" w14:textId="77777777" w:rsidR="00FC147B" w:rsidRDefault="00FC147B" w:rsidP="00B8783D">
      <w:pPr>
        <w:jc w:val="center"/>
        <w:rPr>
          <w:rFonts w:hint="cs"/>
          <w:color w:val="0000FF"/>
          <w:u w:val="single"/>
          <w:rtl/>
        </w:rPr>
      </w:pPr>
    </w:p>
    <w:p w14:paraId="0F1F562C" w14:textId="77777777" w:rsidR="00985F99" w:rsidRPr="00B8783D" w:rsidRDefault="00985F99" w:rsidP="00B8783D">
      <w:pPr>
        <w:jc w:val="center"/>
        <w:rPr>
          <w:color w:val="0000FF"/>
          <w:u w:val="single"/>
        </w:rPr>
      </w:pPr>
    </w:p>
    <w:sectPr w:rsidR="00985F99" w:rsidRPr="00B8783D" w:rsidSect="00B8783D">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DE6AA" w14:textId="77777777" w:rsidR="006F11E4" w:rsidRDefault="006F11E4">
      <w:r>
        <w:separator/>
      </w:r>
    </w:p>
  </w:endnote>
  <w:endnote w:type="continuationSeparator" w:id="0">
    <w:p w14:paraId="5B8A9438" w14:textId="77777777" w:rsidR="006F11E4" w:rsidRDefault="006F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nPenh">
    <w:charset w:val="00"/>
    <w:family w:val="auto"/>
    <w:pitch w:val="variable"/>
    <w:sig w:usb0="80000003" w:usb1="00000000" w:usb2="0001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67468" w14:textId="77777777" w:rsidR="00896499" w:rsidRDefault="00896499" w:rsidP="00B878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1DEC7248" w14:textId="77777777" w:rsidR="00896499" w:rsidRPr="00B8783D" w:rsidRDefault="00896499" w:rsidP="00B8783D">
    <w:pPr>
      <w:pStyle w:val="a5"/>
      <w:pBdr>
        <w:top w:val="single" w:sz="4" w:space="1" w:color="auto"/>
        <w:between w:val="single" w:sz="4" w:space="0" w:color="auto"/>
      </w:pBdr>
      <w:spacing w:after="60"/>
      <w:jc w:val="center"/>
      <w:rPr>
        <w:rFonts w:ascii="FrankRuehl" w:hAnsi="FrankRuehl" w:cs="FrankRuehl"/>
        <w:color w:val="000000"/>
      </w:rPr>
    </w:pPr>
    <w:r w:rsidRPr="00B878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BC65F" w14:textId="77777777" w:rsidR="00896499" w:rsidRDefault="00896499" w:rsidP="00B878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115F">
      <w:rPr>
        <w:rFonts w:ascii="FrankRuehl" w:hAnsi="FrankRuehl" w:cs="FrankRuehl"/>
        <w:noProof/>
        <w:rtl/>
      </w:rPr>
      <w:t>1</w:t>
    </w:r>
    <w:r>
      <w:rPr>
        <w:rFonts w:ascii="FrankRuehl" w:hAnsi="FrankRuehl" w:cs="FrankRuehl"/>
        <w:rtl/>
      </w:rPr>
      <w:fldChar w:fldCharType="end"/>
    </w:r>
  </w:p>
  <w:p w14:paraId="2385EB7A" w14:textId="77777777" w:rsidR="00896499" w:rsidRPr="00B8783D" w:rsidRDefault="00896499" w:rsidP="00B8783D">
    <w:pPr>
      <w:pStyle w:val="a5"/>
      <w:pBdr>
        <w:top w:val="single" w:sz="4" w:space="1" w:color="auto"/>
        <w:between w:val="single" w:sz="4" w:space="0" w:color="auto"/>
      </w:pBdr>
      <w:spacing w:after="60"/>
      <w:jc w:val="center"/>
      <w:rPr>
        <w:rFonts w:ascii="FrankRuehl" w:hAnsi="FrankRuehl" w:cs="FrankRuehl"/>
        <w:color w:val="000000"/>
      </w:rPr>
    </w:pPr>
    <w:r w:rsidRPr="00B8783D">
      <w:rPr>
        <w:rFonts w:ascii="FrankRuehl" w:hAnsi="FrankRuehl" w:cs="FrankRuehl"/>
        <w:color w:val="000000"/>
      </w:rPr>
      <w:pict w14:anchorId="42679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1B01" w14:textId="77777777" w:rsidR="006F11E4" w:rsidRDefault="006F11E4">
      <w:r>
        <w:separator/>
      </w:r>
    </w:p>
  </w:footnote>
  <w:footnote w:type="continuationSeparator" w:id="0">
    <w:p w14:paraId="3B771952" w14:textId="77777777" w:rsidR="006F11E4" w:rsidRDefault="006F1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4AC88" w14:textId="77777777" w:rsidR="00896499" w:rsidRPr="00B8783D" w:rsidRDefault="00896499" w:rsidP="00B8783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45181-01-14</w:t>
    </w:r>
    <w:r>
      <w:rPr>
        <w:color w:val="000000"/>
        <w:sz w:val="22"/>
        <w:szCs w:val="22"/>
        <w:rtl/>
      </w:rPr>
      <w:tab/>
      <w:t xml:space="preserve"> מדינת ישראל נ' שמואל קאשי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79E68" w14:textId="77777777" w:rsidR="00896499" w:rsidRPr="00B8783D" w:rsidRDefault="00896499" w:rsidP="00B8783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45181-01-14</w:t>
    </w:r>
    <w:r>
      <w:rPr>
        <w:color w:val="000000"/>
        <w:sz w:val="22"/>
        <w:szCs w:val="22"/>
        <w:rtl/>
      </w:rPr>
      <w:tab/>
      <w:t xml:space="preserve"> מדינת ישראל נ' שמואל קאשי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DDEA0BA4"/>
    <w:lvl w:ilvl="0" w:tplc="D35C016C">
      <w:start w:val="1"/>
      <w:numFmt w:val="hebrew1"/>
      <w:lvlText w:val="%1."/>
      <w:lvlJc w:val="left"/>
      <w:pPr>
        <w:ind w:left="1080" w:hanging="360"/>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847911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147B"/>
    <w:rsid w:val="000B28B8"/>
    <w:rsid w:val="001A115F"/>
    <w:rsid w:val="002B229D"/>
    <w:rsid w:val="00364F9E"/>
    <w:rsid w:val="004305EC"/>
    <w:rsid w:val="006F11E4"/>
    <w:rsid w:val="00896499"/>
    <w:rsid w:val="00922583"/>
    <w:rsid w:val="00953907"/>
    <w:rsid w:val="00985F99"/>
    <w:rsid w:val="00B8783D"/>
    <w:rsid w:val="00DA0020"/>
    <w:rsid w:val="00FC14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2D4F64"/>
  <w15:chartTrackingRefBased/>
  <w15:docId w15:val="{D6B450E7-68AC-442A-82F9-15FC9A3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147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C147B"/>
  </w:style>
  <w:style w:type="paragraph" w:styleId="a4">
    <w:name w:val="header"/>
    <w:basedOn w:val="a"/>
    <w:rsid w:val="00FC147B"/>
    <w:pPr>
      <w:tabs>
        <w:tab w:val="center" w:pos="4153"/>
        <w:tab w:val="right" w:pos="8306"/>
      </w:tabs>
    </w:pPr>
  </w:style>
  <w:style w:type="paragraph" w:styleId="a5">
    <w:name w:val="footer"/>
    <w:basedOn w:val="a"/>
    <w:rsid w:val="00FC147B"/>
    <w:pPr>
      <w:tabs>
        <w:tab w:val="center" w:pos="4153"/>
        <w:tab w:val="right" w:pos="8306"/>
      </w:tabs>
    </w:pPr>
  </w:style>
  <w:style w:type="character" w:styleId="a6">
    <w:name w:val="page number"/>
    <w:basedOn w:val="a0"/>
    <w:rsid w:val="00FC147B"/>
  </w:style>
  <w:style w:type="character" w:styleId="Hyperlink">
    <w:name w:val="Hyperlink"/>
    <w:rsid w:val="00B87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case/20402486" TargetMode="External"/><Relationship Id="rId39" Type="http://schemas.openxmlformats.org/officeDocument/2006/relationships/hyperlink" Target="http://www.nevo.co.il/law/70301/40d.a"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435727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50791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11276688" TargetMode="External"/><Relationship Id="rId32" Type="http://schemas.openxmlformats.org/officeDocument/2006/relationships/hyperlink" Target="http://www.nevo.co.il/case/4346677" TargetMode="External"/><Relationship Id="rId37" Type="http://schemas.openxmlformats.org/officeDocument/2006/relationships/hyperlink" Target="http://www.nevo.co.il/case/4804940"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5764704" TargetMode="External"/><Relationship Id="rId36" Type="http://schemas.openxmlformats.org/officeDocument/2006/relationships/hyperlink" Target="http://www.nevo.co.il/law/70301/40b" TargetMode="External"/><Relationship Id="rId10" Type="http://schemas.openxmlformats.org/officeDocument/2006/relationships/hyperlink" Target="http://www.nevo.co.il/law/4216/6"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446192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935026" TargetMode="External"/><Relationship Id="rId35" Type="http://schemas.openxmlformats.org/officeDocument/2006/relationships/hyperlink" Target="http://www.nevo.co.il/law/70301/40c.a"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case/18107527" TargetMode="External"/><Relationship Id="rId33" Type="http://schemas.openxmlformats.org/officeDocument/2006/relationships/hyperlink" Target="http://www.nevo.co.il/case/7019026" TargetMode="External"/><Relationship Id="rId38" Type="http://schemas.openxmlformats.org/officeDocument/2006/relationships/hyperlink" Target="http://www.nevo.co.il/case/3834525" TargetMode="External"/><Relationship Id="rId46"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112650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2439</Words>
  <Characters>12196</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14606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3276915</vt:i4>
      </vt:variant>
      <vt:variant>
        <vt:i4>102</vt:i4>
      </vt:variant>
      <vt:variant>
        <vt:i4>0</vt:i4>
      </vt:variant>
      <vt:variant>
        <vt:i4>5</vt:i4>
      </vt:variant>
      <vt:variant>
        <vt:lpwstr>http://www.nevo.co.il/case/11265049</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3145850</vt:i4>
      </vt:variant>
      <vt:variant>
        <vt:i4>93</vt:i4>
      </vt:variant>
      <vt:variant>
        <vt:i4>0</vt:i4>
      </vt:variant>
      <vt:variant>
        <vt:i4>5</vt:i4>
      </vt:variant>
      <vt:variant>
        <vt:lpwstr>http://www.nevo.co.il/case/3834525</vt:lpwstr>
      </vt:variant>
      <vt:variant>
        <vt:lpwstr/>
      </vt:variant>
      <vt:variant>
        <vt:i4>3997820</vt:i4>
      </vt:variant>
      <vt:variant>
        <vt:i4>90</vt:i4>
      </vt:variant>
      <vt:variant>
        <vt:i4>0</vt:i4>
      </vt:variant>
      <vt:variant>
        <vt:i4>5</vt:i4>
      </vt:variant>
      <vt:variant>
        <vt:lpwstr>http://www.nevo.co.il/case/4804940</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3473527</vt:i4>
      </vt:variant>
      <vt:variant>
        <vt:i4>81</vt:i4>
      </vt:variant>
      <vt:variant>
        <vt:i4>0</vt:i4>
      </vt:variant>
      <vt:variant>
        <vt:i4>5</vt:i4>
      </vt:variant>
      <vt:variant>
        <vt:lpwstr>http://www.nevo.co.il/case/4357276</vt:lpwstr>
      </vt:variant>
      <vt:variant>
        <vt:lpwstr/>
      </vt:variant>
      <vt:variant>
        <vt:i4>3145855</vt:i4>
      </vt:variant>
      <vt:variant>
        <vt:i4>78</vt:i4>
      </vt:variant>
      <vt:variant>
        <vt:i4>0</vt:i4>
      </vt:variant>
      <vt:variant>
        <vt:i4>5</vt:i4>
      </vt:variant>
      <vt:variant>
        <vt:lpwstr>http://www.nevo.co.il/case/7019026</vt:lpwstr>
      </vt:variant>
      <vt:variant>
        <vt:lpwstr/>
      </vt:variant>
      <vt:variant>
        <vt:i4>3211382</vt:i4>
      </vt:variant>
      <vt:variant>
        <vt:i4>75</vt:i4>
      </vt:variant>
      <vt:variant>
        <vt:i4>0</vt:i4>
      </vt:variant>
      <vt:variant>
        <vt:i4>5</vt:i4>
      </vt:variant>
      <vt:variant>
        <vt:lpwstr>http://www.nevo.co.il/case/4346677</vt:lpwstr>
      </vt:variant>
      <vt:variant>
        <vt:lpwstr/>
      </vt:variant>
      <vt:variant>
        <vt:i4>3735667</vt:i4>
      </vt:variant>
      <vt:variant>
        <vt:i4>72</vt:i4>
      </vt:variant>
      <vt:variant>
        <vt:i4>0</vt:i4>
      </vt:variant>
      <vt:variant>
        <vt:i4>5</vt:i4>
      </vt:variant>
      <vt:variant>
        <vt:lpwstr>http://www.nevo.co.il/case/4461922</vt:lpwstr>
      </vt:variant>
      <vt:variant>
        <vt:lpwstr/>
      </vt:variant>
      <vt:variant>
        <vt:i4>3276922</vt:i4>
      </vt:variant>
      <vt:variant>
        <vt:i4>69</vt:i4>
      </vt:variant>
      <vt:variant>
        <vt:i4>0</vt:i4>
      </vt:variant>
      <vt:variant>
        <vt:i4>5</vt:i4>
      </vt:variant>
      <vt:variant>
        <vt:lpwstr>http://www.nevo.co.il/case/7935026</vt:lpwstr>
      </vt:variant>
      <vt:variant>
        <vt:lpwstr/>
      </vt:variant>
      <vt:variant>
        <vt:i4>3539064</vt:i4>
      </vt:variant>
      <vt:variant>
        <vt:i4>66</vt:i4>
      </vt:variant>
      <vt:variant>
        <vt:i4>0</vt:i4>
      </vt:variant>
      <vt:variant>
        <vt:i4>5</vt:i4>
      </vt:variant>
      <vt:variant>
        <vt:lpwstr>http://www.nevo.co.il/case/5079155</vt:lpwstr>
      </vt:variant>
      <vt:variant>
        <vt:lpwstr/>
      </vt:variant>
      <vt:variant>
        <vt:i4>3145847</vt:i4>
      </vt:variant>
      <vt:variant>
        <vt:i4>63</vt:i4>
      </vt:variant>
      <vt:variant>
        <vt:i4>0</vt:i4>
      </vt:variant>
      <vt:variant>
        <vt:i4>5</vt:i4>
      </vt:variant>
      <vt:variant>
        <vt:lpwstr>http://www.nevo.co.il/case/5764704</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3473529</vt:i4>
      </vt:variant>
      <vt:variant>
        <vt:i4>54</vt:i4>
      </vt:variant>
      <vt:variant>
        <vt:i4>0</vt:i4>
      </vt:variant>
      <vt:variant>
        <vt:i4>5</vt:i4>
      </vt:variant>
      <vt:variant>
        <vt:lpwstr>http://www.nevo.co.il/case/18107527</vt:lpwstr>
      </vt:variant>
      <vt:variant>
        <vt:lpwstr/>
      </vt:variant>
      <vt:variant>
        <vt:i4>3997812</vt:i4>
      </vt:variant>
      <vt:variant>
        <vt:i4>51</vt:i4>
      </vt:variant>
      <vt:variant>
        <vt:i4>0</vt:i4>
      </vt:variant>
      <vt:variant>
        <vt:i4>5</vt:i4>
      </vt:variant>
      <vt:variant>
        <vt:lpwstr>http://www.nevo.co.il/case/11276688</vt:lpwstr>
      </vt:variant>
      <vt:variant>
        <vt:lpwstr/>
      </vt:variant>
      <vt:variant>
        <vt:i4>5177418</vt:i4>
      </vt:variant>
      <vt:variant>
        <vt:i4>48</vt:i4>
      </vt:variant>
      <vt:variant>
        <vt:i4>0</vt:i4>
      </vt:variant>
      <vt:variant>
        <vt:i4>5</vt:i4>
      </vt:variant>
      <vt:variant>
        <vt:lpwstr>http://www.nevo.co.il/law/4216/10</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45181</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שמואל קאשי</vt:lpwstr>
  </property>
  <property fmtid="{D5CDD505-2E9C-101B-9397-08002B2CF9AE}" pid="10" name="LAWYER">
    <vt:lpwstr>אלמוג בן חמו; אסף שלם</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20151103</vt:lpwstr>
  </property>
  <property fmtid="{D5CDD505-2E9C-101B-9397-08002B2CF9AE}" pid="14" name="TYPE_N_DATE">
    <vt:lpwstr>38020151103</vt:lpwstr>
  </property>
  <property fmtid="{D5CDD505-2E9C-101B-9397-08002B2CF9AE}" pid="15" name="WORDNUMPAGES">
    <vt:lpwstr>8</vt:lpwstr>
  </property>
  <property fmtid="{D5CDD505-2E9C-101B-9397-08002B2CF9AE}" pid="16" name="TYPE_ABS_DATE">
    <vt:lpwstr>380020151103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11276688;18107527;20402486;5764704;5079155;7935026;4461922;4346677;7019026;4357276;4804940;3834525;11265049</vt:lpwstr>
  </property>
  <property fmtid="{D5CDD505-2E9C-101B-9397-08002B2CF9AE}" pid="36" name="LAWLISTTMP1">
    <vt:lpwstr>4216/006;007.a;007.c;010</vt:lpwstr>
  </property>
  <property fmtid="{D5CDD505-2E9C-101B-9397-08002B2CF9AE}" pid="37" name="LAWLISTTMP2">
    <vt:lpwstr>70301/040c.a;040b;040d.a;40ja</vt:lpwstr>
  </property>
</Properties>
</file>