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D729FC" w:rsidRPr="00DE3A92" w14:paraId="7B617F7C" w14:textId="77777777">
        <w:trPr>
          <w:trHeight w:hRule="exact" w:val="418"/>
          <w:jc w:val="center"/>
        </w:trPr>
        <w:tc>
          <w:tcPr>
            <w:tcW w:w="8721" w:type="dxa"/>
            <w:gridSpan w:val="2"/>
          </w:tcPr>
          <w:p w14:paraId="24AF7D2A" w14:textId="77777777" w:rsidR="00D729FC" w:rsidRPr="00DE3A92" w:rsidRDefault="00DE3A92">
            <w:pPr>
              <w:pStyle w:val="a3"/>
              <w:jc w:val="center"/>
              <w:rPr>
                <w:rFonts w:ascii="Tahoma" w:hAnsi="Tahoma" w:cs="Tahoma"/>
                <w:color w:val="000080"/>
                <w:rtl/>
              </w:rPr>
            </w:pPr>
            <w:bookmarkStart w:id="0" w:name="LastJudge"/>
            <w:r w:rsidRPr="00DE3A92">
              <w:rPr>
                <w:rFonts w:ascii="Tahoma" w:hAnsi="Tahoma" w:cs="Tahoma"/>
                <w:b/>
                <w:bCs/>
                <w:color w:val="000080"/>
                <w:rtl/>
              </w:rPr>
              <w:t>בית משפט השלום בתל אביב - יפו</w:t>
            </w:r>
          </w:p>
        </w:tc>
      </w:tr>
      <w:tr w:rsidR="00D729FC" w:rsidRPr="00DE3A92" w14:paraId="2487BD0C" w14:textId="77777777">
        <w:trPr>
          <w:trHeight w:val="337"/>
          <w:jc w:val="center"/>
        </w:trPr>
        <w:tc>
          <w:tcPr>
            <w:tcW w:w="5057" w:type="dxa"/>
          </w:tcPr>
          <w:p w14:paraId="66649FF8" w14:textId="77777777" w:rsidR="00D729FC" w:rsidRPr="00DE3A92" w:rsidRDefault="00DE3A92">
            <w:pPr>
              <w:rPr>
                <w:rFonts w:cs="FrankRuehl"/>
                <w:sz w:val="28"/>
                <w:szCs w:val="28"/>
                <w:rtl/>
              </w:rPr>
            </w:pPr>
            <w:r w:rsidRPr="00DE3A92">
              <w:rPr>
                <w:rFonts w:cs="FrankRuehl"/>
                <w:sz w:val="28"/>
                <w:szCs w:val="28"/>
                <w:rtl/>
              </w:rPr>
              <w:t>ת"פ</w:t>
            </w:r>
            <w:r w:rsidRPr="00DE3A92">
              <w:rPr>
                <w:rFonts w:cs="FrankRuehl" w:hint="cs"/>
                <w:sz w:val="28"/>
                <w:szCs w:val="28"/>
                <w:rtl/>
              </w:rPr>
              <w:t xml:space="preserve"> </w:t>
            </w:r>
            <w:r w:rsidRPr="00DE3A92">
              <w:rPr>
                <w:rFonts w:cs="FrankRuehl"/>
                <w:sz w:val="28"/>
                <w:szCs w:val="28"/>
                <w:rtl/>
              </w:rPr>
              <w:t>59586-01-14</w:t>
            </w:r>
            <w:r w:rsidRPr="00DE3A92">
              <w:rPr>
                <w:rFonts w:cs="FrankRuehl" w:hint="cs"/>
                <w:sz w:val="28"/>
                <w:szCs w:val="28"/>
                <w:rtl/>
              </w:rPr>
              <w:t xml:space="preserve"> </w:t>
            </w:r>
            <w:r w:rsidRPr="00DE3A92">
              <w:rPr>
                <w:rFonts w:cs="FrankRuehl"/>
                <w:sz w:val="28"/>
                <w:szCs w:val="28"/>
                <w:rtl/>
              </w:rPr>
              <w:t>מדינת ישראל נ' קקון(עציר)</w:t>
            </w:r>
          </w:p>
          <w:p w14:paraId="3D59EAE6" w14:textId="77777777" w:rsidR="00D729FC" w:rsidRPr="00DE3A92" w:rsidRDefault="00D729FC">
            <w:pPr>
              <w:pStyle w:val="a3"/>
              <w:rPr>
                <w:rFonts w:cs="FrankRuehl"/>
                <w:sz w:val="28"/>
                <w:szCs w:val="28"/>
                <w:rtl/>
              </w:rPr>
            </w:pPr>
          </w:p>
        </w:tc>
        <w:tc>
          <w:tcPr>
            <w:tcW w:w="3664" w:type="dxa"/>
          </w:tcPr>
          <w:p w14:paraId="3D95526C" w14:textId="77777777" w:rsidR="00D729FC" w:rsidRPr="00DE3A92" w:rsidRDefault="00D729FC">
            <w:pPr>
              <w:pStyle w:val="a3"/>
              <w:jc w:val="right"/>
              <w:rPr>
                <w:rFonts w:cs="FrankRuehl"/>
                <w:sz w:val="28"/>
                <w:szCs w:val="28"/>
                <w:rtl/>
              </w:rPr>
            </w:pPr>
          </w:p>
        </w:tc>
      </w:tr>
    </w:tbl>
    <w:p w14:paraId="066C379A" w14:textId="77777777" w:rsidR="00D729FC" w:rsidRPr="00DE3A92" w:rsidRDefault="00DE3A92">
      <w:pPr>
        <w:pStyle w:val="a3"/>
        <w:rPr>
          <w:rtl/>
        </w:rPr>
      </w:pPr>
      <w:r w:rsidRPr="00DE3A92">
        <w:rPr>
          <w:rFonts w:hint="cs"/>
          <w:rtl/>
        </w:rPr>
        <w:t xml:space="preserve"> </w:t>
      </w:r>
    </w:p>
    <w:p w14:paraId="009DB1F1" w14:textId="77777777" w:rsidR="00D729FC" w:rsidRPr="00DE3A92" w:rsidRDefault="00D729F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729FC" w:rsidRPr="00DE3A92" w14:paraId="0D5833E8" w14:textId="77777777">
        <w:trPr>
          <w:trHeight w:val="295"/>
          <w:jc w:val="center"/>
        </w:trPr>
        <w:tc>
          <w:tcPr>
            <w:tcW w:w="923" w:type="dxa"/>
            <w:tcBorders>
              <w:top w:val="nil"/>
              <w:left w:val="nil"/>
              <w:bottom w:val="nil"/>
              <w:right w:val="nil"/>
            </w:tcBorders>
          </w:tcPr>
          <w:p w14:paraId="3CC0175C" w14:textId="77777777" w:rsidR="00D729FC" w:rsidRPr="00DE3A92" w:rsidRDefault="00DE3A92">
            <w:pPr>
              <w:spacing w:line="360" w:lineRule="auto"/>
              <w:jc w:val="both"/>
              <w:rPr>
                <w:rFonts w:ascii="Arial" w:hAnsi="Arial"/>
                <w:b/>
                <w:bCs/>
                <w:sz w:val="26"/>
                <w:szCs w:val="26"/>
              </w:rPr>
            </w:pPr>
            <w:r w:rsidRPr="00DE3A92">
              <w:rPr>
                <w:rFonts w:ascii="Arial" w:hAnsi="Arial" w:hint="cs"/>
                <w:b/>
                <w:bCs/>
                <w:sz w:val="26"/>
                <w:szCs w:val="26"/>
                <w:rtl/>
              </w:rPr>
              <w:t>ב</w:t>
            </w:r>
            <w:r w:rsidRPr="00DE3A92">
              <w:rPr>
                <w:rFonts w:ascii="Arial" w:hAnsi="Arial"/>
                <w:b/>
                <w:bCs/>
                <w:sz w:val="26"/>
                <w:szCs w:val="26"/>
                <w:rtl/>
              </w:rPr>
              <w:t xml:space="preserve">פני </w:t>
            </w:r>
          </w:p>
        </w:tc>
        <w:tc>
          <w:tcPr>
            <w:tcW w:w="7897" w:type="dxa"/>
            <w:gridSpan w:val="2"/>
            <w:tcBorders>
              <w:top w:val="nil"/>
              <w:left w:val="nil"/>
              <w:bottom w:val="nil"/>
              <w:right w:val="nil"/>
            </w:tcBorders>
          </w:tcPr>
          <w:p w14:paraId="304CEFBA" w14:textId="77777777" w:rsidR="00D729FC" w:rsidRPr="00DE3A92" w:rsidRDefault="00DE3A92">
            <w:pPr>
              <w:spacing w:line="360" w:lineRule="auto"/>
              <w:rPr>
                <w:rFonts w:ascii="Arial" w:hAnsi="Arial"/>
                <w:b/>
                <w:bCs/>
                <w:sz w:val="26"/>
                <w:szCs w:val="26"/>
                <w:rtl/>
              </w:rPr>
            </w:pPr>
            <w:r w:rsidRPr="00DE3A92">
              <w:rPr>
                <w:rFonts w:ascii="Arial" w:hAnsi="Arial" w:hint="cs"/>
                <w:b/>
                <w:bCs/>
                <w:sz w:val="26"/>
                <w:szCs w:val="26"/>
                <w:rtl/>
              </w:rPr>
              <w:t>כב' ה</w:t>
            </w:r>
            <w:r w:rsidRPr="00DE3A92">
              <w:rPr>
                <w:rFonts w:hint="cs"/>
                <w:b/>
                <w:bCs/>
                <w:sz w:val="26"/>
                <w:szCs w:val="26"/>
                <w:rtl/>
              </w:rPr>
              <w:t>שופט</w:t>
            </w:r>
            <w:r w:rsidRPr="00DE3A92">
              <w:rPr>
                <w:rFonts w:ascii="Arial" w:hAnsi="Arial" w:hint="cs"/>
                <w:b/>
                <w:bCs/>
                <w:sz w:val="26"/>
                <w:szCs w:val="26"/>
                <w:rtl/>
              </w:rPr>
              <w:t xml:space="preserve">  </w:t>
            </w:r>
            <w:r w:rsidRPr="00DE3A92">
              <w:rPr>
                <w:rFonts w:hint="cs"/>
                <w:b/>
                <w:bCs/>
                <w:sz w:val="26"/>
                <w:szCs w:val="26"/>
                <w:rtl/>
              </w:rPr>
              <w:t>ד"ר שאול אבינור</w:t>
            </w:r>
          </w:p>
          <w:p w14:paraId="12958691" w14:textId="77777777" w:rsidR="00D729FC" w:rsidRPr="00DE3A92" w:rsidRDefault="00D729FC">
            <w:pPr>
              <w:spacing w:line="360" w:lineRule="auto"/>
              <w:jc w:val="both"/>
              <w:rPr>
                <w:rFonts w:ascii="Arial" w:hAnsi="Arial"/>
                <w:b/>
                <w:bCs/>
                <w:sz w:val="26"/>
                <w:szCs w:val="26"/>
              </w:rPr>
            </w:pPr>
          </w:p>
        </w:tc>
      </w:tr>
      <w:tr w:rsidR="00D729FC" w:rsidRPr="00DE3A92" w14:paraId="6E21AB82" w14:textId="77777777">
        <w:trPr>
          <w:trHeight w:val="355"/>
          <w:jc w:val="center"/>
        </w:trPr>
        <w:tc>
          <w:tcPr>
            <w:tcW w:w="923" w:type="dxa"/>
            <w:tcBorders>
              <w:top w:val="nil"/>
              <w:left w:val="nil"/>
              <w:bottom w:val="nil"/>
              <w:right w:val="nil"/>
            </w:tcBorders>
          </w:tcPr>
          <w:p w14:paraId="0BCC0CD9" w14:textId="77777777" w:rsidR="00D729FC" w:rsidRPr="00DE3A92" w:rsidRDefault="00DE3A92">
            <w:pPr>
              <w:spacing w:line="360" w:lineRule="auto"/>
              <w:jc w:val="both"/>
              <w:rPr>
                <w:rFonts w:ascii="Arial" w:hAnsi="Arial"/>
                <w:b/>
                <w:bCs/>
                <w:sz w:val="26"/>
                <w:szCs w:val="26"/>
              </w:rPr>
            </w:pPr>
            <w:bookmarkStart w:id="1" w:name="FirstAppellant"/>
            <w:r w:rsidRPr="00DE3A92">
              <w:rPr>
                <w:rFonts w:ascii="Arial" w:hAnsi="Arial" w:hint="cs"/>
                <w:b/>
                <w:bCs/>
                <w:sz w:val="26"/>
                <w:szCs w:val="26"/>
                <w:rtl/>
              </w:rPr>
              <w:t>בעניין:</w:t>
            </w:r>
          </w:p>
        </w:tc>
        <w:tc>
          <w:tcPr>
            <w:tcW w:w="4126" w:type="dxa"/>
            <w:tcBorders>
              <w:top w:val="nil"/>
              <w:left w:val="nil"/>
              <w:bottom w:val="nil"/>
              <w:right w:val="nil"/>
            </w:tcBorders>
          </w:tcPr>
          <w:p w14:paraId="2E1591D6" w14:textId="77777777" w:rsidR="00D729FC" w:rsidRPr="00DE3A92" w:rsidRDefault="00DE3A92">
            <w:pPr>
              <w:spacing w:line="360" w:lineRule="auto"/>
              <w:rPr>
                <w:b/>
                <w:bCs/>
                <w:sz w:val="26"/>
                <w:szCs w:val="26"/>
              </w:rPr>
            </w:pPr>
            <w:r w:rsidRPr="00DE3A92">
              <w:rPr>
                <w:rFonts w:hint="cs"/>
                <w:b/>
                <w:bCs/>
                <w:sz w:val="26"/>
                <w:szCs w:val="26"/>
                <w:rtl/>
              </w:rPr>
              <w:t>מדינת ישראל</w:t>
            </w:r>
          </w:p>
        </w:tc>
        <w:tc>
          <w:tcPr>
            <w:tcW w:w="3771" w:type="dxa"/>
            <w:tcBorders>
              <w:top w:val="nil"/>
              <w:left w:val="nil"/>
              <w:bottom w:val="nil"/>
              <w:right w:val="nil"/>
            </w:tcBorders>
          </w:tcPr>
          <w:p w14:paraId="0C8890A4" w14:textId="77777777" w:rsidR="00D729FC" w:rsidRPr="00DE3A92" w:rsidRDefault="00D729FC">
            <w:pPr>
              <w:spacing w:line="360" w:lineRule="auto"/>
              <w:jc w:val="both"/>
              <w:rPr>
                <w:rFonts w:ascii="Arial" w:hAnsi="Arial"/>
                <w:b/>
                <w:bCs/>
                <w:sz w:val="26"/>
                <w:szCs w:val="26"/>
              </w:rPr>
            </w:pPr>
          </w:p>
        </w:tc>
      </w:tr>
      <w:bookmarkEnd w:id="1"/>
      <w:tr w:rsidR="00D729FC" w:rsidRPr="00DE3A92" w14:paraId="461358C1" w14:textId="77777777">
        <w:trPr>
          <w:trHeight w:val="355"/>
          <w:jc w:val="center"/>
        </w:trPr>
        <w:tc>
          <w:tcPr>
            <w:tcW w:w="923" w:type="dxa"/>
            <w:tcBorders>
              <w:top w:val="nil"/>
              <w:left w:val="nil"/>
              <w:bottom w:val="nil"/>
              <w:right w:val="nil"/>
            </w:tcBorders>
          </w:tcPr>
          <w:p w14:paraId="1CBD8274" w14:textId="77777777" w:rsidR="00D729FC" w:rsidRPr="00DE3A92" w:rsidRDefault="00D729FC">
            <w:pPr>
              <w:spacing w:line="360" w:lineRule="auto"/>
              <w:jc w:val="both"/>
              <w:rPr>
                <w:rFonts w:ascii="Arial" w:hAnsi="Arial"/>
                <w:b/>
                <w:bCs/>
                <w:sz w:val="26"/>
                <w:szCs w:val="26"/>
                <w:rtl/>
              </w:rPr>
            </w:pPr>
          </w:p>
        </w:tc>
        <w:tc>
          <w:tcPr>
            <w:tcW w:w="4126" w:type="dxa"/>
            <w:tcBorders>
              <w:top w:val="nil"/>
              <w:left w:val="nil"/>
              <w:bottom w:val="nil"/>
              <w:right w:val="nil"/>
            </w:tcBorders>
          </w:tcPr>
          <w:p w14:paraId="2D426918" w14:textId="77777777" w:rsidR="00D729FC" w:rsidRPr="00DE3A92" w:rsidRDefault="00D729FC">
            <w:pPr>
              <w:spacing w:line="360" w:lineRule="auto"/>
              <w:jc w:val="both"/>
              <w:rPr>
                <w:b/>
                <w:bCs/>
                <w:sz w:val="26"/>
                <w:szCs w:val="26"/>
                <w:rtl/>
              </w:rPr>
            </w:pPr>
          </w:p>
        </w:tc>
        <w:tc>
          <w:tcPr>
            <w:tcW w:w="3771" w:type="dxa"/>
            <w:tcBorders>
              <w:top w:val="nil"/>
              <w:left w:val="nil"/>
              <w:bottom w:val="nil"/>
              <w:right w:val="nil"/>
            </w:tcBorders>
          </w:tcPr>
          <w:p w14:paraId="67C68619" w14:textId="77777777" w:rsidR="00D729FC" w:rsidRPr="00DE3A92" w:rsidRDefault="00DE3A92">
            <w:pPr>
              <w:spacing w:line="360" w:lineRule="auto"/>
              <w:jc w:val="right"/>
              <w:rPr>
                <w:rFonts w:ascii="Arial" w:hAnsi="Arial"/>
                <w:b/>
                <w:bCs/>
                <w:sz w:val="26"/>
                <w:szCs w:val="26"/>
                <w:rtl/>
              </w:rPr>
            </w:pPr>
            <w:r w:rsidRPr="00DE3A92">
              <w:rPr>
                <w:rFonts w:ascii="Arial" w:hAnsi="Arial" w:hint="cs"/>
                <w:b/>
                <w:bCs/>
                <w:sz w:val="26"/>
                <w:szCs w:val="26"/>
                <w:rtl/>
              </w:rPr>
              <w:t>ה</w:t>
            </w:r>
            <w:r w:rsidRPr="00DE3A92">
              <w:rPr>
                <w:rFonts w:hint="cs"/>
                <w:b/>
                <w:bCs/>
                <w:sz w:val="26"/>
                <w:szCs w:val="26"/>
                <w:rtl/>
              </w:rPr>
              <w:t>מאשימה</w:t>
            </w:r>
          </w:p>
        </w:tc>
      </w:tr>
      <w:tr w:rsidR="00D729FC" w:rsidRPr="00DE3A92" w14:paraId="430A8B1D" w14:textId="77777777">
        <w:trPr>
          <w:trHeight w:val="355"/>
          <w:jc w:val="center"/>
        </w:trPr>
        <w:tc>
          <w:tcPr>
            <w:tcW w:w="923" w:type="dxa"/>
            <w:tcBorders>
              <w:top w:val="nil"/>
              <w:left w:val="nil"/>
              <w:bottom w:val="nil"/>
              <w:right w:val="nil"/>
            </w:tcBorders>
          </w:tcPr>
          <w:p w14:paraId="6F40BEA0" w14:textId="77777777" w:rsidR="00D729FC" w:rsidRPr="00DE3A92" w:rsidRDefault="00D729FC">
            <w:pPr>
              <w:spacing w:line="360" w:lineRule="auto"/>
              <w:jc w:val="both"/>
              <w:rPr>
                <w:rFonts w:ascii="Arial" w:hAnsi="Arial"/>
                <w:b/>
                <w:bCs/>
                <w:sz w:val="26"/>
                <w:szCs w:val="26"/>
                <w:rtl/>
              </w:rPr>
            </w:pPr>
          </w:p>
        </w:tc>
        <w:tc>
          <w:tcPr>
            <w:tcW w:w="7897" w:type="dxa"/>
            <w:gridSpan w:val="2"/>
            <w:tcBorders>
              <w:top w:val="nil"/>
              <w:left w:val="nil"/>
              <w:bottom w:val="nil"/>
              <w:right w:val="nil"/>
            </w:tcBorders>
          </w:tcPr>
          <w:p w14:paraId="21DDEA27" w14:textId="77777777" w:rsidR="00D729FC" w:rsidRPr="00DE3A92" w:rsidRDefault="00D729FC">
            <w:pPr>
              <w:spacing w:line="360" w:lineRule="auto"/>
              <w:jc w:val="center"/>
              <w:rPr>
                <w:rFonts w:ascii="Arial" w:hAnsi="Arial"/>
                <w:b/>
                <w:bCs/>
                <w:sz w:val="26"/>
                <w:szCs w:val="26"/>
                <w:rtl/>
              </w:rPr>
            </w:pPr>
          </w:p>
          <w:p w14:paraId="596C8E8B" w14:textId="77777777" w:rsidR="00D729FC" w:rsidRPr="00DE3A92" w:rsidRDefault="00DE3A92">
            <w:pPr>
              <w:spacing w:line="360" w:lineRule="auto"/>
              <w:jc w:val="center"/>
              <w:rPr>
                <w:rFonts w:ascii="Arial" w:hAnsi="Arial"/>
                <w:b/>
                <w:bCs/>
                <w:sz w:val="26"/>
                <w:szCs w:val="26"/>
                <w:rtl/>
              </w:rPr>
            </w:pPr>
            <w:r w:rsidRPr="00DE3A92">
              <w:rPr>
                <w:rFonts w:ascii="Arial" w:hAnsi="Arial"/>
                <w:b/>
                <w:bCs/>
                <w:sz w:val="26"/>
                <w:szCs w:val="26"/>
                <w:rtl/>
              </w:rPr>
              <w:t>נגד</w:t>
            </w:r>
          </w:p>
          <w:p w14:paraId="34A54310" w14:textId="77777777" w:rsidR="00D729FC" w:rsidRPr="00DE3A92" w:rsidRDefault="00D729FC">
            <w:pPr>
              <w:spacing w:line="360" w:lineRule="auto"/>
              <w:jc w:val="both"/>
              <w:rPr>
                <w:rFonts w:ascii="Arial" w:hAnsi="Arial"/>
                <w:b/>
                <w:bCs/>
                <w:sz w:val="26"/>
                <w:szCs w:val="26"/>
              </w:rPr>
            </w:pPr>
          </w:p>
        </w:tc>
      </w:tr>
      <w:tr w:rsidR="00D729FC" w:rsidRPr="00DE3A92" w14:paraId="7234EF36" w14:textId="77777777">
        <w:trPr>
          <w:trHeight w:val="355"/>
          <w:jc w:val="center"/>
        </w:trPr>
        <w:tc>
          <w:tcPr>
            <w:tcW w:w="923" w:type="dxa"/>
            <w:tcBorders>
              <w:top w:val="nil"/>
              <w:left w:val="nil"/>
              <w:bottom w:val="nil"/>
              <w:right w:val="nil"/>
            </w:tcBorders>
          </w:tcPr>
          <w:p w14:paraId="0687AA43" w14:textId="77777777" w:rsidR="00D729FC" w:rsidRPr="00DE3A92" w:rsidRDefault="00D729FC">
            <w:pPr>
              <w:spacing w:line="360" w:lineRule="auto"/>
              <w:rPr>
                <w:rFonts w:ascii="Arial" w:hAnsi="Arial"/>
                <w:b/>
                <w:bCs/>
                <w:sz w:val="26"/>
                <w:szCs w:val="26"/>
                <w:rtl/>
              </w:rPr>
            </w:pPr>
          </w:p>
        </w:tc>
        <w:tc>
          <w:tcPr>
            <w:tcW w:w="4126" w:type="dxa"/>
            <w:tcBorders>
              <w:top w:val="nil"/>
              <w:left w:val="nil"/>
              <w:bottom w:val="nil"/>
              <w:right w:val="nil"/>
            </w:tcBorders>
          </w:tcPr>
          <w:p w14:paraId="1D9B6DD6" w14:textId="77777777" w:rsidR="00D729FC" w:rsidRPr="00DE3A92" w:rsidRDefault="00DE3A92">
            <w:pPr>
              <w:spacing w:line="360" w:lineRule="auto"/>
              <w:rPr>
                <w:b/>
                <w:bCs/>
                <w:sz w:val="26"/>
                <w:szCs w:val="26"/>
                <w:rtl/>
              </w:rPr>
            </w:pPr>
            <w:r w:rsidRPr="00DE3A92">
              <w:rPr>
                <w:rFonts w:hint="cs"/>
                <w:b/>
                <w:bCs/>
                <w:sz w:val="26"/>
                <w:szCs w:val="26"/>
                <w:rtl/>
              </w:rPr>
              <w:t>אברהם קקון (עציר)</w:t>
            </w:r>
          </w:p>
        </w:tc>
        <w:tc>
          <w:tcPr>
            <w:tcW w:w="3771" w:type="dxa"/>
            <w:tcBorders>
              <w:top w:val="nil"/>
              <w:left w:val="nil"/>
              <w:bottom w:val="nil"/>
              <w:right w:val="nil"/>
            </w:tcBorders>
          </w:tcPr>
          <w:p w14:paraId="6ED165A2" w14:textId="77777777" w:rsidR="00D729FC" w:rsidRPr="00DE3A92" w:rsidRDefault="00D729FC">
            <w:pPr>
              <w:spacing w:line="360" w:lineRule="auto"/>
              <w:jc w:val="right"/>
              <w:rPr>
                <w:rFonts w:ascii="Arial" w:hAnsi="Arial"/>
                <w:b/>
                <w:bCs/>
                <w:sz w:val="26"/>
                <w:szCs w:val="26"/>
              </w:rPr>
            </w:pPr>
          </w:p>
        </w:tc>
      </w:tr>
      <w:tr w:rsidR="00D729FC" w:rsidRPr="00DE3A92" w14:paraId="6992C88C" w14:textId="77777777">
        <w:trPr>
          <w:trHeight w:val="355"/>
          <w:jc w:val="center"/>
        </w:trPr>
        <w:tc>
          <w:tcPr>
            <w:tcW w:w="923" w:type="dxa"/>
            <w:tcBorders>
              <w:top w:val="nil"/>
              <w:left w:val="nil"/>
              <w:bottom w:val="nil"/>
              <w:right w:val="nil"/>
            </w:tcBorders>
          </w:tcPr>
          <w:p w14:paraId="73C9D217" w14:textId="77777777" w:rsidR="00D729FC" w:rsidRPr="00DE3A92" w:rsidRDefault="00D729FC">
            <w:pPr>
              <w:spacing w:line="360" w:lineRule="auto"/>
              <w:jc w:val="both"/>
              <w:rPr>
                <w:rFonts w:ascii="Arial" w:hAnsi="Arial"/>
                <w:b/>
                <w:bCs/>
                <w:sz w:val="26"/>
                <w:szCs w:val="26"/>
                <w:rtl/>
              </w:rPr>
            </w:pPr>
          </w:p>
        </w:tc>
        <w:tc>
          <w:tcPr>
            <w:tcW w:w="4126" w:type="dxa"/>
            <w:tcBorders>
              <w:top w:val="nil"/>
              <w:left w:val="nil"/>
              <w:bottom w:val="nil"/>
              <w:right w:val="nil"/>
            </w:tcBorders>
          </w:tcPr>
          <w:p w14:paraId="208DB6B7" w14:textId="77777777" w:rsidR="00D729FC" w:rsidRPr="00DE3A92" w:rsidRDefault="00D729FC">
            <w:pPr>
              <w:spacing w:line="360" w:lineRule="auto"/>
              <w:jc w:val="both"/>
              <w:rPr>
                <w:b/>
                <w:bCs/>
                <w:sz w:val="26"/>
                <w:szCs w:val="26"/>
                <w:rtl/>
              </w:rPr>
            </w:pPr>
          </w:p>
        </w:tc>
        <w:tc>
          <w:tcPr>
            <w:tcW w:w="3771" w:type="dxa"/>
            <w:tcBorders>
              <w:top w:val="nil"/>
              <w:left w:val="nil"/>
              <w:bottom w:val="nil"/>
              <w:right w:val="nil"/>
            </w:tcBorders>
          </w:tcPr>
          <w:p w14:paraId="77A755C8" w14:textId="77777777" w:rsidR="00D729FC" w:rsidRPr="00DE3A92" w:rsidRDefault="00DE3A92">
            <w:pPr>
              <w:spacing w:line="360" w:lineRule="auto"/>
              <w:jc w:val="right"/>
              <w:rPr>
                <w:rFonts w:ascii="Arial" w:hAnsi="Arial"/>
                <w:b/>
                <w:bCs/>
                <w:sz w:val="26"/>
                <w:szCs w:val="26"/>
              </w:rPr>
            </w:pPr>
            <w:r w:rsidRPr="00DE3A92">
              <w:rPr>
                <w:rFonts w:ascii="Arial" w:hAnsi="Arial" w:hint="cs"/>
                <w:b/>
                <w:bCs/>
                <w:sz w:val="26"/>
                <w:szCs w:val="26"/>
                <w:rtl/>
              </w:rPr>
              <w:t>ה</w:t>
            </w:r>
            <w:r w:rsidRPr="00DE3A92">
              <w:rPr>
                <w:rFonts w:hint="cs"/>
                <w:b/>
                <w:bCs/>
                <w:sz w:val="26"/>
                <w:szCs w:val="26"/>
                <w:rtl/>
              </w:rPr>
              <w:t>נאשם</w:t>
            </w:r>
          </w:p>
        </w:tc>
      </w:tr>
    </w:tbl>
    <w:p w14:paraId="3F249C78" w14:textId="77777777" w:rsidR="00284ABF" w:rsidRDefault="00284ABF">
      <w:pPr>
        <w:spacing w:line="360" w:lineRule="auto"/>
        <w:rPr>
          <w:sz w:val="26"/>
          <w:szCs w:val="26"/>
          <w:rtl/>
        </w:rPr>
      </w:pPr>
      <w:bookmarkStart w:id="2" w:name="LawTable"/>
      <w:bookmarkEnd w:id="2"/>
    </w:p>
    <w:p w14:paraId="7A9379DD" w14:textId="77777777" w:rsidR="00284ABF" w:rsidRPr="00284ABF" w:rsidRDefault="00284ABF" w:rsidP="00284ABF">
      <w:pPr>
        <w:spacing w:after="120" w:line="240" w:lineRule="exact"/>
        <w:ind w:left="283" w:hanging="283"/>
        <w:jc w:val="both"/>
        <w:rPr>
          <w:rFonts w:ascii="FrankRuehl" w:hAnsi="FrankRuehl" w:cs="FrankRuehl"/>
          <w:rtl/>
        </w:rPr>
      </w:pPr>
      <w:r w:rsidRPr="00284ABF">
        <w:rPr>
          <w:rFonts w:ascii="FrankRuehl" w:hAnsi="FrankRuehl" w:cs="FrankRuehl"/>
          <w:rtl/>
        </w:rPr>
        <w:t xml:space="preserve">חקיקה שאוזכרה: </w:t>
      </w:r>
    </w:p>
    <w:p w14:paraId="06B6FE10" w14:textId="77777777" w:rsidR="00284ABF" w:rsidRPr="00284ABF" w:rsidRDefault="00284ABF" w:rsidP="00284ABF">
      <w:pPr>
        <w:spacing w:after="120" w:line="240" w:lineRule="exact"/>
        <w:ind w:left="283" w:hanging="283"/>
        <w:jc w:val="both"/>
        <w:rPr>
          <w:rFonts w:ascii="FrankRuehl" w:hAnsi="FrankRuehl" w:cs="FrankRuehl"/>
          <w:color w:val="0000FF"/>
          <w:u w:val="single"/>
          <w:rtl/>
        </w:rPr>
      </w:pPr>
      <w:hyperlink r:id="rId7" w:history="1">
        <w:r w:rsidRPr="00284ABF">
          <w:rPr>
            <w:rStyle w:val="Hyperlink"/>
            <w:rFonts w:ascii="FrankRuehl" w:hAnsi="FrankRuehl" w:cs="FrankRuehl"/>
            <w:rtl/>
          </w:rPr>
          <w:t>פקודת הסמים המסוכנים [נוסח חדש], תשל"ג-1973</w:t>
        </w:r>
      </w:hyperlink>
      <w:r w:rsidRPr="00284ABF">
        <w:rPr>
          <w:rFonts w:ascii="FrankRuehl" w:hAnsi="FrankRuehl" w:cs="FrankRuehl"/>
          <w:color w:val="0000FF"/>
          <w:u w:val="single"/>
          <w:rtl/>
        </w:rPr>
        <w:t xml:space="preserve">: סע'  </w:t>
      </w:r>
      <w:hyperlink r:id="rId8" w:history="1">
        <w:r w:rsidRPr="00284ABF">
          <w:rPr>
            <w:rStyle w:val="Hyperlink"/>
            <w:rFonts w:ascii="FrankRuehl" w:hAnsi="FrankRuehl" w:cs="FrankRuehl"/>
          </w:rPr>
          <w:t>7(</w:t>
        </w:r>
        <w:r w:rsidRPr="00284ABF">
          <w:rPr>
            <w:rStyle w:val="Hyperlink"/>
            <w:rFonts w:ascii="FrankRuehl" w:hAnsi="FrankRuehl" w:cs="FrankRuehl"/>
            <w:rtl/>
          </w:rPr>
          <w:t>א</w:t>
        </w:r>
        <w:r w:rsidRPr="00284ABF">
          <w:rPr>
            <w:rStyle w:val="Hyperlink"/>
            <w:rFonts w:ascii="FrankRuehl" w:hAnsi="FrankRuehl" w:cs="FrankRuehl"/>
          </w:rPr>
          <w:t>)</w:t>
        </w:r>
      </w:hyperlink>
      <w:r w:rsidRPr="00284ABF">
        <w:rPr>
          <w:rFonts w:ascii="FrankRuehl" w:hAnsi="FrankRuehl" w:cs="FrankRuehl"/>
          <w:color w:val="0000FF"/>
          <w:u w:val="single"/>
          <w:rtl/>
        </w:rPr>
        <w:t xml:space="preserve">, </w:t>
      </w:r>
      <w:hyperlink r:id="rId9" w:history="1">
        <w:r w:rsidRPr="00284ABF">
          <w:rPr>
            <w:rStyle w:val="Hyperlink"/>
            <w:rFonts w:ascii="FrankRuehl" w:hAnsi="FrankRuehl" w:cs="FrankRuehl"/>
          </w:rPr>
          <w:t>13</w:t>
        </w:r>
      </w:hyperlink>
      <w:r w:rsidRPr="00284ABF">
        <w:rPr>
          <w:rFonts w:ascii="FrankRuehl" w:hAnsi="FrankRuehl" w:cs="FrankRuehl"/>
          <w:color w:val="0000FF"/>
          <w:u w:val="single"/>
          <w:rtl/>
        </w:rPr>
        <w:t xml:space="preserve">, </w:t>
      </w:r>
      <w:hyperlink r:id="rId10" w:history="1">
        <w:r w:rsidRPr="00284ABF">
          <w:rPr>
            <w:rStyle w:val="Hyperlink"/>
            <w:rFonts w:ascii="FrankRuehl" w:hAnsi="FrankRuehl" w:cs="FrankRuehl"/>
          </w:rPr>
          <w:t>14</w:t>
        </w:r>
      </w:hyperlink>
    </w:p>
    <w:p w14:paraId="353D5925" w14:textId="77777777" w:rsidR="00284ABF" w:rsidRPr="00284ABF" w:rsidRDefault="00284ABF" w:rsidP="00284ABF">
      <w:pPr>
        <w:spacing w:after="120" w:line="240" w:lineRule="exact"/>
        <w:ind w:left="283" w:hanging="283"/>
        <w:jc w:val="both"/>
        <w:rPr>
          <w:rFonts w:ascii="FrankRuehl" w:hAnsi="FrankRuehl" w:cs="FrankRuehl"/>
          <w:color w:val="0000FF"/>
          <w:u w:val="single"/>
          <w:rtl/>
        </w:rPr>
      </w:pPr>
      <w:hyperlink r:id="rId11" w:history="1">
        <w:r w:rsidRPr="00284ABF">
          <w:rPr>
            <w:rStyle w:val="Hyperlink"/>
            <w:rFonts w:ascii="FrankRuehl" w:hAnsi="FrankRuehl" w:cs="FrankRuehl"/>
            <w:rtl/>
          </w:rPr>
          <w:t>חוק העונשין, תשל"ז-1977</w:t>
        </w:r>
      </w:hyperlink>
      <w:r w:rsidRPr="00284ABF">
        <w:rPr>
          <w:rFonts w:ascii="FrankRuehl" w:hAnsi="FrankRuehl" w:cs="FrankRuehl"/>
          <w:color w:val="0000FF"/>
          <w:u w:val="single"/>
          <w:rtl/>
        </w:rPr>
        <w:t xml:space="preserve">: סע'  </w:t>
      </w:r>
      <w:hyperlink r:id="rId12" w:history="1">
        <w:r w:rsidRPr="00284ABF">
          <w:rPr>
            <w:rStyle w:val="Hyperlink"/>
            <w:rFonts w:ascii="FrankRuehl" w:hAnsi="FrankRuehl" w:cs="FrankRuehl"/>
          </w:rPr>
          <w:t>40</w:t>
        </w:r>
        <w:r w:rsidRPr="00284ABF">
          <w:rPr>
            <w:rStyle w:val="Hyperlink"/>
            <w:rFonts w:ascii="FrankRuehl" w:hAnsi="FrankRuehl" w:cs="FrankRuehl"/>
            <w:rtl/>
          </w:rPr>
          <w:t>ג(א</w:t>
        </w:r>
        <w:r w:rsidRPr="00284ABF">
          <w:rPr>
            <w:rStyle w:val="Hyperlink"/>
            <w:rFonts w:ascii="FrankRuehl" w:hAnsi="FrankRuehl" w:cs="FrankRuehl"/>
          </w:rPr>
          <w:t>)</w:t>
        </w:r>
      </w:hyperlink>
      <w:r w:rsidRPr="00284ABF">
        <w:rPr>
          <w:rFonts w:ascii="FrankRuehl" w:hAnsi="FrankRuehl" w:cs="FrankRuehl"/>
          <w:color w:val="0000FF"/>
          <w:u w:val="single"/>
          <w:rtl/>
        </w:rPr>
        <w:t xml:space="preserve">, </w:t>
      </w:r>
      <w:hyperlink r:id="rId13" w:history="1">
        <w:r w:rsidRPr="00284ABF">
          <w:rPr>
            <w:rStyle w:val="Hyperlink"/>
            <w:rFonts w:ascii="FrankRuehl" w:hAnsi="FrankRuehl" w:cs="FrankRuehl"/>
          </w:rPr>
          <w:t>40</w:t>
        </w:r>
        <w:r w:rsidRPr="00284ABF">
          <w:rPr>
            <w:rStyle w:val="Hyperlink"/>
            <w:rFonts w:ascii="FrankRuehl" w:hAnsi="FrankRuehl" w:cs="FrankRuehl"/>
            <w:rtl/>
          </w:rPr>
          <w:t>ג(ב</w:t>
        </w:r>
        <w:r w:rsidRPr="00284ABF">
          <w:rPr>
            <w:rStyle w:val="Hyperlink"/>
            <w:rFonts w:ascii="FrankRuehl" w:hAnsi="FrankRuehl" w:cs="FrankRuehl"/>
          </w:rPr>
          <w:t>)</w:t>
        </w:r>
      </w:hyperlink>
      <w:r w:rsidRPr="00284ABF">
        <w:rPr>
          <w:rFonts w:ascii="FrankRuehl" w:hAnsi="FrankRuehl" w:cs="FrankRuehl"/>
          <w:color w:val="0000FF"/>
          <w:u w:val="single"/>
          <w:rtl/>
        </w:rPr>
        <w:t xml:space="preserve">, </w:t>
      </w:r>
      <w:hyperlink r:id="rId14" w:history="1">
        <w:r w:rsidRPr="00284ABF">
          <w:rPr>
            <w:rStyle w:val="Hyperlink"/>
            <w:rFonts w:ascii="FrankRuehl" w:hAnsi="FrankRuehl" w:cs="FrankRuehl"/>
          </w:rPr>
          <w:t>40</w:t>
        </w:r>
        <w:r w:rsidRPr="00284ABF">
          <w:rPr>
            <w:rStyle w:val="Hyperlink"/>
            <w:rFonts w:ascii="FrankRuehl" w:hAnsi="FrankRuehl" w:cs="FrankRuehl"/>
            <w:rtl/>
          </w:rPr>
          <w:t>ט</w:t>
        </w:r>
      </w:hyperlink>
      <w:r w:rsidRPr="00284ABF">
        <w:rPr>
          <w:rFonts w:ascii="FrankRuehl" w:hAnsi="FrankRuehl" w:cs="FrankRuehl"/>
          <w:color w:val="0000FF"/>
          <w:u w:val="single"/>
          <w:rtl/>
        </w:rPr>
        <w:t xml:space="preserve">, </w:t>
      </w:r>
      <w:hyperlink r:id="rId15" w:history="1">
        <w:r w:rsidRPr="00284ABF">
          <w:rPr>
            <w:rStyle w:val="Hyperlink"/>
            <w:rFonts w:ascii="FrankRuehl" w:hAnsi="FrankRuehl" w:cs="FrankRuehl"/>
          </w:rPr>
          <w:t>40</w:t>
        </w:r>
        <w:r w:rsidRPr="00284ABF">
          <w:rPr>
            <w:rStyle w:val="Hyperlink"/>
            <w:rFonts w:ascii="FrankRuehl" w:hAnsi="FrankRuehl" w:cs="FrankRuehl"/>
            <w:rtl/>
          </w:rPr>
          <w:t>יא</w:t>
        </w:r>
      </w:hyperlink>
      <w:r w:rsidRPr="00284ABF">
        <w:rPr>
          <w:rFonts w:ascii="FrankRuehl" w:hAnsi="FrankRuehl" w:cs="FrankRuehl"/>
          <w:color w:val="0000FF"/>
          <w:u w:val="single"/>
          <w:rtl/>
        </w:rPr>
        <w:t xml:space="preserve">, </w:t>
      </w:r>
      <w:hyperlink r:id="rId16" w:history="1">
        <w:r w:rsidRPr="00284ABF">
          <w:rPr>
            <w:rStyle w:val="Hyperlink"/>
            <w:rFonts w:ascii="FrankRuehl" w:hAnsi="FrankRuehl" w:cs="FrankRuehl"/>
          </w:rPr>
          <w:t>40</w:t>
        </w:r>
        <w:r w:rsidRPr="00284ABF">
          <w:rPr>
            <w:rStyle w:val="Hyperlink"/>
            <w:rFonts w:ascii="FrankRuehl" w:hAnsi="FrankRuehl" w:cs="FrankRuehl"/>
            <w:rtl/>
          </w:rPr>
          <w:t>יג(ב</w:t>
        </w:r>
        <w:r w:rsidRPr="00284ABF">
          <w:rPr>
            <w:rStyle w:val="Hyperlink"/>
            <w:rFonts w:ascii="FrankRuehl" w:hAnsi="FrankRuehl" w:cs="FrankRuehl"/>
          </w:rPr>
          <w:t>)</w:t>
        </w:r>
      </w:hyperlink>
    </w:p>
    <w:p w14:paraId="0D91B62A" w14:textId="77777777" w:rsidR="00284ABF" w:rsidRPr="00284ABF" w:rsidRDefault="00284ABF" w:rsidP="00284AB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29FC" w14:paraId="2780E3DB" w14:textId="77777777">
        <w:trPr>
          <w:trHeight w:val="355"/>
          <w:jc w:val="center"/>
        </w:trPr>
        <w:tc>
          <w:tcPr>
            <w:tcW w:w="8820" w:type="dxa"/>
            <w:tcBorders>
              <w:top w:val="nil"/>
              <w:left w:val="nil"/>
              <w:bottom w:val="nil"/>
              <w:right w:val="nil"/>
            </w:tcBorders>
          </w:tcPr>
          <w:p w14:paraId="2A0614F1" w14:textId="77777777" w:rsidR="00DE3A92" w:rsidRPr="00DE3A92" w:rsidRDefault="00DE3A92" w:rsidP="00DE3A92">
            <w:pPr>
              <w:spacing w:line="360" w:lineRule="auto"/>
              <w:jc w:val="center"/>
              <w:rPr>
                <w:rFonts w:ascii="Arial" w:hAnsi="Arial"/>
                <w:b/>
                <w:bCs/>
                <w:sz w:val="36"/>
                <w:szCs w:val="36"/>
                <w:u w:val="single"/>
                <w:rtl/>
              </w:rPr>
            </w:pPr>
            <w:bookmarkStart w:id="3" w:name="LawTable_End"/>
            <w:bookmarkStart w:id="4" w:name="PsakDin" w:colFirst="0" w:colLast="0"/>
            <w:bookmarkEnd w:id="0"/>
            <w:bookmarkEnd w:id="3"/>
            <w:r w:rsidRPr="00DE3A92">
              <w:rPr>
                <w:rFonts w:ascii="Arial" w:hAnsi="Arial"/>
                <w:b/>
                <w:bCs/>
                <w:sz w:val="36"/>
                <w:szCs w:val="36"/>
                <w:u w:val="single"/>
                <w:rtl/>
              </w:rPr>
              <w:t>גזר דין</w:t>
            </w:r>
          </w:p>
          <w:p w14:paraId="465E376B" w14:textId="77777777" w:rsidR="00D729FC" w:rsidRPr="00DE3A92" w:rsidRDefault="00D729FC" w:rsidP="00DE3A92">
            <w:pPr>
              <w:spacing w:line="360" w:lineRule="auto"/>
              <w:jc w:val="center"/>
              <w:rPr>
                <w:rFonts w:ascii="Arial" w:hAnsi="Arial"/>
                <w:b/>
                <w:bCs/>
                <w:sz w:val="26"/>
                <w:szCs w:val="26"/>
                <w:u w:val="single"/>
                <w:rtl/>
              </w:rPr>
            </w:pPr>
          </w:p>
        </w:tc>
      </w:tr>
      <w:bookmarkEnd w:id="4"/>
    </w:tbl>
    <w:p w14:paraId="16B21630" w14:textId="77777777" w:rsidR="00D729FC" w:rsidRDefault="00D729FC">
      <w:pPr>
        <w:spacing w:after="120" w:line="360" w:lineRule="auto"/>
        <w:jc w:val="both"/>
        <w:rPr>
          <w:rFonts w:ascii="Tahoma" w:hAnsi="Tahoma"/>
        </w:rPr>
      </w:pPr>
    </w:p>
    <w:p w14:paraId="4909E9CE" w14:textId="77777777" w:rsidR="00D729FC" w:rsidRDefault="00DE3A92">
      <w:pPr>
        <w:spacing w:after="120" w:line="360" w:lineRule="auto"/>
        <w:jc w:val="both"/>
        <w:rPr>
          <w:rFonts w:ascii="Tahoma" w:hAnsi="Tahoma"/>
          <w:b/>
          <w:bCs/>
          <w:u w:val="single"/>
          <w:rtl/>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1C5B70C9" w14:textId="77777777" w:rsidR="00D729FC" w:rsidRDefault="00DE3A92">
      <w:pPr>
        <w:numPr>
          <w:ilvl w:val="0"/>
          <w:numId w:val="1"/>
        </w:numPr>
        <w:tabs>
          <w:tab w:val="num" w:pos="720"/>
        </w:tabs>
        <w:spacing w:after="120" w:line="360" w:lineRule="auto"/>
        <w:ind w:left="720"/>
        <w:jc w:val="both"/>
        <w:rPr>
          <w:rFonts w:ascii="Tahoma" w:hAnsi="Tahoma"/>
          <w:rtl/>
        </w:rPr>
      </w:pPr>
      <w:r>
        <w:rPr>
          <w:rFonts w:ascii="Tahoma" w:hAnsi="Tahoma" w:hint="cs"/>
          <w:rtl/>
        </w:rPr>
        <w:t>הנאשם הורשע – במסגרת הסדר טיעון דיוני, ללא הסכמה לעניין העונש – על יסוד הודאתו בעובדות כתב האישום המתוקן, בעבירות בהן הואשם בכתב האישום המתוקן. כתב האישום המתוקן כולל שני אישומים, שעניינם בשני אירועים: באירוע אחד תיווך הנאשם בעסקת סמים ובאירוע שני מכר הנאשם סמים מסוכנים, כאשר בשני האירועים התיווך והמכירה היו לסוכן משטרתי סמוי (להלן – הסוכן).</w:t>
      </w:r>
    </w:p>
    <w:p w14:paraId="7B02868A"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 xml:space="preserve">על פי עובדות האישום הראשון, עובר ליום 4.11.13 נפגש הנאשם עם הסוכן וכן שוחח עמו בטלפון, מספר פעמים. במהלך השיחות הציע הנאשם לסוכן לסייע לו בהשגת סמים מסוכנים מסוג </w:t>
      </w:r>
      <w:r>
        <w:t>LSD</w:t>
      </w:r>
      <w:r>
        <w:rPr>
          <w:rFonts w:ascii="Tahoma" w:hAnsi="Tahoma" w:hint="cs"/>
          <w:rtl/>
        </w:rPr>
        <w:t xml:space="preserve">. ביום 4.11.13 נפגשו הנאשם והסוכן. הנאשם עניין את הסוכן ברכישת סמים מסוכנים מסוג חשיש והשניים קבעו מקום מפגש. בפגישה העביר הסוכן לנאשם </w:t>
      </w:r>
      <w:r>
        <w:rPr>
          <w:rFonts w:ascii="Tahoma" w:hAnsi="Tahoma" w:hint="cs"/>
          <w:rtl/>
        </w:rPr>
        <w:lastRenderedPageBreak/>
        <w:t xml:space="preserve">סכום של 4,400 ₪ בעבור הסמים. לאחר מכן הצטרף לפגישה אדם אחר. האדם האחר מסר לנאשם שקית ובה סמים מסוכנים מסוג חשיש, במשקל </w:t>
      </w:r>
      <w:smartTag w:uri="urn:schemas-microsoft-com:office:smarttags" w:element="metricconverter">
        <w:smartTagPr>
          <w:attr w:name="ProductID" w:val="98.46 גרם"/>
        </w:smartTagPr>
        <w:r>
          <w:rPr>
            <w:rFonts w:ascii="Tahoma" w:hAnsi="Tahoma" w:hint="cs"/>
            <w:rtl/>
          </w:rPr>
          <w:t>98.46 גרם</w:t>
        </w:r>
      </w:smartTag>
      <w:r>
        <w:rPr>
          <w:rFonts w:ascii="Tahoma" w:hAnsi="Tahoma" w:hint="cs"/>
          <w:rtl/>
        </w:rPr>
        <w:t xml:space="preserve"> נטו, וקיבל בתמורה מהנאשם את הסכום של 4,400 ₪. מיד ובהמשך הדברים העביר הנאשם לסוכן את הסמים, והסוכן מסר לנאשם סכום נוסף של 300 ₪. </w:t>
      </w:r>
    </w:p>
    <w:p w14:paraId="2AF04CD4"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 xml:space="preserve">על פי עובדות האישום השני, עובר ליום 28.11.13 נפגשו הנאשם והסוכן מספר פעמים, שוחחו בטלפון והתכתבו במסרונים; והכל בנוגע לרכישת סמים מסוכנים על ידי הסוכן מידי הנאשם. הנאשם הציע לסוכן לרכוש ממנו סמים מסוכנים מסוג חשיש וגראס, אך הסוכן הבהיר שהוא מעוניין ברכישת סמים מסוכנים מסוג </w:t>
      </w:r>
      <w:r>
        <w:t>MDMA</w:t>
      </w:r>
      <w:r>
        <w:rPr>
          <w:rFonts w:ascii="Tahoma" w:hAnsi="Tahoma" w:hint="cs"/>
          <w:rtl/>
        </w:rPr>
        <w:t xml:space="preserve">. בסופו של דבר, ביום 28.11.13 מכר הנאשם לסוכן סמים מסוכנים מסוג </w:t>
      </w:r>
      <w:r>
        <w:t>MDMA</w:t>
      </w:r>
      <w:r>
        <w:rPr>
          <w:rFonts w:ascii="Tahoma" w:hAnsi="Tahoma" w:hint="cs"/>
          <w:rtl/>
        </w:rPr>
        <w:t xml:space="preserve">, במשקל של </w:t>
      </w:r>
      <w:smartTag w:uri="urn:schemas-microsoft-com:office:smarttags" w:element="metricconverter">
        <w:smartTagPr>
          <w:attr w:name="ProductID" w:val="14.95 גרם"/>
        </w:smartTagPr>
        <w:r>
          <w:rPr>
            <w:rFonts w:ascii="Tahoma" w:hAnsi="Tahoma" w:hint="cs"/>
            <w:rtl/>
          </w:rPr>
          <w:t>14.95 גרם</w:t>
        </w:r>
      </w:smartTag>
      <w:r>
        <w:rPr>
          <w:rFonts w:ascii="Tahoma" w:hAnsi="Tahoma" w:hint="cs"/>
          <w:rtl/>
        </w:rPr>
        <w:t xml:space="preserve"> נטו, בתמורה לסכום של 5,500 ₪.</w:t>
      </w:r>
    </w:p>
    <w:p w14:paraId="5FC01BAF"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 xml:space="preserve">הנאשם הודה, כאמור, בעובדות כתב האישום המתוקן ועל יסוד הודאתו זו הורשע בעבירות בהן הואשם בכתב אישום זה: באישום הראשון </w:t>
      </w:r>
      <w:r>
        <w:rPr>
          <w:rFonts w:ascii="Tahoma" w:hAnsi="Tahoma"/>
          <w:rtl/>
        </w:rPr>
        <w:t>–</w:t>
      </w:r>
      <w:r>
        <w:rPr>
          <w:rFonts w:ascii="Tahoma" w:hAnsi="Tahoma" w:hint="cs"/>
          <w:rtl/>
        </w:rPr>
        <w:t xml:space="preserve"> בעבירה של תיווך בסמים מסוכנים, לפי הוראות </w:t>
      </w:r>
      <w:hyperlink r:id="rId17" w:history="1">
        <w:r w:rsidR="00284ABF" w:rsidRPr="00284ABF">
          <w:rPr>
            <w:rStyle w:val="Hyperlink"/>
            <w:rFonts w:ascii="Tahoma" w:hAnsi="Tahoma" w:hint="eastAsia"/>
            <w:rtl/>
          </w:rPr>
          <w:t>סעיף</w:t>
        </w:r>
        <w:r w:rsidR="00284ABF" w:rsidRPr="00284ABF">
          <w:rPr>
            <w:rStyle w:val="Hyperlink"/>
            <w:rFonts w:ascii="Tahoma" w:hAnsi="Tahoma"/>
            <w:rtl/>
          </w:rPr>
          <w:t xml:space="preserve"> 14</w:t>
        </w:r>
      </w:hyperlink>
      <w:r>
        <w:rPr>
          <w:rFonts w:ascii="Tahoma" w:hAnsi="Tahoma" w:hint="cs"/>
          <w:rtl/>
        </w:rPr>
        <w:t xml:space="preserve"> ל</w:t>
      </w:r>
      <w:hyperlink r:id="rId18" w:history="1">
        <w:r w:rsidRPr="00DE3A92">
          <w:rPr>
            <w:rFonts w:ascii="Tahoma" w:hAnsi="Tahoma"/>
            <w:color w:val="0000FF"/>
            <w:u w:val="single"/>
            <w:rtl/>
          </w:rPr>
          <w:t>פקודת הסמים המסוכנים</w:t>
        </w:r>
      </w:hyperlink>
      <w:r>
        <w:rPr>
          <w:rFonts w:ascii="Tahoma" w:hAnsi="Tahoma" w:hint="cs"/>
          <w:rtl/>
        </w:rPr>
        <w:t xml:space="preserve"> [נוסח חדש], תשל"ג-1973 (להלן – פקודת הסמים המסוכנים); ובאישום השני </w:t>
      </w:r>
      <w:r>
        <w:rPr>
          <w:rFonts w:ascii="Tahoma" w:hAnsi="Tahoma"/>
          <w:rtl/>
        </w:rPr>
        <w:t>–</w:t>
      </w:r>
      <w:r>
        <w:rPr>
          <w:rFonts w:ascii="Tahoma" w:hAnsi="Tahoma" w:hint="cs"/>
          <w:rtl/>
        </w:rPr>
        <w:t xml:space="preserve"> בעבירות של סחר בסמים מסוכנים, לפי הוראות </w:t>
      </w:r>
      <w:hyperlink r:id="rId19" w:history="1">
        <w:r w:rsidR="00284ABF" w:rsidRPr="00284ABF">
          <w:rPr>
            <w:rStyle w:val="Hyperlink"/>
            <w:rFonts w:ascii="Tahoma" w:hAnsi="Tahoma" w:hint="eastAsia"/>
            <w:rtl/>
          </w:rPr>
          <w:t>סעיף</w:t>
        </w:r>
        <w:r w:rsidR="00284ABF" w:rsidRPr="00284ABF">
          <w:rPr>
            <w:rStyle w:val="Hyperlink"/>
            <w:rFonts w:ascii="Tahoma" w:hAnsi="Tahoma"/>
            <w:rtl/>
          </w:rPr>
          <w:t xml:space="preserve"> 13</w:t>
        </w:r>
      </w:hyperlink>
      <w:r>
        <w:rPr>
          <w:rFonts w:ascii="Tahoma" w:hAnsi="Tahoma" w:hint="cs"/>
          <w:rtl/>
        </w:rPr>
        <w:t xml:space="preserve"> לפקודת הסמים המסוכנים, והחזקת סמים מסוכנים שלא לצריכה עצמית, לפי הוראות </w:t>
      </w:r>
      <w:hyperlink r:id="rId20" w:history="1">
        <w:r w:rsidR="00284ABF" w:rsidRPr="00284ABF">
          <w:rPr>
            <w:rStyle w:val="Hyperlink"/>
            <w:rFonts w:ascii="Tahoma" w:hAnsi="Tahoma" w:hint="eastAsia"/>
            <w:rtl/>
          </w:rPr>
          <w:t>סעיף</w:t>
        </w:r>
        <w:r w:rsidR="00284ABF" w:rsidRPr="00284ABF">
          <w:rPr>
            <w:rStyle w:val="Hyperlink"/>
            <w:rFonts w:ascii="Tahoma" w:hAnsi="Tahoma"/>
            <w:rtl/>
          </w:rPr>
          <w:t xml:space="preserve"> 7(א)</w:t>
        </w:r>
      </w:hyperlink>
      <w:r>
        <w:rPr>
          <w:rFonts w:ascii="Tahoma" w:hAnsi="Tahoma" w:hint="cs"/>
          <w:rtl/>
        </w:rPr>
        <w:t xml:space="preserve"> לפקודת הסמים המסוכנים. </w:t>
      </w:r>
    </w:p>
    <w:p w14:paraId="67F2EB07" w14:textId="77777777" w:rsidR="00D729FC" w:rsidRDefault="00D729FC">
      <w:pPr>
        <w:spacing w:after="120" w:line="360" w:lineRule="auto"/>
        <w:jc w:val="both"/>
        <w:rPr>
          <w:rFonts w:ascii="Tahoma" w:hAnsi="Tahoma"/>
        </w:rPr>
      </w:pPr>
    </w:p>
    <w:p w14:paraId="6D2F5F4E" w14:textId="77777777" w:rsidR="00D729FC" w:rsidRDefault="00DE3A92">
      <w:pPr>
        <w:tabs>
          <w:tab w:val="num" w:pos="720"/>
        </w:tabs>
        <w:spacing w:after="120" w:line="360" w:lineRule="auto"/>
        <w:jc w:val="both"/>
        <w:rPr>
          <w:rFonts w:ascii="Tahoma" w:hAnsi="Tahoma"/>
          <w:b/>
          <w:bCs/>
          <w:rtl/>
        </w:rPr>
      </w:pPr>
      <w:r>
        <w:rPr>
          <w:rFonts w:ascii="Tahoma" w:hAnsi="Tahoma" w:hint="cs"/>
          <w:b/>
          <w:bCs/>
          <w:rtl/>
        </w:rPr>
        <w:t>ב.</w:t>
      </w:r>
      <w:r>
        <w:rPr>
          <w:rFonts w:ascii="Tahoma" w:hAnsi="Tahoma" w:hint="cs"/>
          <w:b/>
          <w:bCs/>
          <w:rtl/>
        </w:rPr>
        <w:tab/>
      </w:r>
      <w:r>
        <w:rPr>
          <w:rFonts w:ascii="Tahoma" w:hAnsi="Tahoma" w:hint="cs"/>
          <w:b/>
          <w:bCs/>
          <w:u w:val="single"/>
          <w:rtl/>
        </w:rPr>
        <w:t>"פרשת הסוכן":</w:t>
      </w:r>
    </w:p>
    <w:p w14:paraId="4D682587"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להבהרת הרקע העובדתי חשוב לציין כי עניינו של הנאשם הינו חלק מ"פרשה", שבמסגרתה הופעל הסוכן דנא נגד מספר יעדים. על פי מה שנמסר על ידי ב"כ המאשימה, מדובר בפרשה בה הוגשו 15 כתבי אישום נגד 21 נאשמים שונים.</w:t>
      </w:r>
    </w:p>
    <w:p w14:paraId="2F747EFD"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ב"כ המאשימה הציג לפניי שני גזרי דין, אשר כבר ניתנו בפרשה זו, כלהלן:</w:t>
      </w:r>
    </w:p>
    <w:p w14:paraId="23388CAC" w14:textId="77777777" w:rsidR="00D729FC" w:rsidRDefault="00DE3A92">
      <w:pPr>
        <w:spacing w:after="120" w:line="360" w:lineRule="auto"/>
        <w:ind w:left="1440"/>
        <w:jc w:val="both"/>
        <w:rPr>
          <w:rFonts w:ascii="Tahoma" w:hAnsi="Tahoma"/>
        </w:rPr>
      </w:pPr>
      <w:r>
        <w:rPr>
          <w:rFonts w:ascii="Tahoma" w:hAnsi="Tahoma" w:hint="cs"/>
          <w:b/>
          <w:bCs/>
          <w:rtl/>
        </w:rPr>
        <w:t>האחד</w:t>
      </w:r>
      <w:r>
        <w:rPr>
          <w:rFonts w:ascii="Tahoma" w:hAnsi="Tahoma" w:hint="cs"/>
          <w:rtl/>
        </w:rPr>
        <w:t xml:space="preserve">, </w:t>
      </w:r>
      <w:hyperlink r:id="rId21" w:history="1">
        <w:r w:rsidRPr="00DE3A92">
          <w:rPr>
            <w:rFonts w:ascii="Tahoma" w:hAnsi="Tahoma"/>
            <w:color w:val="0000FF"/>
            <w:u w:val="single"/>
            <w:rtl/>
          </w:rPr>
          <w:t>ת.פ. 59629-01-14</w:t>
        </w:r>
      </w:hyperlink>
      <w:r>
        <w:rPr>
          <w:rFonts w:ascii="Tahoma" w:hAnsi="Tahoma" w:hint="cs"/>
          <w:rtl/>
        </w:rPr>
        <w:t xml:space="preserve"> </w:t>
      </w:r>
      <w:r>
        <w:rPr>
          <w:rFonts w:ascii="Tahoma" w:hAnsi="Tahoma" w:hint="cs"/>
          <w:b/>
          <w:bCs/>
          <w:rtl/>
        </w:rPr>
        <w:t>מדינת ישראל נ' סלימן ואח'</w:t>
      </w:r>
      <w:r>
        <w:rPr>
          <w:rFonts w:ascii="Tahoma" w:hAnsi="Tahoma" w:hint="cs"/>
          <w:rtl/>
        </w:rPr>
        <w:t xml:space="preserve"> (גזר דין מיום 25.6.14). במקרה זה הואשמו שלושה נאשמים, כל אחד כפי חלקו, בשני אירועים של מכירת סמים מסוכנים מסוג קוקאין, במשקל של </w:t>
      </w:r>
      <w:smartTag w:uri="urn:schemas-microsoft-com:office:smarttags" w:element="metricconverter">
        <w:smartTagPr>
          <w:attr w:name="ProductID" w:val="10 גרם"/>
        </w:smartTagPr>
        <w:r>
          <w:rPr>
            <w:rFonts w:ascii="Tahoma" w:hAnsi="Tahoma" w:hint="cs"/>
            <w:rtl/>
          </w:rPr>
          <w:t>10 גרם</w:t>
        </w:r>
      </w:smartTag>
      <w:r>
        <w:rPr>
          <w:rFonts w:ascii="Tahoma" w:hAnsi="Tahoma" w:hint="cs"/>
          <w:rtl/>
        </w:rPr>
        <w:t xml:space="preserve"> נטו בקירוב, בתמורה לסכום של 5,000 ₪ בכל אירוע. הצדדים הגיעו, בתיק הנ"ל, להסדר טיעון סגור, שברכיב המאסר בפועל כלל עונשים כדלקמן: 15 חודשי מאסר בפועל לנאשם 1 (שהשתתף בסחר בסמים, באירוע אחד), 24 חודשי מאסר בפועל לנאשם 2 (שהשתתף בסחר בסמים, בשני האירועים, וכן החזיק סמים שלא לצריכתו העצמית), ו-6 חודשי מאסר בפועל לנאשם 3 (שתיווך בעסקת סמים, באירוע אחד). בנסיבות העניין החליט בית המשפט דשם לכבד את ההסכמות וגזר את דינם של הנאשמים בהתאם.</w:t>
      </w:r>
    </w:p>
    <w:p w14:paraId="4B797761" w14:textId="77777777" w:rsidR="00D729FC" w:rsidRDefault="00DE3A92">
      <w:pPr>
        <w:spacing w:after="120" w:line="360" w:lineRule="auto"/>
        <w:ind w:left="1440"/>
        <w:jc w:val="both"/>
        <w:rPr>
          <w:rFonts w:ascii="Tahoma" w:hAnsi="Tahoma"/>
        </w:rPr>
      </w:pPr>
      <w:r>
        <w:rPr>
          <w:rFonts w:ascii="Tahoma" w:hAnsi="Tahoma" w:hint="cs"/>
          <w:b/>
          <w:bCs/>
          <w:rtl/>
        </w:rPr>
        <w:lastRenderedPageBreak/>
        <w:t>השני</w:t>
      </w:r>
      <w:r>
        <w:rPr>
          <w:rFonts w:ascii="Tahoma" w:hAnsi="Tahoma" w:hint="cs"/>
          <w:rtl/>
        </w:rPr>
        <w:t xml:space="preserve">, </w:t>
      </w:r>
      <w:hyperlink r:id="rId22" w:history="1">
        <w:r w:rsidRPr="00DE3A92">
          <w:rPr>
            <w:rFonts w:ascii="Tahoma" w:hAnsi="Tahoma"/>
            <w:color w:val="0000FF"/>
            <w:u w:val="single"/>
            <w:rtl/>
          </w:rPr>
          <w:t>ת.פ. 56942-01-14</w:t>
        </w:r>
      </w:hyperlink>
      <w:r>
        <w:rPr>
          <w:rFonts w:ascii="Tahoma" w:hAnsi="Tahoma" w:hint="cs"/>
          <w:rtl/>
        </w:rPr>
        <w:t xml:space="preserve"> </w:t>
      </w:r>
      <w:r>
        <w:rPr>
          <w:rFonts w:ascii="Tahoma" w:hAnsi="Tahoma" w:hint="cs"/>
          <w:b/>
          <w:bCs/>
          <w:rtl/>
        </w:rPr>
        <w:t>מדינת ישראל נ' טוצ'ילשוילי ואח'</w:t>
      </w:r>
      <w:r>
        <w:rPr>
          <w:rFonts w:ascii="Tahoma" w:hAnsi="Tahoma" w:hint="cs"/>
          <w:rtl/>
        </w:rPr>
        <w:t xml:space="preserve"> (גזר דין מיום 30.6.14). במקרה זה דובר בשני אירועים של מכירת סמים מסוכנים לסוכן, בהם השתתפו שני הנאשמים דשם. באירוע הראשון מכרו הנאשמים לסוכן סמים מסוכנים מסוג חשיש, במשקל של </w:t>
      </w:r>
      <w:smartTag w:uri="urn:schemas-microsoft-com:office:smarttags" w:element="metricconverter">
        <w:smartTagPr>
          <w:attr w:name="ProductID" w:val="98.8 גרם"/>
        </w:smartTagPr>
        <w:r>
          <w:rPr>
            <w:rFonts w:ascii="Tahoma" w:hAnsi="Tahoma" w:hint="cs"/>
            <w:rtl/>
          </w:rPr>
          <w:t>98.8 גרם</w:t>
        </w:r>
      </w:smartTag>
      <w:r>
        <w:rPr>
          <w:rFonts w:ascii="Tahoma" w:hAnsi="Tahoma" w:hint="cs"/>
          <w:rtl/>
        </w:rPr>
        <w:t xml:space="preserve"> נטו, תמורת סכום של 4,300 ₪. באירוע השני מכרו הנאשמים לסוכן סמים כאמור, במשקל של </w:t>
      </w:r>
      <w:smartTag w:uri="urn:schemas-microsoft-com:office:smarttags" w:element="metricconverter">
        <w:smartTagPr>
          <w:attr w:name="ProductID" w:val="101 גרם"/>
        </w:smartTagPr>
        <w:r>
          <w:rPr>
            <w:rFonts w:ascii="Tahoma" w:hAnsi="Tahoma" w:hint="cs"/>
            <w:rtl/>
          </w:rPr>
          <w:t>101 גרם</w:t>
        </w:r>
      </w:smartTag>
      <w:r>
        <w:rPr>
          <w:rFonts w:ascii="Tahoma" w:hAnsi="Tahoma" w:hint="cs"/>
          <w:rtl/>
        </w:rPr>
        <w:t xml:space="preserve"> נטו, תמורת סכום של 4,600 ₪. הצדדים הגיעו, בתיק הנ"ל, להסדר טיעון עם הסכמות לטווח עונשי ברכיב המאסר בפועל, כלהלן: המאשימה עתרה להשתת עונש מאסר בפועל של 18 חודשי מאסר (על שני הנאשמים) ואילו ההגנה ביקשה להסתפק בעונש של 11 חודשי מאסר בלבד. בית המשפט דשם גזר על שני הנאשמים, ברכיב הענישה של מאסר בפועל, עונש של 14 חודשי מאסר.</w:t>
      </w:r>
    </w:p>
    <w:p w14:paraId="0DE5965D" w14:textId="77777777" w:rsidR="00D729FC" w:rsidRDefault="00D729FC">
      <w:pPr>
        <w:spacing w:after="120" w:line="360" w:lineRule="auto"/>
        <w:jc w:val="both"/>
        <w:rPr>
          <w:rFonts w:ascii="Tahoma" w:hAnsi="Tahoma"/>
        </w:rPr>
      </w:pPr>
    </w:p>
    <w:p w14:paraId="3BC62442" w14:textId="77777777" w:rsidR="00D729FC" w:rsidRDefault="00DE3A92">
      <w:pPr>
        <w:spacing w:after="120" w:line="360" w:lineRule="auto"/>
        <w:jc w:val="both"/>
        <w:rPr>
          <w:rFonts w:ascii="Tahoma" w:hAnsi="Tahoma"/>
          <w:b/>
          <w:bCs/>
          <w:u w:val="single"/>
          <w:rtl/>
        </w:rPr>
      </w:pPr>
      <w:r>
        <w:rPr>
          <w:rFonts w:ascii="Tahoma" w:hAnsi="Tahoma" w:hint="cs"/>
          <w:b/>
          <w:bCs/>
          <w:rtl/>
        </w:rPr>
        <w:t>ג.</w:t>
      </w:r>
      <w:r>
        <w:rPr>
          <w:rFonts w:ascii="Tahoma" w:hAnsi="Tahoma" w:hint="cs"/>
          <w:b/>
          <w:bCs/>
          <w:rtl/>
        </w:rPr>
        <w:tab/>
      </w:r>
      <w:r>
        <w:rPr>
          <w:rFonts w:ascii="Tahoma" w:hAnsi="Tahoma" w:hint="cs"/>
          <w:b/>
          <w:bCs/>
          <w:u w:val="single"/>
          <w:rtl/>
        </w:rPr>
        <w:t>הראיות לקביעת העונש ועיקר טיעוני ב"כ הצדדים:</w:t>
      </w:r>
    </w:p>
    <w:p w14:paraId="3B69D3D7" w14:textId="77777777" w:rsidR="00D729FC" w:rsidRDefault="00DE3A92">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כראיות לקביעת העונש הגיש ב"כ המאשימה את גיליון הרשעותיו הקודמות של הנאשם (ר' ע/1). כעולה מגיליון זה, לנאשם, יליד 1978, 8 הרשעות קודמות, שעיקרן בעבירות רכוש. הנאשם אף ריצה בעברו עונשי מאסר בפועל. הרשעותיו של הנאשם כוללות הרשעה בגין החזקת סמים מסוכנים לצריכה עצמית (ר' רישום מס' 4, משנת 2004) וכן הרשעה בהחזקת סמים מסוכנים שלא לצריכה עצמית (ר' רישום מס' 3, משנת 2008). </w:t>
      </w:r>
    </w:p>
    <w:p w14:paraId="65F0AD1B"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 xml:space="preserve">ב"כ המאשימה הדגיש את ערכים החברתיים, אשר נפגעו כתוצאה ממעשיו של הנאשם. לשיטתו, בעבירות כגון דא הפגיעה הינה בחברה כולה, ולא רק בצרכני הסמים, שכן עבירות סמים כרוכות מטבע ברייתן גם בביצוען של עבירות פליליות נוספות, כגון עבירות רכוש. </w:t>
      </w:r>
    </w:p>
    <w:p w14:paraId="5D2DC205"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 xml:space="preserve">ב"כ המאשימה עתר אפוא לקביעת מתחמי עונש הולמים מחמירים. באשר לאישום הראשון עתר ב"כ המאשימה לקביעת מתחם עונש הולם שבין 7 חודשי מאסר בפועל לבין 18 חודשי מאסר בפועל. באשר לאישום השני עתר ב"כ המאשימה לקביעת מתחם עונש הולם שבין 12 חודשי מאסר בפועל לבין 24 חודשי מאסר בפועל. </w:t>
      </w:r>
    </w:p>
    <w:p w14:paraId="3F791228"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באשר לגזירת דינו של הנאשם בתוך מתחמי העונש ההולמים הדגיש ב"כ המאשימה את עברו הפלילי של הנאשם, אשר כאמור הורשע בעבר גם בעבירה של החזקת סמים מסוכנים שלא לצריכה עצמית. לשיטתו, עונשו של הנאשם צריך להיות ברף האמצעי עליון של מתחמי העונש ההולמים, תוך צבירת העונשים בגין שני האישומים, כך שברכיב המאסר בפועל עונשו של הנאשם לא יפחת מ-30 חודשי מאסר. בנוסף עתר ב"כ המאשימה להשתת עונשים נלווים: מאסר מותנה, שלילת רישיון נהיגה בפועל ועל תנאי, וקנס כספי שלא יפחת מסכומי הכספים ששולמו על ידי הסוכן. עוד יש לציין כי ב"כ המאשימה חזר בו מבקשת החילוט שבכתב האישום.</w:t>
      </w:r>
    </w:p>
    <w:p w14:paraId="22BA684B"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ב"כ הנאשם תיארה, מצידה, את הנסיבות לקולה, וטענה לקביעת מתחמי עונש הולמים מתונים מאלה להם עתר ב"כ המאשימה. ב"כ הנאשם הדגישה את התיקונים המהותיים שנערכו בעובדות כתב האישום המקורי. עובדות האישום הראשון שבכתב האישום המתוקן מלמדות לשיטתה על חלק זניח ושולי של הנאשם באירוע, שכן מדובר בתיווך שהינו ברף התחתון לעבירות כגון דא. מי שנתן את הסמים ומי שלקח את כל הכסף היה האדם האחר, כאשר כל שקיבל הנאשם הוא סך של 300 ₪.</w:t>
      </w:r>
    </w:p>
    <w:p w14:paraId="643FBDF7"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ב"כ הנאשם הגישה מספר ראיות לצורך קביעת העונש, הכוללות מכתב נרגש שכתבה אשתו של הנאשם לבית המשפט (ס/1). האישה עתרה לרחמי בית המשפט תוך הדגשת העובדה שלבני הזוג ילד פעוט, בן שנה ותשעה חודשים, כמו גם השינוי העמוק שלדבריה חל אצל הנאשם על רקע הפיכתו לאב.</w:t>
      </w:r>
    </w:p>
    <w:p w14:paraId="7C6799D3" w14:textId="77777777" w:rsidR="00D729FC" w:rsidRDefault="00DE3A92">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ראיות נוספות שהוגשו מלמדות על חובות כבדים בהם נתון הנאשם וכן על מצבה הכלכלי העגום של המשפחה (ר' ס/2 עד ס/4). בין השאר הוגש דו"ח סוציאלי, שנערך על ידי עובדת סוציאלית במחלקה לשירותים חברתיים בעיריית קריית מוצקין. על פי האמור בדו"ח, הנאשם ומשפחתו מתגוררים בבית אמה של האישה, בקריית מוצקין, ומתקיימים בקושי מקצבת הבטחת הכנסה (ר' ס/3). </w:t>
      </w:r>
    </w:p>
    <w:p w14:paraId="2D851F7A"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ב"כ הנאשם פירטה את נסיבותיו האישיות של הנאשם. לטענתה, מדובר בנאשם שהגם שבצעירותו אובחן כבעל קשיי קשב וריכוז, בכל זאת סיים 12 שנות לימוד. לנאשם אף יש תעודת ספר והוא עבד במקצוע זה עובר למעצרו. לדברי ב"כ הנאשם, בגיל מוקדם יחסית החל הנאשם לצרוך סמים וכתוצאה מכך הסתבך בביצוע עבירות פליליות, בעיקר בעבירות רכוש, ואף ריצה מאסרים בפועל.</w:t>
      </w:r>
    </w:p>
    <w:p w14:paraId="67154D7B"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 xml:space="preserve">יחד עם זאת, כך הדגישה ב"כ הנאשם, לנאשם אין הרשעות קודמות בתחום העבירות של סחר בסמים מסוכנים או תיווך בהם. לנאשם אמנם הרשעה בעבירה של החזקת סמים מסוכנים שלא לצריכה עצמית, אך מדובר בהרשעה בגין עבירה משנת 2006, אשר התבססה על משקל הסמים אותם החזיק הנאשם. לטענתה, הנאשם מעולם לא עסק בסחר בסמים מסוכנים או בתיווך בסמים מסוכנים, וההרשעה דנא הינה הרשעתו הראשונה בתחום זה. </w:t>
      </w:r>
    </w:p>
    <w:p w14:paraId="374A506F" w14:textId="77777777" w:rsidR="00D729FC" w:rsidRDefault="00DE3A92">
      <w:pPr>
        <w:numPr>
          <w:ilvl w:val="0"/>
          <w:numId w:val="1"/>
        </w:numPr>
        <w:tabs>
          <w:tab w:val="num" w:pos="720"/>
        </w:tabs>
        <w:spacing w:after="120" w:line="360" w:lineRule="auto"/>
        <w:ind w:left="720"/>
        <w:jc w:val="both"/>
        <w:rPr>
          <w:rFonts w:ascii="Tahoma" w:hAnsi="Tahoma"/>
          <w:rtl/>
        </w:rPr>
      </w:pPr>
      <w:r>
        <w:rPr>
          <w:rFonts w:ascii="Tahoma" w:hAnsi="Tahoma" w:hint="cs"/>
          <w:rtl/>
        </w:rPr>
        <w:t>עוד הדגישה ב"כ הנאשם את הודאתו של הנאשם בעובדות כתב האישום המתוקן, ואת נטילת האחריות על ידיו. לדבריה, במעצרו הנוכחי סבל הנאשם סבל קשה בהרבה מזה שסבל כאשר ריצה בעבר עונשי מאסר בפועל, שכן כיום הנאשם הוא אב לילד פעוט אשר אינו זוכה לראות את בנו. ב"כ הנאשם עתרה אפוא להקלה בעונשו של הנאשם, תוך הסתפקות בתקופת המעצר אותה ריצה עד עתה.</w:t>
      </w:r>
    </w:p>
    <w:p w14:paraId="38FC899E"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לבסוף הנאשם, בדברו האחרון לעונש, אמר כי הוא יודע שעשה טעויות, אך בכוונתו שלא לחזור על כך ולא לשוב יותר לכלא. עוד ציין הנאשם כי מזה עשר שנים מנסים הוא ואשתו להביא ילד לעולם. הולדת בנם היתה אפוא מתנה משמיים. על רקע זה עתר הנאשם לחסדי בית המשפט ולרחמיו, על מנת שיוכל לחזור לחיק משפחתו ולבנו.</w:t>
      </w:r>
    </w:p>
    <w:p w14:paraId="4B383D54" w14:textId="77777777" w:rsidR="00D729FC" w:rsidRDefault="00D729FC">
      <w:pPr>
        <w:spacing w:after="120" w:line="360" w:lineRule="auto"/>
        <w:jc w:val="both"/>
        <w:rPr>
          <w:rFonts w:ascii="Tahoma" w:hAnsi="Tahoma"/>
        </w:rPr>
      </w:pPr>
    </w:p>
    <w:p w14:paraId="47958B91" w14:textId="77777777" w:rsidR="00D729FC" w:rsidRDefault="00DE3A92">
      <w:pPr>
        <w:spacing w:after="120" w:line="360" w:lineRule="auto"/>
        <w:jc w:val="both"/>
        <w:rPr>
          <w:rFonts w:ascii="Tahoma" w:hAnsi="Tahoma"/>
          <w:b/>
          <w:bCs/>
          <w:u w:val="single"/>
          <w:rtl/>
        </w:rPr>
      </w:pPr>
      <w:r>
        <w:rPr>
          <w:rFonts w:ascii="Tahoma" w:hAnsi="Tahoma" w:hint="cs"/>
          <w:b/>
          <w:bCs/>
          <w:rtl/>
        </w:rPr>
        <w:t>ד.</w:t>
      </w:r>
      <w:r>
        <w:rPr>
          <w:rFonts w:ascii="Tahoma" w:hAnsi="Tahoma" w:hint="cs"/>
          <w:b/>
          <w:bCs/>
          <w:rtl/>
        </w:rPr>
        <w:tab/>
      </w:r>
      <w:r>
        <w:rPr>
          <w:rFonts w:ascii="Tahoma" w:hAnsi="Tahoma" w:hint="cs"/>
          <w:b/>
          <w:bCs/>
          <w:u w:val="single"/>
          <w:rtl/>
        </w:rPr>
        <w:t xml:space="preserve">קביעת מתחם העונש ההולם: </w:t>
      </w:r>
    </w:p>
    <w:p w14:paraId="4F182187" w14:textId="77777777" w:rsidR="00D729FC" w:rsidRDefault="00DE3A92">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בהתאם להוראות </w:t>
      </w:r>
      <w:hyperlink r:id="rId23" w:history="1">
        <w:r w:rsidR="00284ABF" w:rsidRPr="00284ABF">
          <w:rPr>
            <w:rStyle w:val="Hyperlink"/>
            <w:rFonts w:ascii="Tahoma" w:hAnsi="Tahoma" w:hint="eastAsia"/>
            <w:rtl/>
          </w:rPr>
          <w:t>סעיף</w:t>
        </w:r>
        <w:r w:rsidR="00284ABF" w:rsidRPr="00284ABF">
          <w:rPr>
            <w:rStyle w:val="Hyperlink"/>
            <w:rFonts w:ascii="Tahoma" w:hAnsi="Tahoma"/>
            <w:rtl/>
          </w:rPr>
          <w:t xml:space="preserve"> 40ג(א)</w:t>
        </w:r>
      </w:hyperlink>
      <w:r>
        <w:rPr>
          <w:rFonts w:ascii="Tahoma" w:hAnsi="Tahoma" w:hint="cs"/>
          <w:rtl/>
        </w:rPr>
        <w:t xml:space="preserve"> ל</w:t>
      </w:r>
      <w:hyperlink r:id="rId24" w:history="1">
        <w:r w:rsidRPr="00DE3A92">
          <w:rPr>
            <w:rFonts w:ascii="Tahoma" w:hAnsi="Tahoma"/>
            <w:color w:val="0000FF"/>
            <w:u w:val="single"/>
            <w:rtl/>
          </w:rPr>
          <w:t>חוק העונשין</w:t>
        </w:r>
      </w:hyperlink>
      <w:r>
        <w:rPr>
          <w:rFonts w:ascii="Tahoma" w:hAnsi="Tahoma" w:hint="cs"/>
          <w:rtl/>
        </w:rPr>
        <w:t xml:space="preserve">, תשל"ז-1977 (להלן – חוק העונשין), על בית המשפט לקבוע את מתחם העונש ההולם לעבירות אותן ביצע הנאשם בהתאם לעקרון ההלימה תוך התחשבות בערך החברתי שנפגע מביצוע העבירות ובמידת הפגיעה בו, במדיניות הענישה הנהוגה ובנסיבות הקשורות בביצוע העבירות כמפורט בהוראות </w:t>
      </w:r>
      <w:hyperlink r:id="rId25" w:history="1">
        <w:r w:rsidR="00284ABF" w:rsidRPr="00284ABF">
          <w:rPr>
            <w:rStyle w:val="Hyperlink"/>
            <w:rFonts w:ascii="Tahoma" w:hAnsi="Tahoma" w:hint="eastAsia"/>
            <w:rtl/>
          </w:rPr>
          <w:t>סעיף</w:t>
        </w:r>
        <w:r w:rsidR="00284ABF" w:rsidRPr="00284ABF">
          <w:rPr>
            <w:rStyle w:val="Hyperlink"/>
            <w:rFonts w:ascii="Tahoma" w:hAnsi="Tahoma"/>
            <w:rtl/>
          </w:rPr>
          <w:t xml:space="preserve"> 40ט</w:t>
        </w:r>
      </w:hyperlink>
      <w:r>
        <w:rPr>
          <w:rFonts w:ascii="Tahoma" w:hAnsi="Tahoma" w:hint="cs"/>
          <w:rtl/>
        </w:rPr>
        <w:t xml:space="preserve"> לחוק העונשין.</w:t>
      </w:r>
    </w:p>
    <w:p w14:paraId="6BCB0870"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 xml:space="preserve">מקובל עלי טיעון ב"כ המאשימה בדבר הערכים החברתיים שנפגעו עקב ביצוע העבירות על ידי הנאשם. יחד עם זאת, באשר לקביעת מתחמי העונש ההולמים יש להבחין בין שני האישומים. באשר לאישום השני </w:t>
      </w:r>
      <w:r>
        <w:rPr>
          <w:rFonts w:ascii="Tahoma" w:hAnsi="Tahoma"/>
          <w:rtl/>
        </w:rPr>
        <w:t>–</w:t>
      </w:r>
      <w:r>
        <w:rPr>
          <w:rFonts w:ascii="Tahoma" w:hAnsi="Tahoma" w:hint="cs"/>
          <w:rtl/>
        </w:rPr>
        <w:t xml:space="preserve"> בהתחשב בעובדה שמדובר בסחר בסמים קשים, וכן בהתחשב בכמות הסמים, בסכום הכסף המשמעותי ששולם בעבורם ובמדיניות הפסיקה במקרים דומים לגבי סמים קשים אחרים – מקובל עליי טיעון ב"כ המאשימה לקביעת מתחם עונש הולם בין 12 חודשי מאסר בפועל לבין 24 חודשי מאסר בפועל.</w:t>
      </w:r>
    </w:p>
    <w:p w14:paraId="670FAD11"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 xml:space="preserve">להבדיל, באישום הראשון מדובר בעבירה של תיווך בעסקת סמים בלבד. בנסיבות אלה, כאשר מקובל עליי טיעון ב"כ הנאשם כי חלקו של הנאשם באירוע זה </w:t>
      </w:r>
      <w:r>
        <w:rPr>
          <w:rFonts w:ascii="Tahoma" w:hAnsi="Tahoma"/>
          <w:rtl/>
        </w:rPr>
        <w:t>–</w:t>
      </w:r>
      <w:r>
        <w:rPr>
          <w:rFonts w:ascii="Tahoma" w:hAnsi="Tahoma" w:hint="cs"/>
          <w:rtl/>
        </w:rPr>
        <w:t xml:space="preserve"> שעובדותיו פורטו לעיל </w:t>
      </w:r>
      <w:r>
        <w:rPr>
          <w:rFonts w:ascii="Tahoma" w:hAnsi="Tahoma"/>
          <w:rtl/>
        </w:rPr>
        <w:t>–</w:t>
      </w:r>
      <w:r>
        <w:rPr>
          <w:rFonts w:ascii="Tahoma" w:hAnsi="Tahoma" w:hint="cs"/>
          <w:rtl/>
        </w:rPr>
        <w:t xml:space="preserve"> היה קטן יחסית, אני קובע באישום זה מתחם עונש הולם בין שישה חודשי מאסר בפועל לבין 12 חודשי מאסר בפועל.</w:t>
      </w:r>
    </w:p>
    <w:p w14:paraId="5F6F5318" w14:textId="77777777" w:rsidR="00D729FC" w:rsidRDefault="00D729FC">
      <w:pPr>
        <w:spacing w:after="120" w:line="360" w:lineRule="auto"/>
        <w:jc w:val="both"/>
        <w:rPr>
          <w:rFonts w:ascii="Tahoma" w:hAnsi="Tahoma"/>
        </w:rPr>
      </w:pPr>
    </w:p>
    <w:p w14:paraId="4CD3AB77" w14:textId="77777777" w:rsidR="00D729FC" w:rsidRDefault="00DE3A92">
      <w:pPr>
        <w:spacing w:after="120" w:line="360" w:lineRule="auto"/>
        <w:jc w:val="both"/>
        <w:rPr>
          <w:rFonts w:ascii="Tahoma" w:hAnsi="Tahoma"/>
          <w:b/>
          <w:bCs/>
          <w:u w:val="single"/>
          <w:rtl/>
        </w:rPr>
      </w:pPr>
      <w:r>
        <w:rPr>
          <w:rFonts w:ascii="Tahoma" w:hAnsi="Tahoma" w:hint="cs"/>
          <w:b/>
          <w:bCs/>
          <w:rtl/>
        </w:rPr>
        <w:t>ה.</w:t>
      </w:r>
      <w:r>
        <w:rPr>
          <w:rFonts w:ascii="Tahoma" w:hAnsi="Tahoma" w:hint="cs"/>
          <w:b/>
          <w:bCs/>
          <w:rtl/>
        </w:rPr>
        <w:tab/>
      </w:r>
      <w:r>
        <w:rPr>
          <w:rFonts w:ascii="Tahoma" w:hAnsi="Tahoma" w:hint="cs"/>
          <w:b/>
          <w:bCs/>
          <w:u w:val="single"/>
          <w:rtl/>
        </w:rPr>
        <w:t>גזירת עונשו של הנאשם בתוך מתחמי העונש ההולמים:</w:t>
      </w:r>
    </w:p>
    <w:p w14:paraId="6F65D5B6"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 xml:space="preserve">בהתאם להוראות </w:t>
      </w:r>
      <w:hyperlink r:id="rId26" w:history="1">
        <w:r w:rsidR="00284ABF" w:rsidRPr="00284ABF">
          <w:rPr>
            <w:rStyle w:val="Hyperlink"/>
            <w:rFonts w:ascii="Tahoma" w:hAnsi="Tahoma" w:hint="eastAsia"/>
            <w:rtl/>
          </w:rPr>
          <w:t>סעיף</w:t>
        </w:r>
        <w:r w:rsidR="00284ABF" w:rsidRPr="00284ABF">
          <w:rPr>
            <w:rStyle w:val="Hyperlink"/>
            <w:rFonts w:ascii="Tahoma" w:hAnsi="Tahoma"/>
            <w:rtl/>
          </w:rPr>
          <w:t xml:space="preserve"> 40ג(ב)</w:t>
        </w:r>
      </w:hyperlink>
      <w:r>
        <w:rPr>
          <w:rFonts w:ascii="Tahoma" w:hAnsi="Tahoma" w:hint="cs"/>
          <w:rtl/>
        </w:rPr>
        <w:t xml:space="preserve"> ל</w:t>
      </w:r>
      <w:hyperlink r:id="rId27" w:history="1">
        <w:r w:rsidRPr="00DE3A92">
          <w:rPr>
            <w:rFonts w:ascii="Tahoma" w:hAnsi="Tahoma"/>
            <w:color w:val="0000FF"/>
            <w:u w:val="single"/>
            <w:rtl/>
          </w:rPr>
          <w:t>חוק העונשין</w:t>
        </w:r>
      </w:hyperlink>
      <w:r>
        <w:rPr>
          <w:rFonts w:ascii="Tahoma" w:hAnsi="Tahoma" w:hint="cs"/>
          <w:rtl/>
        </w:rPr>
        <w:t xml:space="preserve"> על בית המשפט לגזור את עונשו של הנאשם בתוך מתחמי העונש ההולמים – למעט מקרים חריגים בהם הוא רשאי לחרוג ממתחמים אלה, שאין עניינם לכאן – וזאת תוך התחשבות בנסיבות שאינן קשורות בביצוע העבירות כמפורט בהוראות </w:t>
      </w:r>
      <w:hyperlink r:id="rId28" w:history="1">
        <w:r w:rsidR="00284ABF" w:rsidRPr="00284ABF">
          <w:rPr>
            <w:rStyle w:val="Hyperlink"/>
            <w:rFonts w:ascii="Tahoma" w:hAnsi="Tahoma" w:hint="eastAsia"/>
            <w:rtl/>
          </w:rPr>
          <w:t>סעיף</w:t>
        </w:r>
        <w:r w:rsidR="00284ABF" w:rsidRPr="00284ABF">
          <w:rPr>
            <w:rStyle w:val="Hyperlink"/>
            <w:rFonts w:ascii="Tahoma" w:hAnsi="Tahoma"/>
            <w:rtl/>
          </w:rPr>
          <w:t xml:space="preserve"> 40יא</w:t>
        </w:r>
      </w:hyperlink>
      <w:r>
        <w:rPr>
          <w:rFonts w:ascii="Tahoma" w:hAnsi="Tahoma" w:hint="cs"/>
          <w:rtl/>
        </w:rPr>
        <w:t xml:space="preserve"> לחוק העונשין.</w:t>
      </w:r>
    </w:p>
    <w:p w14:paraId="30C48D05" w14:textId="77777777" w:rsidR="00D729FC" w:rsidRDefault="00D729FC">
      <w:pPr>
        <w:spacing w:after="120" w:line="360" w:lineRule="auto"/>
        <w:jc w:val="both"/>
        <w:rPr>
          <w:rFonts w:ascii="Tahoma" w:hAnsi="Tahoma"/>
          <w:rtl/>
        </w:rPr>
      </w:pPr>
    </w:p>
    <w:p w14:paraId="7F62D3DA"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באשר לנאשם שלפניי, השיקולים הרלוואנטיים לגזירת עונשו הם כלהלן:</w:t>
      </w:r>
    </w:p>
    <w:p w14:paraId="0D6646A3" w14:textId="77777777" w:rsidR="00D729FC" w:rsidRDefault="00DE3A92">
      <w:pPr>
        <w:spacing w:after="120" w:line="360" w:lineRule="auto"/>
        <w:ind w:left="1440"/>
        <w:jc w:val="both"/>
        <w:rPr>
          <w:rFonts w:ascii="Tahoma" w:hAnsi="Tahoma"/>
        </w:rPr>
      </w:pPr>
      <w:r>
        <w:rPr>
          <w:rFonts w:ascii="Tahoma" w:hAnsi="Tahoma" w:hint="cs"/>
          <w:b/>
          <w:bCs/>
          <w:rtl/>
        </w:rPr>
        <w:t xml:space="preserve">הרשעות קודמות – </w:t>
      </w:r>
      <w:r>
        <w:rPr>
          <w:rFonts w:ascii="Tahoma" w:hAnsi="Tahoma" w:hint="cs"/>
          <w:rtl/>
        </w:rPr>
        <w:t>לנאשם 8 הרשעות קודמות, בעיקר בעבירות רכוש. כאמור, הנאשם אף ריצה בעברו עונשי מאסר בפועל. יחד עם זאת יש לציין כי אין לנאשם הרשעות קודמות בעבירות של סחר בסמים מסוכנים או בתיווך בהם, שהן כזכור העבירות בהן הורשע בתיק דנא.</w:t>
      </w:r>
    </w:p>
    <w:p w14:paraId="27B0992F" w14:textId="77777777" w:rsidR="00D729FC" w:rsidRDefault="00DE3A92">
      <w:pPr>
        <w:spacing w:after="120" w:line="360" w:lineRule="auto"/>
        <w:ind w:left="1440"/>
        <w:jc w:val="both"/>
        <w:rPr>
          <w:rFonts w:ascii="Tahoma" w:hAnsi="Tahoma"/>
          <w:rtl/>
        </w:rPr>
      </w:pPr>
      <w:r>
        <w:rPr>
          <w:rFonts w:ascii="Tahoma" w:hAnsi="Tahoma" w:hint="cs"/>
          <w:b/>
          <w:bCs/>
          <w:rtl/>
        </w:rPr>
        <w:t xml:space="preserve">הודאה ונטילת אחריות – </w:t>
      </w:r>
      <w:r>
        <w:rPr>
          <w:rFonts w:ascii="Tahoma" w:hAnsi="Tahoma" w:hint="cs"/>
          <w:rtl/>
        </w:rPr>
        <w:t>הנאשם הודה בעובדות כתב האישום המתוקן. בכך חסך הנאשם מזמנם של העדים, הצדדים ובית המשפט. פשיטא כי יש לזקוף נסיבות אלה – ובמיוחד את ביטול הצורך בהעדת הסוכן, על כל הקשיים הכרוכים בכך – לזכותו של הנאשם.</w:t>
      </w:r>
    </w:p>
    <w:p w14:paraId="3CF15BDE" w14:textId="77777777" w:rsidR="00D729FC" w:rsidRDefault="00DE3A92">
      <w:pPr>
        <w:spacing w:after="120" w:line="360" w:lineRule="auto"/>
        <w:ind w:left="1440"/>
        <w:jc w:val="both"/>
        <w:rPr>
          <w:rFonts w:ascii="Tahoma" w:hAnsi="Tahoma"/>
          <w:rtl/>
        </w:rPr>
      </w:pPr>
      <w:r>
        <w:rPr>
          <w:rFonts w:ascii="Tahoma" w:hAnsi="Tahoma" w:hint="cs"/>
          <w:rtl/>
        </w:rPr>
        <w:t>בהקשר זה יש לקוות, כי הנאשם אמנם יעמוד בהצהרות שהצהיר בבית המשפט במסגרת דברו האחרון לעונש, ולא ישוב לעסוק בסמים מסוכנים אלא יתרכז בדאגה לאשתו ובגידול בנו הפעוט.</w:t>
      </w:r>
    </w:p>
    <w:p w14:paraId="125E2B8B" w14:textId="77777777" w:rsidR="00D729FC" w:rsidRDefault="00DE3A92">
      <w:pPr>
        <w:spacing w:after="120" w:line="360" w:lineRule="auto"/>
        <w:ind w:left="1440"/>
        <w:jc w:val="both"/>
        <w:rPr>
          <w:rFonts w:ascii="Tahoma" w:hAnsi="Tahoma"/>
          <w:rtl/>
        </w:rPr>
      </w:pPr>
      <w:r>
        <w:rPr>
          <w:rFonts w:ascii="Tahoma" w:hAnsi="Tahoma" w:hint="cs"/>
          <w:b/>
          <w:bCs/>
          <w:rtl/>
        </w:rPr>
        <w:t xml:space="preserve">נתוניו האישיים של הנאשם – </w:t>
      </w:r>
      <w:r>
        <w:rPr>
          <w:rFonts w:ascii="Tahoma" w:hAnsi="Tahoma" w:hint="cs"/>
          <w:rtl/>
        </w:rPr>
        <w:t>הנאשם הינו יליד שנת 1978, בן 36 שנים. נסיבותיו האישיות של הנאשם נסקרו לעיל, וכאן רק יוזכר כי הנאשם הינו כאמור אב לילד פעוט. עובדה אחרונה זו מלמדת על מידת הפגיעה בנאשם ובמשפחתו, אשר תיגרם עקב עונש המאסר, ונסיבה זו יש לשקלל לכף קולה.</w:t>
      </w:r>
    </w:p>
    <w:p w14:paraId="41B92972" w14:textId="77777777" w:rsidR="00D729FC" w:rsidRDefault="00D729FC">
      <w:pPr>
        <w:spacing w:after="120" w:line="360" w:lineRule="auto"/>
        <w:jc w:val="both"/>
        <w:rPr>
          <w:rFonts w:ascii="Tahoma" w:hAnsi="Tahoma"/>
          <w:rtl/>
        </w:rPr>
      </w:pPr>
    </w:p>
    <w:p w14:paraId="7777CBDC" w14:textId="77777777" w:rsidR="00D729FC" w:rsidRDefault="00DE3A92">
      <w:pPr>
        <w:spacing w:after="120" w:line="360" w:lineRule="auto"/>
        <w:jc w:val="both"/>
        <w:rPr>
          <w:rFonts w:ascii="Tahoma" w:hAnsi="Tahoma"/>
          <w:b/>
          <w:bCs/>
          <w:u w:val="single"/>
        </w:rPr>
      </w:pPr>
      <w:r>
        <w:rPr>
          <w:rFonts w:ascii="Tahoma" w:hAnsi="Tahoma" w:hint="cs"/>
          <w:b/>
          <w:bCs/>
          <w:rtl/>
        </w:rPr>
        <w:t>ו.</w:t>
      </w:r>
      <w:r>
        <w:rPr>
          <w:rFonts w:ascii="Tahoma" w:hAnsi="Tahoma" w:hint="cs"/>
          <w:b/>
          <w:bCs/>
          <w:rtl/>
        </w:rPr>
        <w:tab/>
      </w:r>
      <w:r>
        <w:rPr>
          <w:rFonts w:ascii="Tahoma" w:hAnsi="Tahoma" w:hint="cs"/>
          <w:b/>
          <w:bCs/>
          <w:u w:val="single"/>
          <w:rtl/>
        </w:rPr>
        <w:t>דיון והכרעה:</w:t>
      </w:r>
    </w:p>
    <w:p w14:paraId="49D4A1C5" w14:textId="77777777" w:rsidR="00D729FC" w:rsidRDefault="00DE3A92">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בנסיבות העניין, כפי שפורטו לעיל, יש לגזור את דינו של הנאשם לעונש כולל אחד, כאמור בהוראות </w:t>
      </w:r>
      <w:hyperlink r:id="rId29" w:history="1">
        <w:r w:rsidR="00284ABF" w:rsidRPr="00284ABF">
          <w:rPr>
            <w:rStyle w:val="Hyperlink"/>
            <w:rFonts w:ascii="Tahoma" w:hAnsi="Tahoma" w:hint="eastAsia"/>
            <w:rtl/>
          </w:rPr>
          <w:t>סעיף</w:t>
        </w:r>
        <w:r w:rsidR="00284ABF" w:rsidRPr="00284ABF">
          <w:rPr>
            <w:rStyle w:val="Hyperlink"/>
            <w:rFonts w:ascii="Tahoma" w:hAnsi="Tahoma"/>
            <w:rtl/>
          </w:rPr>
          <w:t xml:space="preserve"> 40יג(ב)</w:t>
        </w:r>
      </w:hyperlink>
      <w:r>
        <w:rPr>
          <w:rFonts w:ascii="Tahoma" w:hAnsi="Tahoma" w:hint="cs"/>
          <w:rtl/>
        </w:rPr>
        <w:t xml:space="preserve"> ל</w:t>
      </w:r>
      <w:hyperlink r:id="rId30" w:history="1">
        <w:r w:rsidRPr="00DE3A92">
          <w:rPr>
            <w:rFonts w:ascii="Tahoma" w:hAnsi="Tahoma"/>
            <w:color w:val="0000FF"/>
            <w:u w:val="single"/>
            <w:rtl/>
          </w:rPr>
          <w:t>חוק העונשין</w:t>
        </w:r>
      </w:hyperlink>
      <w:r>
        <w:rPr>
          <w:rFonts w:ascii="Tahoma" w:hAnsi="Tahoma" w:hint="cs"/>
          <w:rtl/>
        </w:rPr>
        <w:t>; הגם שיש לציין כי בהתחשב בהודאת הנאשם ובמכלול נסיבות העניין עקרונית יש לגזור את דינו של הנאשם בחציים התחתון של מתחמי העונש ההולמים. לא למותר לציין עוד כי, כמקובל, כאשר מדובר בריבוי אישומים אין מקום לנקוט בדרך של צבירה אריתמטית של העונשים בגין כל אישום ואישום.</w:t>
      </w:r>
    </w:p>
    <w:p w14:paraId="7D4EDD4D"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בנסיבות אלה – בהתחשב בשיקולים לכף חומרה ולכף קולה, אשר צוינו לעיל, כמו גם בעובדה שמדובר בשני אישומים שונים, וכן תוך התחשבות בענישה שהושתה על נאשמים אחרים באותה הפרשה – אני גוזר את דינו של הנאשם, ברכיב הענישה של מאסר בפועל, לעונש מאסר בפועל בן 17 חודשים.</w:t>
      </w:r>
    </w:p>
    <w:p w14:paraId="558CD1E6"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מדובר בעבירות של תיווך וסחר בסמים מסוכנים, בעבור בצע כסף. לפיכך יש לגזור על הנאשם גם ענישה כלכלית, חרף מצבו הכלכלי הקשה הנטען. בנוסף, כמקובל בכגון דא, יש לגזור על הנאשם גם עונשים נלווים של מאסר מותנה ופסילה בפועל ועל תנאי של רישיון הנהיגה.</w:t>
      </w:r>
    </w:p>
    <w:p w14:paraId="165D595F" w14:textId="77777777" w:rsidR="00D729FC" w:rsidRDefault="00DE3A92">
      <w:pPr>
        <w:numPr>
          <w:ilvl w:val="0"/>
          <w:numId w:val="1"/>
        </w:numPr>
        <w:tabs>
          <w:tab w:val="num" w:pos="720"/>
        </w:tabs>
        <w:spacing w:after="120" w:line="360" w:lineRule="auto"/>
        <w:ind w:left="720"/>
        <w:jc w:val="both"/>
        <w:rPr>
          <w:rFonts w:ascii="Tahoma" w:hAnsi="Tahoma"/>
        </w:rPr>
      </w:pPr>
      <w:r>
        <w:rPr>
          <w:rFonts w:ascii="Tahoma" w:hAnsi="Tahoma" w:hint="cs"/>
          <w:rtl/>
        </w:rPr>
        <w:t>אשר על כן ולאור כל המקובץ אני גוזר על הנאשם את העונשים הבאים:</w:t>
      </w:r>
    </w:p>
    <w:p w14:paraId="163A4BCF" w14:textId="77777777" w:rsidR="00D729FC" w:rsidRDefault="00DE3A92">
      <w:pPr>
        <w:spacing w:after="120" w:line="360" w:lineRule="auto"/>
        <w:ind w:left="1440" w:hanging="720"/>
        <w:jc w:val="both"/>
        <w:rPr>
          <w:rFonts w:ascii="Tahoma" w:hAnsi="Tahoma"/>
          <w:rtl/>
        </w:rPr>
      </w:pPr>
      <w:r>
        <w:rPr>
          <w:rFonts w:ascii="Tahoma" w:hAnsi="Tahoma" w:hint="cs"/>
          <w:rtl/>
        </w:rPr>
        <w:t>(א)</w:t>
      </w:r>
      <w:r>
        <w:rPr>
          <w:rFonts w:ascii="Tahoma" w:hAnsi="Tahoma" w:hint="cs"/>
          <w:rtl/>
        </w:rPr>
        <w:tab/>
        <w:t>17 חודשי מאסר לריצוי בפועל, החל מיום מעצרו (21.1.14).</w:t>
      </w:r>
    </w:p>
    <w:p w14:paraId="557B03D0" w14:textId="77777777" w:rsidR="00D729FC" w:rsidRDefault="00DE3A92">
      <w:pPr>
        <w:spacing w:after="120" w:line="360" w:lineRule="auto"/>
        <w:ind w:left="1440" w:hanging="720"/>
        <w:jc w:val="both"/>
        <w:rPr>
          <w:rFonts w:ascii="Tahoma" w:hAnsi="Tahoma"/>
        </w:rPr>
      </w:pPr>
      <w:r>
        <w:rPr>
          <w:rFonts w:ascii="Tahoma" w:hAnsi="Tahoma" w:hint="cs"/>
          <w:rtl/>
        </w:rPr>
        <w:t>(ב)</w:t>
      </w:r>
      <w:r>
        <w:rPr>
          <w:rFonts w:ascii="Tahoma" w:hAnsi="Tahoma" w:hint="cs"/>
          <w:rtl/>
        </w:rPr>
        <w:tab/>
        <w:t xml:space="preserve">מאסר על תנאי למשך 10 חודשים, אותו לא יישא הנאשם אלא אם כן יעבור, תוך שלוש שנים מיום שחרורו מן המאסר, עבירה על </w:t>
      </w:r>
      <w:hyperlink r:id="rId31" w:history="1">
        <w:r w:rsidRPr="00DE3A92">
          <w:rPr>
            <w:rFonts w:ascii="Tahoma" w:hAnsi="Tahoma"/>
            <w:color w:val="0000FF"/>
            <w:u w:val="single"/>
            <w:rtl/>
          </w:rPr>
          <w:t>פקודת הסמים המסוכנים</w:t>
        </w:r>
      </w:hyperlink>
      <w:r>
        <w:rPr>
          <w:rFonts w:ascii="Tahoma" w:hAnsi="Tahoma" w:hint="cs"/>
          <w:rtl/>
        </w:rPr>
        <w:t xml:space="preserve"> מסוג פשע. </w:t>
      </w:r>
    </w:p>
    <w:p w14:paraId="6B4E2491" w14:textId="77777777" w:rsidR="00D729FC" w:rsidRDefault="00DE3A92">
      <w:pPr>
        <w:spacing w:after="120" w:line="360" w:lineRule="auto"/>
        <w:ind w:left="1440" w:hanging="720"/>
        <w:jc w:val="both"/>
        <w:rPr>
          <w:rFonts w:ascii="Tahoma" w:hAnsi="Tahoma"/>
          <w:rtl/>
        </w:rPr>
      </w:pPr>
      <w:r>
        <w:rPr>
          <w:rFonts w:ascii="Tahoma" w:hAnsi="Tahoma" w:hint="cs"/>
          <w:rtl/>
        </w:rPr>
        <w:t>(ג)</w:t>
      </w:r>
      <w:r>
        <w:rPr>
          <w:rFonts w:ascii="Tahoma" w:hAnsi="Tahoma" w:hint="cs"/>
          <w:rtl/>
        </w:rPr>
        <w:tab/>
        <w:t>קנס בסך 10,000 ₪ או 100 ימי מאסר תמורתו.</w:t>
      </w:r>
    </w:p>
    <w:p w14:paraId="2FDDBEFF" w14:textId="77777777" w:rsidR="00D729FC" w:rsidRDefault="00DE3A92">
      <w:pPr>
        <w:spacing w:after="120" w:line="360" w:lineRule="auto"/>
        <w:ind w:left="1440"/>
        <w:jc w:val="both"/>
        <w:rPr>
          <w:rFonts w:ascii="Tahoma" w:hAnsi="Tahoma"/>
        </w:rPr>
      </w:pPr>
      <w:r>
        <w:rPr>
          <w:rFonts w:ascii="Tahoma" w:hAnsi="Tahoma" w:hint="cs"/>
          <w:rtl/>
        </w:rPr>
        <w:t>הקנס ישולם ב-10 תשלומים חודשיים שווים ורצופים, החל מיום 1.1.15</w:t>
      </w:r>
      <w:bookmarkStart w:id="5" w:name="_GoBack"/>
      <w:bookmarkEnd w:id="5"/>
      <w:r>
        <w:rPr>
          <w:rFonts w:ascii="Tahoma" w:hAnsi="Tahoma" w:hint="cs"/>
          <w:rtl/>
        </w:rPr>
        <w:t xml:space="preserve"> ובכל ראשון לחודש שלאחריו. היה והנאשם לא ישלם את אחד התשלומים במועד, תועמד כל יתרת הקנס לפירעון מידי.</w:t>
      </w:r>
    </w:p>
    <w:p w14:paraId="68F4FAE6" w14:textId="77777777" w:rsidR="00D729FC" w:rsidRDefault="00DE3A92">
      <w:pPr>
        <w:spacing w:after="120" w:line="360" w:lineRule="auto"/>
        <w:ind w:left="1440" w:hanging="720"/>
        <w:jc w:val="both"/>
        <w:rPr>
          <w:rFonts w:ascii="Tahoma" w:hAnsi="Tahoma"/>
        </w:rPr>
      </w:pPr>
      <w:r>
        <w:rPr>
          <w:rFonts w:ascii="Tahoma" w:hAnsi="Tahoma" w:hint="cs"/>
          <w:rtl/>
        </w:rPr>
        <w:t>(ד)</w:t>
      </w:r>
      <w:r>
        <w:rPr>
          <w:rFonts w:ascii="Tahoma" w:hAnsi="Tahoma" w:hint="cs"/>
          <w:rtl/>
        </w:rPr>
        <w:tab/>
        <w:t>פסילה מלקבל או מלהחזיק רישיון נהיגה לתקופה של 6 חודשים מיום שחרורו מן המאסר.</w:t>
      </w:r>
    </w:p>
    <w:p w14:paraId="194A4796" w14:textId="77777777" w:rsidR="00D729FC" w:rsidRDefault="00DE3A92">
      <w:pPr>
        <w:spacing w:after="120" w:line="360" w:lineRule="auto"/>
        <w:ind w:left="1440" w:hanging="720"/>
        <w:jc w:val="both"/>
        <w:rPr>
          <w:rFonts w:ascii="Tahoma" w:hAnsi="Tahoma"/>
        </w:rPr>
      </w:pPr>
      <w:r>
        <w:rPr>
          <w:rFonts w:ascii="Tahoma" w:hAnsi="Tahoma" w:hint="cs"/>
          <w:rtl/>
        </w:rPr>
        <w:t>(ה)</w:t>
      </w:r>
      <w:r>
        <w:rPr>
          <w:rFonts w:ascii="Tahoma" w:hAnsi="Tahoma" w:hint="cs"/>
          <w:rtl/>
        </w:rPr>
        <w:tab/>
        <w:t>פסילה מלקבל או להחזיק רישיון נהיגה למשך 6 חודשים על תנאי, והתנאי הוא שבמשך שנתיים מיום שחרורו מן המאסר לא יעבור הנאשם עבירה מהעבירות המנויות ב</w:t>
      </w:r>
      <w:hyperlink r:id="rId32" w:history="1">
        <w:r w:rsidRPr="00DE3A92">
          <w:rPr>
            <w:rFonts w:ascii="Tahoma" w:hAnsi="Tahoma"/>
            <w:color w:val="0000FF"/>
            <w:u w:val="single"/>
            <w:rtl/>
          </w:rPr>
          <w:t>פקודת הסמים המסוכנים</w:t>
        </w:r>
      </w:hyperlink>
      <w:r>
        <w:rPr>
          <w:rFonts w:ascii="Tahoma" w:hAnsi="Tahoma" w:hint="cs"/>
          <w:rtl/>
        </w:rPr>
        <w:t>.</w:t>
      </w:r>
    </w:p>
    <w:p w14:paraId="51A90CE6" w14:textId="77777777" w:rsidR="00D729FC" w:rsidRDefault="00DE3A92">
      <w:pPr>
        <w:spacing w:after="120" w:line="360" w:lineRule="auto"/>
        <w:ind w:left="1440" w:hanging="720"/>
        <w:jc w:val="both"/>
        <w:rPr>
          <w:rFonts w:ascii="Tahoma" w:hAnsi="Tahoma"/>
        </w:rPr>
      </w:pPr>
      <w:r>
        <w:rPr>
          <w:rFonts w:ascii="Tahoma" w:hAnsi="Tahoma" w:hint="cs"/>
          <w:rtl/>
        </w:rPr>
        <w:t>(ו)</w:t>
      </w:r>
      <w:r>
        <w:rPr>
          <w:rFonts w:ascii="Tahoma" w:hAnsi="Tahoma" w:hint="cs"/>
          <w:rtl/>
        </w:rPr>
        <w:tab/>
        <w:t>ניתן בזה צו כללי, לעניין מוצגים, לשיקול דעתו של קצין משטרה. הסמים יושמדו.</w:t>
      </w:r>
    </w:p>
    <w:p w14:paraId="5D60B15D" w14:textId="77777777" w:rsidR="00D729FC" w:rsidRDefault="00D729FC">
      <w:pPr>
        <w:spacing w:after="120" w:line="360" w:lineRule="auto"/>
        <w:jc w:val="both"/>
        <w:rPr>
          <w:rFonts w:ascii="Tahoma" w:hAnsi="Tahoma"/>
        </w:rPr>
      </w:pPr>
    </w:p>
    <w:p w14:paraId="61812682" w14:textId="77777777" w:rsidR="00D729FC" w:rsidRDefault="00DE3A92">
      <w:pPr>
        <w:spacing w:after="120" w:line="360" w:lineRule="auto"/>
        <w:jc w:val="both"/>
        <w:rPr>
          <w:rFonts w:ascii="Tahoma" w:hAnsi="Tahoma"/>
          <w:rtl/>
        </w:rPr>
      </w:pPr>
      <w:r>
        <w:rPr>
          <w:rFonts w:ascii="Tahoma" w:hAnsi="Tahoma" w:hint="cs"/>
          <w:rtl/>
        </w:rPr>
        <w:t>זכות ערעור בתוך 45 יום מהיום.</w:t>
      </w:r>
    </w:p>
    <w:p w14:paraId="32AF2E62" w14:textId="77777777" w:rsidR="00D729FC" w:rsidRDefault="00D729FC">
      <w:pPr>
        <w:rPr>
          <w:rtl/>
        </w:rPr>
      </w:pPr>
    </w:p>
    <w:p w14:paraId="05932153" w14:textId="77777777" w:rsidR="00D729FC" w:rsidRDefault="00D729FC">
      <w:pPr>
        <w:rPr>
          <w:rtl/>
        </w:rPr>
      </w:pPr>
    </w:p>
    <w:p w14:paraId="787217B5" w14:textId="77777777" w:rsidR="00D729FC" w:rsidRDefault="00DE3A92">
      <w:pPr>
        <w:spacing w:line="360" w:lineRule="auto"/>
        <w:jc w:val="both"/>
        <w:rPr>
          <w:rFonts w:ascii="Arial" w:hAnsi="Arial"/>
        </w:rPr>
      </w:pPr>
      <w:r w:rsidRPr="00DE3A92">
        <w:rPr>
          <w:rFonts w:ascii="Arial" w:hAnsi="Arial"/>
          <w:color w:val="FFFFFF"/>
          <w:sz w:val="2"/>
          <w:szCs w:val="2"/>
          <w:rtl/>
        </w:rPr>
        <w:t>5129371</w:t>
      </w:r>
      <w:r>
        <w:rPr>
          <w:rFonts w:ascii="Arial" w:hAnsi="Arial"/>
          <w:rtl/>
        </w:rPr>
        <w:t>ניתן ה</w:t>
      </w:r>
      <w:r>
        <w:rPr>
          <w:rFonts w:ascii="Arial" w:hAnsi="Arial" w:hint="eastAsia"/>
          <w:rtl/>
        </w:rPr>
        <w:t>‏יום</w:t>
      </w:r>
      <w:r>
        <w:rPr>
          <w:rFonts w:ascii="Arial" w:hAnsi="Arial" w:hint="cs"/>
          <w:rtl/>
        </w:rPr>
        <w:t>, יום</w:t>
      </w:r>
      <w:r>
        <w:rPr>
          <w:rFonts w:ascii="Arial" w:hAnsi="Arial" w:hint="eastAsia"/>
          <w:rtl/>
        </w:rPr>
        <w:t xml:space="preserve"> שני</w:t>
      </w:r>
      <w:r>
        <w:rPr>
          <w:rFonts w:ascii="Arial" w:hAnsi="Arial"/>
          <w:rtl/>
        </w:rPr>
        <w:t xml:space="preserve"> י"ב תשרי תשע"ה</w:t>
      </w:r>
      <w:r>
        <w:rPr>
          <w:rFonts w:ascii="Arial" w:hAnsi="Arial" w:hint="cs"/>
          <w:rtl/>
        </w:rPr>
        <w:t xml:space="preserve">, </w:t>
      </w:r>
      <w:r>
        <w:rPr>
          <w:rFonts w:ascii="Arial" w:hAnsi="Arial" w:hint="eastAsia"/>
          <w:rtl/>
        </w:rPr>
        <w:t>‏</w:t>
      </w:r>
      <w:r>
        <w:rPr>
          <w:rFonts w:ascii="Arial" w:hAnsi="Arial"/>
          <w:rtl/>
        </w:rPr>
        <w:t>06 אוקטובר 2014</w:t>
      </w:r>
      <w:r>
        <w:rPr>
          <w:rFonts w:ascii="Arial" w:hAnsi="Arial" w:hint="cs"/>
          <w:rtl/>
        </w:rPr>
        <w:t xml:space="preserve">, </w:t>
      </w:r>
      <w:r>
        <w:rPr>
          <w:rFonts w:ascii="Arial" w:hAnsi="Arial"/>
          <w:rtl/>
        </w:rPr>
        <w:t>ב</w:t>
      </w:r>
      <w:r>
        <w:rPr>
          <w:rFonts w:ascii="Arial" w:hAnsi="Arial" w:hint="cs"/>
          <w:rtl/>
        </w:rPr>
        <w:t>מעמד</w:t>
      </w:r>
      <w:r>
        <w:rPr>
          <w:rFonts w:ascii="Arial" w:hAnsi="Arial"/>
          <w:rtl/>
        </w:rPr>
        <w:t xml:space="preserve"> הצדדים.</w:t>
      </w:r>
    </w:p>
    <w:p w14:paraId="4C04818D" w14:textId="77777777" w:rsidR="00D729FC" w:rsidRPr="00DE3A92" w:rsidRDefault="00DE3A92">
      <w:pPr>
        <w:rPr>
          <w:rFonts w:cs="FrankRuehl"/>
          <w:color w:val="FFFFFF"/>
          <w:sz w:val="2"/>
          <w:szCs w:val="2"/>
          <w:rtl/>
        </w:rPr>
      </w:pPr>
      <w:r w:rsidRPr="00DE3A92">
        <w:rPr>
          <w:rFonts w:cs="FrankRuehl"/>
          <w:color w:val="FFFFFF"/>
          <w:sz w:val="2"/>
          <w:szCs w:val="2"/>
          <w:rtl/>
        </w:rPr>
        <w:t>54678313</w:t>
      </w:r>
    </w:p>
    <w:p w14:paraId="63EACF5E" w14:textId="77777777" w:rsidR="00D729FC" w:rsidRDefault="00DE3A9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2223E7D" w14:textId="77777777" w:rsidR="00D729FC" w:rsidRDefault="00D729FC">
      <w:pPr>
        <w:jc w:val="center"/>
        <w:rPr>
          <w:rFonts w:ascii="Arial" w:hAnsi="Arial" w:cs="FrankRuehl"/>
          <w:sz w:val="28"/>
          <w:szCs w:val="28"/>
          <w:rtl/>
        </w:rPr>
      </w:pPr>
    </w:p>
    <w:p w14:paraId="36C4061F" w14:textId="77777777" w:rsidR="00D729FC" w:rsidRDefault="00D729FC">
      <w:pPr>
        <w:rPr>
          <w:rFonts w:cs="FrankRuehl"/>
          <w:sz w:val="28"/>
          <w:szCs w:val="28"/>
          <w:rtl/>
        </w:rPr>
      </w:pPr>
    </w:p>
    <w:p w14:paraId="192B9C65" w14:textId="77777777" w:rsidR="00D729FC" w:rsidRDefault="00D729FC">
      <w:pPr>
        <w:pStyle w:val="a3"/>
        <w:jc w:val="center"/>
        <w:rPr>
          <w:rtl/>
        </w:rPr>
      </w:pPr>
    </w:p>
    <w:p w14:paraId="391B8CF5" w14:textId="77777777" w:rsidR="00DE3A92" w:rsidRPr="00DE3A92" w:rsidRDefault="00DE3A92" w:rsidP="00DE3A92">
      <w:pPr>
        <w:keepNext/>
        <w:rPr>
          <w:rFonts w:ascii="David" w:hAnsi="David"/>
          <w:color w:val="000000"/>
          <w:sz w:val="22"/>
          <w:szCs w:val="22"/>
          <w:rtl/>
        </w:rPr>
      </w:pPr>
    </w:p>
    <w:p w14:paraId="70FB6AAB" w14:textId="77777777" w:rsidR="00DE3A92" w:rsidRPr="00DE3A92" w:rsidRDefault="00DE3A92" w:rsidP="00DE3A92">
      <w:pPr>
        <w:keepNext/>
        <w:rPr>
          <w:rFonts w:ascii="David" w:hAnsi="David"/>
          <w:color w:val="000000"/>
          <w:sz w:val="22"/>
          <w:szCs w:val="22"/>
          <w:rtl/>
        </w:rPr>
      </w:pPr>
      <w:r w:rsidRPr="00DE3A92">
        <w:rPr>
          <w:rFonts w:ascii="David" w:hAnsi="David"/>
          <w:color w:val="000000"/>
          <w:sz w:val="22"/>
          <w:szCs w:val="22"/>
          <w:rtl/>
        </w:rPr>
        <w:t>ד"ר שאול אבינור 54678313</w:t>
      </w:r>
    </w:p>
    <w:p w14:paraId="78380FE3" w14:textId="77777777" w:rsidR="00DE3A92" w:rsidRDefault="00DE3A92" w:rsidP="00DE3A92">
      <w:r w:rsidRPr="00DE3A92">
        <w:rPr>
          <w:color w:val="000000"/>
          <w:rtl/>
        </w:rPr>
        <w:t>נוסח מסמך זה כפוף לשינויי ניסוח ועריכה</w:t>
      </w:r>
    </w:p>
    <w:p w14:paraId="19C67BB7" w14:textId="77777777" w:rsidR="00DE3A92" w:rsidRDefault="00DE3A92" w:rsidP="00DE3A92">
      <w:pPr>
        <w:rPr>
          <w:rtl/>
        </w:rPr>
      </w:pPr>
    </w:p>
    <w:p w14:paraId="6E84E5E2" w14:textId="77777777" w:rsidR="00DE3A92" w:rsidRDefault="00DE3A92" w:rsidP="00DE3A92">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7B73F719" w14:textId="77777777" w:rsidR="00D729FC" w:rsidRPr="00DE3A92" w:rsidRDefault="00D729FC" w:rsidP="00DE3A92">
      <w:pPr>
        <w:jc w:val="center"/>
        <w:rPr>
          <w:color w:val="0000FF"/>
          <w:u w:val="single"/>
        </w:rPr>
      </w:pPr>
    </w:p>
    <w:sectPr w:rsidR="00D729FC" w:rsidRPr="00DE3A92" w:rsidSect="00DE3A92">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04C57" w14:textId="77777777" w:rsidR="00C4193A" w:rsidRPr="00A56236" w:rsidRDefault="00C4193A">
      <w:pPr>
        <w:rPr>
          <w:rFonts w:cs="Arial"/>
          <w:szCs w:val="20"/>
        </w:rPr>
      </w:pPr>
      <w:r>
        <w:separator/>
      </w:r>
    </w:p>
  </w:endnote>
  <w:endnote w:type="continuationSeparator" w:id="0">
    <w:p w14:paraId="00EF03F0" w14:textId="77777777" w:rsidR="00C4193A" w:rsidRPr="00A56236" w:rsidRDefault="00C4193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4A381" w14:textId="77777777" w:rsidR="00DE3A92" w:rsidRDefault="00DE3A92" w:rsidP="00DE3A9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8E14FAC" w14:textId="77777777" w:rsidR="00D729FC" w:rsidRPr="00DE3A92" w:rsidRDefault="00DE3A92" w:rsidP="00DE3A92">
    <w:pPr>
      <w:pStyle w:val="a4"/>
      <w:pBdr>
        <w:top w:val="single" w:sz="4" w:space="1" w:color="auto"/>
        <w:between w:val="single" w:sz="4" w:space="0" w:color="auto"/>
      </w:pBdr>
      <w:spacing w:after="60"/>
      <w:jc w:val="center"/>
      <w:rPr>
        <w:rFonts w:ascii="FrankRuehl" w:hAnsi="FrankRuehl" w:cs="FrankRuehl"/>
        <w:color w:val="000000"/>
      </w:rPr>
    </w:pPr>
    <w:r w:rsidRPr="00DE3A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1AF59" w14:textId="77777777" w:rsidR="00DE3A92" w:rsidRDefault="00DE3A92" w:rsidP="00DE3A9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70A2">
      <w:rPr>
        <w:rFonts w:ascii="FrankRuehl" w:hAnsi="FrankRuehl" w:cs="FrankRuehl"/>
        <w:noProof/>
        <w:rtl/>
      </w:rPr>
      <w:t>1</w:t>
    </w:r>
    <w:r>
      <w:rPr>
        <w:rFonts w:ascii="FrankRuehl" w:hAnsi="FrankRuehl" w:cs="FrankRuehl"/>
        <w:rtl/>
      </w:rPr>
      <w:fldChar w:fldCharType="end"/>
    </w:r>
  </w:p>
  <w:p w14:paraId="73C0BC80" w14:textId="77777777" w:rsidR="00D729FC" w:rsidRPr="00DE3A92" w:rsidRDefault="00DE3A92" w:rsidP="00DE3A92">
    <w:pPr>
      <w:pStyle w:val="a4"/>
      <w:pBdr>
        <w:top w:val="single" w:sz="4" w:space="1" w:color="auto"/>
        <w:between w:val="single" w:sz="4" w:space="0" w:color="auto"/>
      </w:pBdr>
      <w:spacing w:after="60"/>
      <w:jc w:val="center"/>
      <w:rPr>
        <w:rFonts w:ascii="FrankRuehl" w:hAnsi="FrankRuehl" w:cs="FrankRuehl"/>
        <w:color w:val="000000"/>
      </w:rPr>
    </w:pPr>
    <w:r w:rsidRPr="00DE3A92">
      <w:rPr>
        <w:rFonts w:ascii="FrankRuehl" w:hAnsi="FrankRuehl" w:cs="FrankRuehl"/>
        <w:color w:val="000000"/>
      </w:rPr>
      <w:pict w14:anchorId="792A6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B8C82" w14:textId="77777777" w:rsidR="00C4193A" w:rsidRPr="00A56236" w:rsidRDefault="00C4193A">
      <w:pPr>
        <w:rPr>
          <w:rFonts w:cs="Arial"/>
          <w:szCs w:val="20"/>
        </w:rPr>
      </w:pPr>
      <w:r>
        <w:separator/>
      </w:r>
    </w:p>
  </w:footnote>
  <w:footnote w:type="continuationSeparator" w:id="0">
    <w:p w14:paraId="0E53DD16" w14:textId="77777777" w:rsidR="00C4193A" w:rsidRPr="00A56236" w:rsidRDefault="00C4193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834A5" w14:textId="77777777" w:rsidR="00DE3A92" w:rsidRPr="00DE3A92" w:rsidRDefault="00DE3A92" w:rsidP="00DE3A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59586-01-14</w:t>
    </w:r>
    <w:r>
      <w:rPr>
        <w:rFonts w:ascii="David" w:hAnsi="David"/>
        <w:color w:val="000000"/>
        <w:sz w:val="22"/>
        <w:szCs w:val="22"/>
        <w:rtl/>
      </w:rPr>
      <w:tab/>
      <w:t xml:space="preserve"> מדינת ישראל נ' אברהם קקון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34EE6" w14:textId="77777777" w:rsidR="00DE3A92" w:rsidRPr="00DE3A92" w:rsidRDefault="00DE3A92" w:rsidP="00DE3A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59586-01-14</w:t>
    </w:r>
    <w:r>
      <w:rPr>
        <w:rFonts w:ascii="David" w:hAnsi="David"/>
        <w:color w:val="000000"/>
        <w:sz w:val="22"/>
        <w:szCs w:val="22"/>
        <w:rtl/>
      </w:rPr>
      <w:tab/>
      <w:t xml:space="preserve"> מדינת ישראל נ' אברהם קקון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B3F8CF30"/>
    <w:lvl w:ilvl="0" w:tplc="1E087016">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63252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729FC"/>
    <w:rsid w:val="00284ABF"/>
    <w:rsid w:val="004470A2"/>
    <w:rsid w:val="008D38F5"/>
    <w:rsid w:val="00B85EBE"/>
    <w:rsid w:val="00BA2C67"/>
    <w:rsid w:val="00C4193A"/>
    <w:rsid w:val="00D729FC"/>
    <w:rsid w:val="00DE3A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1CC0258"/>
  <w15:chartTrackingRefBased/>
  <w15:docId w15:val="{496AB065-321F-40C0-81DB-A6B97A95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29F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729FC"/>
    <w:pPr>
      <w:tabs>
        <w:tab w:val="center" w:pos="4153"/>
        <w:tab w:val="right" w:pos="8306"/>
      </w:tabs>
    </w:pPr>
  </w:style>
  <w:style w:type="paragraph" w:styleId="a4">
    <w:name w:val="footer"/>
    <w:basedOn w:val="a"/>
    <w:rsid w:val="00D729FC"/>
    <w:pPr>
      <w:tabs>
        <w:tab w:val="center" w:pos="4153"/>
        <w:tab w:val="right" w:pos="8306"/>
      </w:tabs>
    </w:pPr>
  </w:style>
  <w:style w:type="character" w:styleId="a5">
    <w:name w:val="page number"/>
    <w:basedOn w:val="a0"/>
    <w:rsid w:val="00D729FC"/>
  </w:style>
  <w:style w:type="character" w:styleId="Hyperlink">
    <w:name w:val="Hyperlink"/>
    <w:basedOn w:val="a0"/>
    <w:rsid w:val="00DE3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c.b" TargetMode="External"/><Relationship Id="rId39" Type="http://schemas.openxmlformats.org/officeDocument/2006/relationships/theme" Target="theme/theme1.xml"/><Relationship Id="rId21" Type="http://schemas.openxmlformats.org/officeDocument/2006/relationships/hyperlink" Target="http://www.nevo.co.il/case/11280513"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law/4216/14" TargetMode="External"/><Relationship Id="rId25" Type="http://schemas.openxmlformats.org/officeDocument/2006/relationships/hyperlink" Target="http://www.nevo.co.il/law/70301/40i"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jc.b" TargetMode="External"/><Relationship Id="rId20" Type="http://schemas.openxmlformats.org/officeDocument/2006/relationships/hyperlink" Target="http://www.nevo.co.il/law/4216/7.a" TargetMode="External"/><Relationship Id="rId29" Type="http://schemas.openxmlformats.org/officeDocument/2006/relationships/hyperlink" Target="http://www.nevo.co.il/law/70301/40jc.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law/70301/40ja" TargetMode="External"/><Relationship Id="rId36" Type="http://schemas.openxmlformats.org/officeDocument/2006/relationships/footer" Target="footer1.xml"/><Relationship Id="rId10" Type="http://schemas.openxmlformats.org/officeDocument/2006/relationships/hyperlink" Target="http://www.nevo.co.il/law/4216/14"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11277727"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2168</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12984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6553637</vt:i4>
      </vt:variant>
      <vt:variant>
        <vt:i4>66</vt:i4>
      </vt:variant>
      <vt:variant>
        <vt:i4>0</vt:i4>
      </vt:variant>
      <vt:variant>
        <vt:i4>5</vt:i4>
      </vt:variant>
      <vt:variant>
        <vt:lpwstr>http://www.nevo.co.il/law/70301/40jc.b</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http://www.nevo.co.il/law/70301/40c.b</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3539061</vt:i4>
      </vt:variant>
      <vt:variant>
        <vt:i4>45</vt:i4>
      </vt:variant>
      <vt:variant>
        <vt:i4>0</vt:i4>
      </vt:variant>
      <vt:variant>
        <vt:i4>5</vt:i4>
      </vt:variant>
      <vt:variant>
        <vt:lpwstr>http://www.nevo.co.il/case/11277727</vt:lpwstr>
      </vt:variant>
      <vt:variant>
        <vt:lpwstr/>
      </vt:variant>
      <vt:variant>
        <vt:i4>3276920</vt:i4>
      </vt:variant>
      <vt:variant>
        <vt:i4>42</vt:i4>
      </vt:variant>
      <vt:variant>
        <vt:i4>0</vt:i4>
      </vt:variant>
      <vt:variant>
        <vt:i4>5</vt:i4>
      </vt:variant>
      <vt:variant>
        <vt:lpwstr>http://www.nevo.co.il/case/11280513</vt:lpwstr>
      </vt:variant>
      <vt:variant>
        <vt:lpwstr/>
      </vt:variant>
      <vt:variant>
        <vt:i4>2621540</vt:i4>
      </vt:variant>
      <vt:variant>
        <vt:i4>39</vt:i4>
      </vt:variant>
      <vt:variant>
        <vt:i4>0</vt:i4>
      </vt:variant>
      <vt:variant>
        <vt:i4>5</vt:i4>
      </vt:variant>
      <vt:variant>
        <vt:lpwstr>http://www.nevo.co.il/law/4216/7.a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http://www.nevo.co.il/law/4216/14</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http://www.nevo.co.il/law/4216/14</vt:lpwstr>
      </vt:variant>
      <vt:variant>
        <vt:lpwstr/>
      </vt:variant>
      <vt:variant>
        <vt:i4>5177418</vt:i4>
      </vt:variant>
      <vt:variant>
        <vt:i4>6</vt:i4>
      </vt:variant>
      <vt:variant>
        <vt:i4>0</vt:i4>
      </vt:variant>
      <vt:variant>
        <vt:i4>5</vt:i4>
      </vt:variant>
      <vt:variant>
        <vt:lpwstr>http://www.nevo.co.il/law/4216/13</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2025-04-22T22:14:00Z</dcterms:created>
  <dcterms:modified xsi:type="dcterms:W3CDTF">2025-04-22T22:14:00Z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59586</vt:lpwstr>
  </property>
  <property fmtid="{D5CDD505-2E9C-101B-9397-08002B2CF9AE}" pid="6" name="NEWPARTB">
    <vt:lpwstr>01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אברהם קקון</vt:lpwstr>
  </property>
  <property fmtid="{D5CDD505-2E9C-101B-9397-08002B2CF9AE}" pid="10" name="JUDGE">
    <vt:lpwstr>שאול אבינור</vt:lpwstr>
  </property>
  <property fmtid="{D5CDD505-2E9C-101B-9397-08002B2CF9AE}" pid="11" name="CITY">
    <vt:lpwstr>ת"א</vt:lpwstr>
  </property>
  <property fmtid="{D5CDD505-2E9C-101B-9397-08002B2CF9AE}" pid="12" name="DATE">
    <vt:lpwstr>20141006</vt:lpwstr>
  </property>
  <property fmtid="{D5CDD505-2E9C-101B-9397-08002B2CF9AE}" pid="13" name="TYPE_N_DATE">
    <vt:lpwstr>38020141006</vt:lpwstr>
  </property>
  <property fmtid="{D5CDD505-2E9C-101B-9397-08002B2CF9AE}" pid="14" name="CASESLISTTMP1">
    <vt:lpwstr>11280513;11277727</vt:lpwstr>
  </property>
  <property fmtid="{D5CDD505-2E9C-101B-9397-08002B2CF9AE}" pid="15" name="WORDNUMPAGES">
    <vt:lpwstr>7</vt:lpwstr>
  </property>
  <property fmtid="{D5CDD505-2E9C-101B-9397-08002B2CF9AE}" pid="16" name="TYPE_ABS_DATE">
    <vt:lpwstr>380020141006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4216/014;013;007.a</vt:lpwstr>
  </property>
  <property fmtid="{D5CDD505-2E9C-101B-9397-08002B2CF9AE}" pid="36" name="LAWLISTTMP2">
    <vt:lpwstr>70301/040c.a;040i;040c.b;40ja;40jc.b</vt:lpwstr>
  </property>
</Properties>
</file>