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45D73" w:rsidRPr="001970EF" w14:paraId="3EFCE0E8" w14:textId="77777777">
        <w:trPr>
          <w:trHeight w:hRule="exact" w:val="418"/>
          <w:jc w:val="center"/>
        </w:trPr>
        <w:tc>
          <w:tcPr>
            <w:tcW w:w="8720" w:type="dxa"/>
            <w:gridSpan w:val="3"/>
          </w:tcPr>
          <w:p w14:paraId="4B70BC84" w14:textId="77777777" w:rsidR="00445D73" w:rsidRPr="001970EF" w:rsidRDefault="001970EF">
            <w:pPr>
              <w:pStyle w:val="a5"/>
              <w:tabs>
                <w:tab w:val="clear" w:pos="8306"/>
              </w:tabs>
              <w:jc w:val="center"/>
              <w:rPr>
                <w:rFonts w:ascii="Tahoma" w:hAnsi="Tahoma" w:cs="Tahoma"/>
                <w:b/>
                <w:bCs/>
                <w:color w:val="000080"/>
                <w:sz w:val="20"/>
                <w:szCs w:val="20"/>
                <w:rtl/>
              </w:rPr>
            </w:pPr>
            <w:bookmarkStart w:id="0" w:name="LastJudge"/>
            <w:r w:rsidRPr="001970EF">
              <w:rPr>
                <w:rFonts w:ascii="Tahoma" w:hAnsi="Tahoma" w:cs="Tahoma"/>
                <w:b/>
                <w:bCs/>
                <w:color w:val="000080"/>
                <w:sz w:val="20"/>
                <w:szCs w:val="20"/>
                <w:rtl/>
              </w:rPr>
              <w:t>בית משפט השלום בנתניה</w:t>
            </w:r>
          </w:p>
        </w:tc>
      </w:tr>
      <w:tr w:rsidR="00445D73" w:rsidRPr="001970EF" w14:paraId="726A3A1A" w14:textId="77777777">
        <w:trPr>
          <w:trHeight w:val="337"/>
          <w:jc w:val="center"/>
        </w:trPr>
        <w:tc>
          <w:tcPr>
            <w:tcW w:w="6396" w:type="dxa"/>
          </w:tcPr>
          <w:p w14:paraId="064CECAA" w14:textId="77777777" w:rsidR="00445D73" w:rsidRPr="001970EF" w:rsidRDefault="001970EF">
            <w:pPr>
              <w:rPr>
                <w:b/>
                <w:bCs/>
                <w:sz w:val="26"/>
                <w:szCs w:val="26"/>
                <w:rtl/>
              </w:rPr>
            </w:pPr>
            <w:r w:rsidRPr="001970EF">
              <w:rPr>
                <w:b/>
                <w:bCs/>
                <w:sz w:val="26"/>
                <w:szCs w:val="26"/>
                <w:rtl/>
              </w:rPr>
              <w:t>ת"פ</w:t>
            </w:r>
            <w:r w:rsidRPr="001970EF">
              <w:rPr>
                <w:rFonts w:hint="cs"/>
                <w:b/>
                <w:bCs/>
                <w:sz w:val="26"/>
                <w:szCs w:val="26"/>
                <w:rtl/>
              </w:rPr>
              <w:t xml:space="preserve"> </w:t>
            </w:r>
            <w:r w:rsidRPr="001970EF">
              <w:rPr>
                <w:b/>
                <w:bCs/>
                <w:sz w:val="26"/>
                <w:szCs w:val="26"/>
                <w:rtl/>
              </w:rPr>
              <w:t>60914-01-14</w:t>
            </w:r>
            <w:r w:rsidRPr="001970EF">
              <w:rPr>
                <w:rFonts w:hint="cs"/>
                <w:b/>
                <w:bCs/>
                <w:sz w:val="26"/>
                <w:szCs w:val="26"/>
                <w:rtl/>
              </w:rPr>
              <w:t xml:space="preserve"> </w:t>
            </w:r>
            <w:r w:rsidRPr="001970EF">
              <w:rPr>
                <w:b/>
                <w:bCs/>
                <w:sz w:val="26"/>
                <w:szCs w:val="26"/>
                <w:rtl/>
              </w:rPr>
              <w:t>מדינת ישראל נ' מלקדזה</w:t>
            </w:r>
          </w:p>
          <w:p w14:paraId="501FFB11" w14:textId="77777777" w:rsidR="00445D73" w:rsidRPr="001970EF" w:rsidRDefault="00445D73">
            <w:pPr>
              <w:rPr>
                <w:b/>
                <w:bCs/>
                <w:sz w:val="26"/>
                <w:szCs w:val="26"/>
                <w:rtl/>
              </w:rPr>
            </w:pPr>
          </w:p>
        </w:tc>
        <w:tc>
          <w:tcPr>
            <w:tcW w:w="236" w:type="dxa"/>
          </w:tcPr>
          <w:p w14:paraId="75EF95B0" w14:textId="77777777" w:rsidR="00445D73" w:rsidRPr="001970EF" w:rsidRDefault="00445D73">
            <w:pPr>
              <w:pStyle w:val="a5"/>
              <w:jc w:val="right"/>
              <w:rPr>
                <w:b/>
                <w:bCs/>
                <w:sz w:val="26"/>
                <w:szCs w:val="26"/>
                <w:rtl/>
              </w:rPr>
            </w:pPr>
          </w:p>
        </w:tc>
        <w:tc>
          <w:tcPr>
            <w:tcW w:w="2088" w:type="dxa"/>
          </w:tcPr>
          <w:p w14:paraId="034E6AF7" w14:textId="77777777" w:rsidR="00445D73" w:rsidRPr="001970EF" w:rsidRDefault="001970EF">
            <w:pPr>
              <w:pStyle w:val="a5"/>
              <w:tabs>
                <w:tab w:val="clear" w:pos="4153"/>
              </w:tabs>
              <w:jc w:val="right"/>
              <w:rPr>
                <w:b/>
                <w:bCs/>
                <w:sz w:val="26"/>
                <w:szCs w:val="26"/>
                <w:rtl/>
              </w:rPr>
            </w:pPr>
            <w:r w:rsidRPr="001970EF">
              <w:rPr>
                <w:b/>
                <w:bCs/>
                <w:sz w:val="26"/>
                <w:szCs w:val="26"/>
                <w:rtl/>
              </w:rPr>
              <w:t>09 מאי 2016</w:t>
            </w:r>
          </w:p>
        </w:tc>
      </w:tr>
    </w:tbl>
    <w:p w14:paraId="7043F660" w14:textId="77777777" w:rsidR="00445D73" w:rsidRPr="001970EF" w:rsidRDefault="00445D73">
      <w:pPr>
        <w:pStyle w:val="a5"/>
        <w:jc w:val="center"/>
        <w:rPr>
          <w:rFonts w:ascii="Tahoma" w:hAnsi="Tahoma" w:cs="Tahoma"/>
          <w:b/>
          <w:bCs/>
          <w:color w:val="000080"/>
          <w:sz w:val="20"/>
          <w:szCs w:val="20"/>
          <w:rtl/>
        </w:rPr>
      </w:pPr>
    </w:p>
    <w:p w14:paraId="7A4FA640" w14:textId="77777777" w:rsidR="00445D73" w:rsidRPr="001970EF" w:rsidRDefault="00445D7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445D73" w:rsidRPr="001970EF" w14:paraId="7B75B4A9" w14:textId="77777777">
        <w:trPr>
          <w:gridAfter w:val="1"/>
          <w:wAfter w:w="56" w:type="dxa"/>
        </w:trPr>
        <w:tc>
          <w:tcPr>
            <w:tcW w:w="8718" w:type="dxa"/>
            <w:gridSpan w:val="2"/>
            <w:shd w:val="clear" w:color="auto" w:fill="auto"/>
          </w:tcPr>
          <w:p w14:paraId="5CA9DC4F" w14:textId="77777777" w:rsidR="00445D73" w:rsidRPr="001970EF" w:rsidRDefault="001970EF">
            <w:pPr>
              <w:rPr>
                <w:rFonts w:ascii="Times New Roman" w:eastAsia="Times New Roman" w:hAnsi="Times New Roman"/>
                <w:b/>
                <w:bCs/>
                <w:sz w:val="26"/>
                <w:szCs w:val="26"/>
                <w:rtl/>
              </w:rPr>
            </w:pPr>
            <w:r w:rsidRPr="001970EF">
              <w:rPr>
                <w:rFonts w:ascii="Times New Roman" w:eastAsia="Times New Roman" w:hAnsi="Times New Roman" w:hint="cs"/>
                <w:b/>
                <w:bCs/>
                <w:sz w:val="26"/>
                <w:szCs w:val="26"/>
                <w:rtl/>
              </w:rPr>
              <w:t>לפני כבוד ה</w:t>
            </w:r>
            <w:r w:rsidRPr="001970EF">
              <w:rPr>
                <w:rFonts w:ascii="Times New Roman" w:eastAsia="Times New Roman" w:hAnsi="Times New Roman" w:hint="cs"/>
                <w:rtl/>
              </w:rPr>
              <w:t>שופטת הדס רוזנברג שיינרט</w:t>
            </w:r>
            <w:r w:rsidRPr="001970EF">
              <w:rPr>
                <w:rStyle w:val="TimesNewRomanTimesNewRoman"/>
                <w:rFonts w:eastAsia="Times New Roman"/>
                <w:rtl/>
              </w:rPr>
              <w:t xml:space="preserve"> </w:t>
            </w:r>
          </w:p>
        </w:tc>
      </w:tr>
      <w:tr w:rsidR="00445D73" w:rsidRPr="001970EF" w14:paraId="689773A8" w14:textId="77777777">
        <w:trPr>
          <w:cantSplit/>
          <w:trHeight w:val="724"/>
        </w:trPr>
        <w:tc>
          <w:tcPr>
            <w:tcW w:w="2880" w:type="dxa"/>
            <w:shd w:val="clear" w:color="auto" w:fill="auto"/>
          </w:tcPr>
          <w:p w14:paraId="6DA0C229" w14:textId="77777777" w:rsidR="00445D73" w:rsidRPr="001970EF" w:rsidRDefault="00445D73">
            <w:pPr>
              <w:ind w:left="26"/>
              <w:rPr>
                <w:rFonts w:ascii="Times New Roman" w:eastAsia="Times New Roman" w:hAnsi="Times New Roman"/>
                <w:b/>
                <w:bCs/>
                <w:sz w:val="26"/>
                <w:szCs w:val="26"/>
                <w:rtl/>
              </w:rPr>
            </w:pPr>
            <w:bookmarkStart w:id="1" w:name="FirstAppellant"/>
          </w:p>
          <w:p w14:paraId="4B458805" w14:textId="77777777" w:rsidR="00445D73" w:rsidRPr="001970EF" w:rsidRDefault="001970EF">
            <w:pPr>
              <w:ind w:left="26"/>
              <w:rPr>
                <w:rFonts w:ascii="Times New Roman" w:eastAsia="Times New Roman" w:hAnsi="Times New Roman"/>
                <w:b/>
                <w:bCs/>
                <w:sz w:val="26"/>
                <w:szCs w:val="26"/>
                <w:rtl/>
              </w:rPr>
            </w:pPr>
            <w:r w:rsidRPr="001970EF">
              <w:rPr>
                <w:rFonts w:ascii="Times New Roman" w:eastAsia="Times New Roman" w:hAnsi="Times New Roman" w:hint="cs"/>
                <w:b/>
                <w:bCs/>
                <w:sz w:val="26"/>
                <w:szCs w:val="26"/>
                <w:rtl/>
              </w:rPr>
              <w:t>המאשימה</w:t>
            </w:r>
          </w:p>
        </w:tc>
        <w:tc>
          <w:tcPr>
            <w:tcW w:w="5922" w:type="dxa"/>
            <w:gridSpan w:val="2"/>
            <w:shd w:val="clear" w:color="auto" w:fill="auto"/>
          </w:tcPr>
          <w:p w14:paraId="457FFBA9" w14:textId="77777777" w:rsidR="00445D73" w:rsidRPr="001970EF" w:rsidRDefault="00445D73">
            <w:pPr>
              <w:rPr>
                <w:rFonts w:ascii="Times New Roman" w:eastAsia="Times New Roman" w:hAnsi="Times New Roman" w:cs="Times New Roman"/>
                <w:rtl/>
              </w:rPr>
            </w:pPr>
          </w:p>
          <w:p w14:paraId="59E6660C" w14:textId="77777777" w:rsidR="00445D73" w:rsidRPr="001970EF" w:rsidRDefault="001970EF">
            <w:pPr>
              <w:rPr>
                <w:rFonts w:ascii="Times New Roman" w:eastAsia="Times New Roman" w:hAnsi="Times New Roman"/>
                <w:b/>
                <w:bCs/>
                <w:sz w:val="26"/>
                <w:szCs w:val="26"/>
                <w:rtl/>
              </w:rPr>
            </w:pPr>
            <w:r w:rsidRPr="001970EF">
              <w:rPr>
                <w:rFonts w:ascii="Times New Roman" w:eastAsia="Times New Roman" w:hAnsi="Times New Roman" w:cs="Times New Roman" w:hint="cs"/>
                <w:rtl/>
              </w:rPr>
              <w:t xml:space="preserve"> </w:t>
            </w:r>
            <w:r w:rsidRPr="001970EF">
              <w:rPr>
                <w:rFonts w:ascii="Times New Roman" w:eastAsia="Times New Roman" w:hAnsi="Times New Roman" w:hint="cs"/>
                <w:rtl/>
              </w:rPr>
              <w:t>מדינת ישראל</w:t>
            </w:r>
          </w:p>
          <w:p w14:paraId="76E5CA86" w14:textId="77777777" w:rsidR="00445D73" w:rsidRPr="001970EF" w:rsidRDefault="00445D73">
            <w:pPr>
              <w:rPr>
                <w:rFonts w:ascii="Times New Roman" w:eastAsia="Times New Roman" w:hAnsi="Times New Roman"/>
                <w:b/>
                <w:bCs/>
                <w:sz w:val="26"/>
                <w:szCs w:val="26"/>
                <w:rtl/>
              </w:rPr>
            </w:pPr>
          </w:p>
        </w:tc>
      </w:tr>
      <w:bookmarkEnd w:id="1"/>
      <w:tr w:rsidR="00445D73" w:rsidRPr="001970EF" w14:paraId="550D1E56" w14:textId="77777777">
        <w:tc>
          <w:tcPr>
            <w:tcW w:w="8802" w:type="dxa"/>
            <w:gridSpan w:val="3"/>
            <w:shd w:val="clear" w:color="auto" w:fill="auto"/>
            <w:vAlign w:val="center"/>
          </w:tcPr>
          <w:p w14:paraId="153CF356" w14:textId="77777777" w:rsidR="00445D73" w:rsidRPr="001970EF" w:rsidRDefault="00445D73">
            <w:pPr>
              <w:jc w:val="center"/>
              <w:rPr>
                <w:rFonts w:ascii="Arial" w:eastAsia="Times New Roman" w:hAnsi="Arial"/>
                <w:b/>
                <w:bCs/>
                <w:sz w:val="26"/>
                <w:szCs w:val="26"/>
                <w:rtl/>
              </w:rPr>
            </w:pPr>
          </w:p>
          <w:p w14:paraId="5E4FF505" w14:textId="77777777" w:rsidR="00445D73" w:rsidRPr="001970EF" w:rsidRDefault="001970EF">
            <w:pPr>
              <w:jc w:val="center"/>
              <w:rPr>
                <w:rFonts w:ascii="Arial" w:eastAsia="Times New Roman" w:hAnsi="Arial"/>
                <w:b/>
                <w:bCs/>
                <w:sz w:val="26"/>
                <w:szCs w:val="26"/>
                <w:rtl/>
              </w:rPr>
            </w:pPr>
            <w:r w:rsidRPr="001970EF">
              <w:rPr>
                <w:rFonts w:ascii="Arial" w:eastAsia="Times New Roman" w:hAnsi="Arial"/>
                <w:b/>
                <w:bCs/>
                <w:sz w:val="26"/>
                <w:szCs w:val="26"/>
                <w:rtl/>
              </w:rPr>
              <w:t>נגד</w:t>
            </w:r>
          </w:p>
          <w:p w14:paraId="3C77A54C" w14:textId="77777777" w:rsidR="00445D73" w:rsidRPr="001970EF" w:rsidRDefault="00445D73">
            <w:pPr>
              <w:rPr>
                <w:rFonts w:ascii="Arial" w:eastAsia="Times New Roman" w:hAnsi="Arial"/>
                <w:b/>
                <w:bCs/>
                <w:sz w:val="26"/>
                <w:szCs w:val="26"/>
              </w:rPr>
            </w:pPr>
          </w:p>
        </w:tc>
      </w:tr>
      <w:tr w:rsidR="00445D73" w:rsidRPr="001970EF" w14:paraId="1C985EFF" w14:textId="77777777">
        <w:tc>
          <w:tcPr>
            <w:tcW w:w="2880" w:type="dxa"/>
            <w:shd w:val="clear" w:color="auto" w:fill="auto"/>
          </w:tcPr>
          <w:p w14:paraId="7351BF40" w14:textId="77777777" w:rsidR="00445D73" w:rsidRPr="001970EF" w:rsidRDefault="001970EF">
            <w:pPr>
              <w:ind w:left="26"/>
              <w:rPr>
                <w:rFonts w:ascii="Times New Roman" w:eastAsia="Times New Roman" w:hAnsi="Times New Roman"/>
                <w:b/>
                <w:bCs/>
                <w:sz w:val="26"/>
                <w:szCs w:val="26"/>
                <w:rtl/>
              </w:rPr>
            </w:pPr>
            <w:r w:rsidRPr="001970EF">
              <w:rPr>
                <w:rFonts w:ascii="Times New Roman" w:eastAsia="Times New Roman" w:hAnsi="Times New Roman" w:hint="cs"/>
                <w:b/>
                <w:bCs/>
                <w:sz w:val="26"/>
                <w:szCs w:val="26"/>
                <w:rtl/>
              </w:rPr>
              <w:t>הנאשמת</w:t>
            </w:r>
          </w:p>
        </w:tc>
        <w:tc>
          <w:tcPr>
            <w:tcW w:w="5922" w:type="dxa"/>
            <w:gridSpan w:val="2"/>
            <w:shd w:val="clear" w:color="auto" w:fill="auto"/>
          </w:tcPr>
          <w:p w14:paraId="2222FDAD" w14:textId="77777777" w:rsidR="00445D73" w:rsidRPr="001970EF" w:rsidRDefault="001970EF">
            <w:pPr>
              <w:rPr>
                <w:rFonts w:ascii="Times New Roman" w:eastAsia="Times New Roman" w:hAnsi="Times New Roman"/>
                <w:b/>
                <w:bCs/>
                <w:sz w:val="26"/>
                <w:szCs w:val="26"/>
                <w:rtl/>
              </w:rPr>
            </w:pPr>
            <w:r w:rsidRPr="001970EF">
              <w:rPr>
                <w:rFonts w:ascii="Times New Roman" w:eastAsia="Times New Roman" w:hAnsi="Times New Roman" w:cs="Times New Roman" w:hint="cs"/>
                <w:rtl/>
              </w:rPr>
              <w:t xml:space="preserve"> </w:t>
            </w:r>
            <w:r w:rsidRPr="001970EF">
              <w:rPr>
                <w:rFonts w:ascii="Times New Roman" w:eastAsia="Times New Roman" w:hAnsi="Times New Roman" w:hint="cs"/>
                <w:rtl/>
              </w:rPr>
              <w:t>יאנה מלקדזה</w:t>
            </w:r>
          </w:p>
          <w:p w14:paraId="336AA067" w14:textId="77777777" w:rsidR="00445D73" w:rsidRPr="001970EF" w:rsidRDefault="00445D73">
            <w:pPr>
              <w:rPr>
                <w:rFonts w:ascii="Times New Roman" w:eastAsia="Times New Roman" w:hAnsi="Times New Roman"/>
                <w:b/>
                <w:bCs/>
                <w:sz w:val="26"/>
                <w:szCs w:val="26"/>
                <w:rtl/>
              </w:rPr>
            </w:pPr>
          </w:p>
        </w:tc>
      </w:tr>
    </w:tbl>
    <w:p w14:paraId="1C810C5E" w14:textId="77777777" w:rsidR="00445D73" w:rsidRPr="001970EF" w:rsidRDefault="001970EF">
      <w:pPr>
        <w:spacing w:line="360" w:lineRule="auto"/>
        <w:jc w:val="both"/>
        <w:rPr>
          <w:sz w:val="6"/>
          <w:szCs w:val="6"/>
          <w:rtl/>
        </w:rPr>
      </w:pPr>
      <w:r w:rsidRPr="001970EF">
        <w:rPr>
          <w:sz w:val="6"/>
          <w:szCs w:val="6"/>
          <w:rtl/>
        </w:rPr>
        <w:t>&lt;#1#&gt;</w:t>
      </w:r>
    </w:p>
    <w:p w14:paraId="1DC440AD" w14:textId="77777777" w:rsidR="00445D73" w:rsidRPr="001970EF" w:rsidRDefault="001970EF">
      <w:pPr>
        <w:pStyle w:val="12"/>
        <w:rPr>
          <w:u w:val="none"/>
          <w:rtl/>
        </w:rPr>
      </w:pPr>
      <w:r w:rsidRPr="001970EF">
        <w:rPr>
          <w:rFonts w:hint="cs"/>
          <w:u w:val="none"/>
          <w:rtl/>
        </w:rPr>
        <w:t>נוכחים:</w:t>
      </w:r>
    </w:p>
    <w:p w14:paraId="0CF1EE1D" w14:textId="77777777" w:rsidR="00445D73" w:rsidRPr="001970EF" w:rsidRDefault="001970EF">
      <w:pPr>
        <w:pStyle w:val="12"/>
        <w:rPr>
          <w:b w:val="0"/>
          <w:bCs w:val="0"/>
          <w:u w:val="none"/>
          <w:rtl/>
        </w:rPr>
      </w:pPr>
      <w:bookmarkStart w:id="2" w:name="FirstLawyer"/>
      <w:r w:rsidRPr="001970EF">
        <w:rPr>
          <w:rFonts w:hint="cs"/>
          <w:b w:val="0"/>
          <w:bCs w:val="0"/>
          <w:u w:val="none"/>
          <w:rtl/>
        </w:rPr>
        <w:t>ב"כ</w:t>
      </w:r>
      <w:bookmarkEnd w:id="2"/>
      <w:r w:rsidRPr="001970EF">
        <w:rPr>
          <w:rFonts w:hint="cs"/>
          <w:b w:val="0"/>
          <w:bCs w:val="0"/>
          <w:u w:val="none"/>
          <w:rtl/>
        </w:rPr>
        <w:t xml:space="preserve"> המאשימה עו"ד יפעת פינצובר</w:t>
      </w:r>
    </w:p>
    <w:p w14:paraId="38488A07" w14:textId="77777777" w:rsidR="00445D73" w:rsidRPr="001970EF" w:rsidRDefault="001970EF">
      <w:pPr>
        <w:pStyle w:val="12"/>
        <w:rPr>
          <w:b w:val="0"/>
          <w:bCs w:val="0"/>
          <w:u w:val="none"/>
          <w:rtl/>
        </w:rPr>
      </w:pPr>
      <w:r w:rsidRPr="001970EF">
        <w:rPr>
          <w:rFonts w:hint="cs"/>
          <w:b w:val="0"/>
          <w:bCs w:val="0"/>
          <w:u w:val="none"/>
          <w:rtl/>
        </w:rPr>
        <w:t>הנאשמת ובא כוחה עו"ד ניר דוד</w:t>
      </w:r>
    </w:p>
    <w:p w14:paraId="51E410EC" w14:textId="77777777" w:rsidR="00445D73" w:rsidRPr="001970EF" w:rsidRDefault="00445D73">
      <w:pPr>
        <w:pStyle w:val="12"/>
        <w:rPr>
          <w:b w:val="0"/>
          <w:bCs w:val="0"/>
          <w:u w:val="none"/>
          <w:rtl/>
        </w:rPr>
      </w:pPr>
    </w:p>
    <w:p w14:paraId="356A1A88" w14:textId="77777777" w:rsidR="00BF3948" w:rsidRDefault="001970EF">
      <w:pPr>
        <w:spacing w:line="360" w:lineRule="auto"/>
        <w:jc w:val="center"/>
        <w:rPr>
          <w:rFonts w:ascii="Arial" w:hAnsi="Arial"/>
          <w:sz w:val="28"/>
          <w:szCs w:val="28"/>
          <w:rtl/>
        </w:rPr>
      </w:pPr>
      <w:r w:rsidRPr="001970EF">
        <w:rPr>
          <w:rFonts w:ascii="Arial" w:hAnsi="Arial"/>
          <w:b/>
          <w:color w:val="FF0000"/>
          <w:sz w:val="28"/>
          <w:rtl/>
        </w:rPr>
        <w:t>במסמך זה הושמטו פרוטוקולים</w:t>
      </w:r>
      <w:bookmarkStart w:id="3" w:name="LawTable"/>
      <w:bookmarkEnd w:id="3"/>
    </w:p>
    <w:p w14:paraId="4288A35B" w14:textId="77777777" w:rsidR="00BF3948" w:rsidRPr="00BF3948" w:rsidRDefault="00BF3948" w:rsidP="00BF3948">
      <w:pPr>
        <w:spacing w:after="120" w:line="240" w:lineRule="exact"/>
        <w:ind w:left="283" w:hanging="283"/>
        <w:jc w:val="both"/>
        <w:rPr>
          <w:rFonts w:ascii="FrankRuehl" w:hAnsi="FrankRuehl" w:cs="FrankRuehl"/>
          <w:rtl/>
        </w:rPr>
      </w:pPr>
    </w:p>
    <w:p w14:paraId="0EEFACA2" w14:textId="77777777" w:rsidR="00BF3948" w:rsidRPr="00BF3948" w:rsidRDefault="00BF3948" w:rsidP="00BF3948">
      <w:pPr>
        <w:spacing w:after="120" w:line="240" w:lineRule="exact"/>
        <w:ind w:left="283" w:hanging="283"/>
        <w:jc w:val="both"/>
        <w:rPr>
          <w:rFonts w:ascii="FrankRuehl" w:hAnsi="FrankRuehl" w:cs="FrankRuehl"/>
          <w:rtl/>
        </w:rPr>
      </w:pPr>
      <w:r w:rsidRPr="00BF3948">
        <w:rPr>
          <w:rFonts w:ascii="FrankRuehl" w:hAnsi="FrankRuehl" w:cs="FrankRuehl"/>
          <w:rtl/>
        </w:rPr>
        <w:t xml:space="preserve">חקיקה שאוזכרה: </w:t>
      </w:r>
    </w:p>
    <w:p w14:paraId="1BBE7CC6" w14:textId="77777777" w:rsidR="00BF3948" w:rsidRPr="00BF3948" w:rsidRDefault="00BF3948" w:rsidP="00BF3948">
      <w:pPr>
        <w:spacing w:after="120" w:line="240" w:lineRule="exact"/>
        <w:ind w:left="283" w:hanging="283"/>
        <w:jc w:val="both"/>
        <w:rPr>
          <w:rFonts w:ascii="FrankRuehl" w:hAnsi="FrankRuehl" w:cs="FrankRuehl"/>
          <w:rtl/>
        </w:rPr>
      </w:pPr>
      <w:hyperlink r:id="rId7" w:history="1">
        <w:r w:rsidRPr="00BF3948">
          <w:rPr>
            <w:rFonts w:ascii="FrankRuehl" w:hAnsi="FrankRuehl" w:cs="FrankRuehl"/>
            <w:color w:val="0000FF"/>
            <w:u w:val="single"/>
            <w:rtl/>
          </w:rPr>
          <w:t>פקודת הסמים המסוכנים [נוסח חדש], תשל"ג-1973</w:t>
        </w:r>
      </w:hyperlink>
      <w:r w:rsidRPr="00BF3948">
        <w:rPr>
          <w:rFonts w:ascii="FrankRuehl" w:hAnsi="FrankRuehl" w:cs="FrankRuehl"/>
          <w:rtl/>
        </w:rPr>
        <w:t xml:space="preserve">: סע'  </w:t>
      </w:r>
      <w:hyperlink r:id="rId8" w:history="1">
        <w:r w:rsidRPr="00BF3948">
          <w:rPr>
            <w:rFonts w:ascii="FrankRuehl" w:hAnsi="FrankRuehl" w:cs="FrankRuehl"/>
            <w:color w:val="0000FF"/>
            <w:u w:val="single"/>
            <w:rtl/>
          </w:rPr>
          <w:t>6</w:t>
        </w:r>
      </w:hyperlink>
      <w:r w:rsidRPr="00BF3948">
        <w:rPr>
          <w:rFonts w:ascii="FrankRuehl" w:hAnsi="FrankRuehl" w:cs="FrankRuehl"/>
          <w:rtl/>
        </w:rPr>
        <w:t xml:space="preserve">, </w:t>
      </w:r>
      <w:hyperlink r:id="rId9" w:history="1">
        <w:r w:rsidRPr="00BF3948">
          <w:rPr>
            <w:rFonts w:ascii="FrankRuehl" w:hAnsi="FrankRuehl" w:cs="FrankRuehl"/>
            <w:color w:val="0000FF"/>
            <w:u w:val="single"/>
            <w:rtl/>
          </w:rPr>
          <w:t>7.א.</w:t>
        </w:r>
      </w:hyperlink>
      <w:r w:rsidRPr="00BF3948">
        <w:rPr>
          <w:rFonts w:ascii="FrankRuehl" w:hAnsi="FrankRuehl" w:cs="FrankRuehl"/>
          <w:rtl/>
        </w:rPr>
        <w:t xml:space="preserve">, </w:t>
      </w:r>
      <w:hyperlink r:id="rId10" w:history="1">
        <w:r w:rsidRPr="00BF3948">
          <w:rPr>
            <w:rFonts w:ascii="FrankRuehl" w:hAnsi="FrankRuehl" w:cs="FrankRuehl"/>
            <w:color w:val="0000FF"/>
            <w:u w:val="single"/>
            <w:rtl/>
          </w:rPr>
          <w:t>7.ג</w:t>
        </w:r>
      </w:hyperlink>
      <w:r w:rsidRPr="00BF3948">
        <w:rPr>
          <w:rFonts w:ascii="FrankRuehl" w:hAnsi="FrankRuehl" w:cs="FrankRuehl"/>
          <w:rtl/>
        </w:rPr>
        <w:t xml:space="preserve">, </w:t>
      </w:r>
      <w:hyperlink r:id="rId11" w:history="1">
        <w:r w:rsidRPr="00BF3948">
          <w:rPr>
            <w:rFonts w:ascii="FrankRuehl" w:hAnsi="FrankRuehl" w:cs="FrankRuehl"/>
            <w:color w:val="0000FF"/>
            <w:u w:val="single"/>
            <w:rtl/>
          </w:rPr>
          <w:t>10</w:t>
        </w:r>
      </w:hyperlink>
    </w:p>
    <w:p w14:paraId="75C57B10" w14:textId="77777777" w:rsidR="00BF3948" w:rsidRPr="00BF3948" w:rsidRDefault="00BF3948" w:rsidP="00BF3948">
      <w:pPr>
        <w:spacing w:after="120" w:line="240" w:lineRule="exact"/>
        <w:ind w:left="283" w:hanging="283"/>
        <w:jc w:val="both"/>
        <w:rPr>
          <w:rFonts w:ascii="FrankRuehl" w:hAnsi="FrankRuehl" w:cs="FrankRuehl"/>
          <w:rtl/>
        </w:rPr>
      </w:pPr>
      <w:hyperlink r:id="rId12" w:history="1">
        <w:r w:rsidRPr="00BF3948">
          <w:rPr>
            <w:rFonts w:ascii="FrankRuehl" w:hAnsi="FrankRuehl" w:cs="FrankRuehl"/>
            <w:color w:val="0000FF"/>
            <w:u w:val="single"/>
            <w:rtl/>
          </w:rPr>
          <w:t>חוק העונשין, תשל"ז-1977</w:t>
        </w:r>
      </w:hyperlink>
      <w:r w:rsidRPr="00BF3948">
        <w:rPr>
          <w:rFonts w:ascii="FrankRuehl" w:hAnsi="FrankRuehl" w:cs="FrankRuehl"/>
          <w:rtl/>
        </w:rPr>
        <w:t xml:space="preserve">: סע'  </w:t>
      </w:r>
      <w:hyperlink r:id="rId13" w:history="1">
        <w:r w:rsidRPr="00BF3948">
          <w:rPr>
            <w:rFonts w:ascii="FrankRuehl" w:hAnsi="FrankRuehl" w:cs="FrankRuehl"/>
            <w:color w:val="0000FF"/>
            <w:u w:val="single"/>
            <w:rtl/>
          </w:rPr>
          <w:t>40ב</w:t>
        </w:r>
      </w:hyperlink>
      <w:r w:rsidRPr="00BF3948">
        <w:rPr>
          <w:rFonts w:ascii="FrankRuehl" w:hAnsi="FrankRuehl" w:cs="FrankRuehl"/>
          <w:rtl/>
        </w:rPr>
        <w:t xml:space="preserve">, </w:t>
      </w:r>
      <w:hyperlink r:id="rId14" w:history="1">
        <w:r w:rsidRPr="00BF3948">
          <w:rPr>
            <w:rFonts w:ascii="FrankRuehl" w:hAnsi="FrankRuehl" w:cs="FrankRuehl"/>
            <w:color w:val="0000FF"/>
            <w:u w:val="single"/>
            <w:rtl/>
          </w:rPr>
          <w:t>40ט</w:t>
        </w:r>
      </w:hyperlink>
      <w:r w:rsidRPr="00BF3948">
        <w:rPr>
          <w:rFonts w:ascii="FrankRuehl" w:hAnsi="FrankRuehl" w:cs="FrankRuehl"/>
          <w:rtl/>
        </w:rPr>
        <w:t xml:space="preserve">, </w:t>
      </w:r>
      <w:hyperlink r:id="rId15" w:history="1">
        <w:r w:rsidRPr="00BF3948">
          <w:rPr>
            <w:rFonts w:ascii="FrankRuehl" w:hAnsi="FrankRuehl" w:cs="FrankRuehl"/>
            <w:color w:val="0000FF"/>
            <w:u w:val="single"/>
            <w:rtl/>
          </w:rPr>
          <w:t>40יא</w:t>
        </w:r>
      </w:hyperlink>
    </w:p>
    <w:p w14:paraId="340F0B6D" w14:textId="77777777" w:rsidR="00BF3948" w:rsidRPr="00BF3948" w:rsidRDefault="00BF3948" w:rsidP="00BF3948">
      <w:pPr>
        <w:spacing w:after="120" w:line="240" w:lineRule="exact"/>
        <w:ind w:left="283" w:hanging="283"/>
        <w:jc w:val="both"/>
        <w:rPr>
          <w:rFonts w:ascii="FrankRuehl" w:hAnsi="FrankRuehl" w:cs="FrankRuehl"/>
          <w:rtl/>
        </w:rPr>
      </w:pPr>
    </w:p>
    <w:p w14:paraId="40361CC1" w14:textId="77777777" w:rsidR="001970EF" w:rsidRPr="001970EF" w:rsidRDefault="001970EF" w:rsidP="001970EF">
      <w:pPr>
        <w:spacing w:line="360" w:lineRule="auto"/>
        <w:jc w:val="center"/>
        <w:rPr>
          <w:rFonts w:ascii="Arial" w:hAnsi="Arial"/>
          <w:b/>
          <w:bCs/>
          <w:sz w:val="28"/>
          <w:szCs w:val="28"/>
          <w:u w:val="single"/>
          <w:rtl/>
        </w:rPr>
      </w:pPr>
      <w:bookmarkStart w:id="4" w:name="LawTable_End"/>
      <w:bookmarkStart w:id="5" w:name="PsakDin"/>
      <w:bookmarkEnd w:id="0"/>
      <w:bookmarkEnd w:id="4"/>
      <w:r w:rsidRPr="001970EF">
        <w:rPr>
          <w:rFonts w:ascii="Arial" w:hAnsi="Arial"/>
          <w:b/>
          <w:bCs/>
          <w:sz w:val="28"/>
          <w:szCs w:val="28"/>
          <w:u w:val="single"/>
          <w:rtl/>
        </w:rPr>
        <w:t>גזר דין</w:t>
      </w:r>
    </w:p>
    <w:bookmarkEnd w:id="5"/>
    <w:p w14:paraId="76F9EEE1" w14:textId="77777777" w:rsidR="00445D73" w:rsidRDefault="00445D73">
      <w:pPr>
        <w:spacing w:line="360" w:lineRule="auto"/>
        <w:jc w:val="both"/>
        <w:rPr>
          <w:b/>
          <w:bCs/>
          <w:rtl/>
        </w:rPr>
      </w:pPr>
    </w:p>
    <w:p w14:paraId="6D4E149D" w14:textId="77777777" w:rsidR="00445D73" w:rsidRDefault="001970EF">
      <w:pPr>
        <w:spacing w:line="360" w:lineRule="auto"/>
        <w:jc w:val="both"/>
        <w:rPr>
          <w:b/>
          <w:bCs/>
          <w:rtl/>
        </w:rPr>
      </w:pPr>
      <w:r>
        <w:rPr>
          <w:rFonts w:hint="cs"/>
          <w:b/>
          <w:bCs/>
          <w:rtl/>
        </w:rPr>
        <w:t>העובדות הנוגעות לעניין-</w:t>
      </w:r>
    </w:p>
    <w:p w14:paraId="6779B402" w14:textId="77777777" w:rsidR="00445D73" w:rsidRDefault="00445D73">
      <w:pPr>
        <w:spacing w:line="360" w:lineRule="auto"/>
        <w:jc w:val="both"/>
        <w:rPr>
          <w:rFonts w:ascii="Calibri" w:hAnsi="Calibri"/>
          <w:b/>
          <w:bCs/>
          <w:rtl/>
        </w:rPr>
      </w:pPr>
    </w:p>
    <w:p w14:paraId="42FB9D00" w14:textId="77777777" w:rsidR="00445D73" w:rsidRDefault="001970EF">
      <w:pPr>
        <w:spacing w:line="360" w:lineRule="auto"/>
        <w:ind w:left="720" w:hanging="720"/>
        <w:jc w:val="both"/>
        <w:rPr>
          <w:rtl/>
        </w:rPr>
      </w:pPr>
      <w:r>
        <w:rPr>
          <w:rFonts w:hint="cs"/>
          <w:rtl/>
        </w:rPr>
        <w:t xml:space="preserve">א. </w:t>
      </w:r>
      <w:r>
        <w:rPr>
          <w:rtl/>
        </w:rPr>
        <w:tab/>
      </w:r>
      <w:bookmarkStart w:id="6" w:name="ABSTRACT_START"/>
      <w:bookmarkEnd w:id="6"/>
      <w:r>
        <w:rPr>
          <w:rFonts w:hint="cs"/>
          <w:rtl/>
        </w:rPr>
        <w:t xml:space="preserve">הנאשמת הורשעה, עפ"י הודאתה, בשתי עבירות של החזקת סמים לצריכה עצמית, עבירות לפי </w:t>
      </w:r>
      <w:hyperlink r:id="rId16" w:history="1">
        <w:r w:rsidR="00BF3948" w:rsidRPr="00BF3948">
          <w:rPr>
            <w:color w:val="0000FF"/>
            <w:u w:val="single"/>
            <w:rtl/>
          </w:rPr>
          <w:t>סעיף 7(א)+7(ג)</w:t>
        </w:r>
      </w:hyperlink>
      <w:r>
        <w:rPr>
          <w:rFonts w:hint="cs"/>
          <w:rtl/>
        </w:rPr>
        <w:t xml:space="preserve"> סיפא ל</w:t>
      </w:r>
      <w:hyperlink r:id="rId17" w:history="1">
        <w:r w:rsidRPr="001970EF">
          <w:rPr>
            <w:color w:val="0000FF"/>
            <w:u w:val="single"/>
            <w:rtl/>
          </w:rPr>
          <w:t>פקודת הסמים המסוכנים</w:t>
        </w:r>
      </w:hyperlink>
      <w:r>
        <w:rPr>
          <w:rFonts w:hint="cs"/>
          <w:rtl/>
        </w:rPr>
        <w:t xml:space="preserve"> (נוסח חדש), תשל"ג-1973, בעבירה של החזקת כלים להכנת סם, עבירה לפי </w:t>
      </w:r>
      <w:hyperlink r:id="rId18" w:history="1">
        <w:r w:rsidR="00BF3948" w:rsidRPr="00BF3948">
          <w:rPr>
            <w:color w:val="0000FF"/>
            <w:u w:val="single"/>
            <w:rtl/>
          </w:rPr>
          <w:t>סעיף 10</w:t>
        </w:r>
      </w:hyperlink>
      <w:r>
        <w:rPr>
          <w:rFonts w:hint="cs"/>
          <w:rtl/>
        </w:rPr>
        <w:t xml:space="preserve"> לפקודה ובעבירה של ייצור סמים מסוכנים, עבירה לפי </w:t>
      </w:r>
      <w:hyperlink r:id="rId19" w:history="1">
        <w:r w:rsidR="00BF3948" w:rsidRPr="00BF3948">
          <w:rPr>
            <w:color w:val="0000FF"/>
            <w:u w:val="single"/>
            <w:rtl/>
          </w:rPr>
          <w:t>סעיף 6</w:t>
        </w:r>
      </w:hyperlink>
      <w:r>
        <w:rPr>
          <w:rFonts w:hint="cs"/>
          <w:rtl/>
        </w:rPr>
        <w:t xml:space="preserve"> לפקודה.</w:t>
      </w:r>
    </w:p>
    <w:p w14:paraId="49C2CE88" w14:textId="77777777" w:rsidR="00445D73" w:rsidRDefault="001970EF">
      <w:pPr>
        <w:spacing w:line="360" w:lineRule="auto"/>
        <w:ind w:left="720"/>
        <w:jc w:val="both"/>
        <w:rPr>
          <w:rtl/>
        </w:rPr>
      </w:pPr>
      <w:bookmarkStart w:id="7" w:name="ABSTRACT_END"/>
      <w:bookmarkEnd w:id="7"/>
      <w:r>
        <w:rPr>
          <w:rFonts w:hint="cs"/>
          <w:rtl/>
        </w:rPr>
        <w:t xml:space="preserve">מעובדות כתב האישום המתוקן </w:t>
      </w:r>
      <w:r>
        <w:rPr>
          <w:rFonts w:hint="cs"/>
          <w:u w:val="single"/>
          <w:rtl/>
        </w:rPr>
        <w:t>ב</w:t>
      </w:r>
      <w:hyperlink r:id="rId20" w:history="1">
        <w:r w:rsidRPr="001970EF">
          <w:rPr>
            <w:color w:val="0000FF"/>
            <w:u w:val="single"/>
            <w:rtl/>
          </w:rPr>
          <w:t>ת"פ 60914-01-14</w:t>
        </w:r>
      </w:hyperlink>
      <w:r>
        <w:rPr>
          <w:rFonts w:hint="cs"/>
          <w:u w:val="single"/>
          <w:rtl/>
        </w:rPr>
        <w:t xml:space="preserve"> (שלום נתניה)</w:t>
      </w:r>
      <w:r>
        <w:rPr>
          <w:rFonts w:hint="cs"/>
          <w:rtl/>
        </w:rPr>
        <w:t xml:space="preserve">, עולה כי בתאריך 7/6/12, החזיקה הנאשמת במקרר ביתה 4 בקבוקים המכילים  סם מסוכן מסוג מתאמתאמין בנפח כולל של 22 מ"ל נטו וזאת לצריכתה העצמית של הנאשמת.  </w:t>
      </w:r>
    </w:p>
    <w:p w14:paraId="517A26D3" w14:textId="77777777" w:rsidR="00445D73" w:rsidRDefault="001970EF">
      <w:pPr>
        <w:spacing w:line="360" w:lineRule="auto"/>
        <w:ind w:left="720"/>
        <w:jc w:val="both"/>
        <w:rPr>
          <w:rtl/>
        </w:rPr>
      </w:pPr>
      <w:r>
        <w:rPr>
          <w:rFonts w:hint="cs"/>
          <w:rtl/>
        </w:rPr>
        <w:t xml:space="preserve">מעובדות כתב האישום המתוקן </w:t>
      </w:r>
      <w:r>
        <w:rPr>
          <w:rFonts w:hint="cs"/>
          <w:u w:val="single"/>
          <w:rtl/>
        </w:rPr>
        <w:t>ב</w:t>
      </w:r>
      <w:hyperlink r:id="rId21" w:history="1">
        <w:r w:rsidRPr="001970EF">
          <w:rPr>
            <w:color w:val="0000FF"/>
            <w:u w:val="single"/>
            <w:rtl/>
          </w:rPr>
          <w:t>ת"פ 40296-01-14</w:t>
        </w:r>
      </w:hyperlink>
      <w:r>
        <w:rPr>
          <w:rFonts w:hint="cs"/>
          <w:u w:val="single"/>
          <w:rtl/>
        </w:rPr>
        <w:t xml:space="preserve"> (שלום נתניה)</w:t>
      </w:r>
      <w:r>
        <w:rPr>
          <w:rFonts w:hint="cs"/>
          <w:rtl/>
        </w:rPr>
        <w:t xml:space="preserve"> , עולה כי ביום 16/9/13, החזיקה הנאשמת בביתה בנתניה במספר בקבוקונים, מזרקים, מבחנות, מטחנה חשמלית, משקל כדורים ונוזלים מסוגים שונים, הכל לצורך ייצור סם מסוכן מסוג מתאמתאמין (להלן: </w:t>
      </w:r>
      <w:r>
        <w:rPr>
          <w:rFonts w:hint="cs"/>
          <w:b/>
          <w:bCs/>
          <w:rtl/>
        </w:rPr>
        <w:t>"הסם"</w:t>
      </w:r>
      <w:r>
        <w:rPr>
          <w:rFonts w:hint="cs"/>
          <w:rtl/>
        </w:rPr>
        <w:t>). הנאשמת אידתה כדורים בהם היה רכיב של חומר מסוג אפדרין ובהמשך ערבבה עם חומרים נוספים, כגון: יוד ופוספורד, ורקחה מהם את הסם. באותן הנסיבות, החזיקה הנאשמת בבקבוק בסם בכמות של 4.5 מ"ל בנפח וכן החזיקה בבקבוק נוסף בנפח של 130 מ"ל ובו סם בכמות שאינה ידועה.</w:t>
      </w:r>
    </w:p>
    <w:p w14:paraId="56304A50" w14:textId="77777777" w:rsidR="00445D73" w:rsidRDefault="001970EF">
      <w:pPr>
        <w:spacing w:line="360" w:lineRule="auto"/>
        <w:ind w:left="720" w:hanging="720"/>
        <w:jc w:val="both"/>
        <w:rPr>
          <w:rtl/>
        </w:rPr>
      </w:pPr>
      <w:r>
        <w:rPr>
          <w:rFonts w:hint="cs"/>
          <w:rtl/>
        </w:rPr>
        <w:lastRenderedPageBreak/>
        <w:t xml:space="preserve">ב. </w:t>
      </w:r>
      <w:r>
        <w:rPr>
          <w:rtl/>
        </w:rPr>
        <w:tab/>
      </w:r>
      <w:r>
        <w:rPr>
          <w:rFonts w:hint="cs"/>
          <w:rtl/>
        </w:rPr>
        <w:t xml:space="preserve">טרם מתן גזר הדין הופנתה הנאשמת לקבלת תסקיר שרות המבחן וכן לקבלת חוות דעת הממונה על עבודות השרות. </w:t>
      </w:r>
    </w:p>
    <w:p w14:paraId="159FBADA" w14:textId="77777777" w:rsidR="00445D73" w:rsidRDefault="00445D73">
      <w:pPr>
        <w:spacing w:line="360" w:lineRule="auto"/>
        <w:jc w:val="both"/>
        <w:rPr>
          <w:rtl/>
        </w:rPr>
      </w:pPr>
    </w:p>
    <w:p w14:paraId="2BD0043B" w14:textId="77777777" w:rsidR="00445D73" w:rsidRDefault="001970EF">
      <w:pPr>
        <w:spacing w:line="360" w:lineRule="auto"/>
        <w:jc w:val="both"/>
        <w:rPr>
          <w:b/>
          <w:bCs/>
          <w:rtl/>
        </w:rPr>
      </w:pPr>
      <w:r>
        <w:rPr>
          <w:rFonts w:hint="cs"/>
          <w:b/>
          <w:bCs/>
          <w:rtl/>
        </w:rPr>
        <w:t xml:space="preserve">טענות הצדדים-   </w:t>
      </w:r>
    </w:p>
    <w:p w14:paraId="663F0666" w14:textId="77777777" w:rsidR="00445D73" w:rsidRDefault="00445D73">
      <w:pPr>
        <w:spacing w:line="360" w:lineRule="auto"/>
        <w:jc w:val="both"/>
        <w:rPr>
          <w:b/>
          <w:bCs/>
          <w:rtl/>
        </w:rPr>
      </w:pPr>
    </w:p>
    <w:p w14:paraId="1AE57563" w14:textId="77777777" w:rsidR="00445D73" w:rsidRDefault="001970EF">
      <w:pPr>
        <w:spacing w:line="360" w:lineRule="auto"/>
        <w:ind w:left="720" w:hanging="720"/>
        <w:jc w:val="both"/>
        <w:rPr>
          <w:rtl/>
        </w:rPr>
      </w:pPr>
      <w:r>
        <w:rPr>
          <w:rFonts w:hint="cs"/>
          <w:rtl/>
        </w:rPr>
        <w:t xml:space="preserve">ג. </w:t>
      </w:r>
      <w:r>
        <w:rPr>
          <w:rtl/>
        </w:rPr>
        <w:tab/>
      </w:r>
      <w:r>
        <w:rPr>
          <w:rFonts w:hint="cs"/>
          <w:rtl/>
        </w:rPr>
        <w:t xml:space="preserve">ב"כ המאשימה הפנתה בטיעוניה לכך שהנאשמת לא רק החזיקה בסם האסור אלא גם ייצרה אותו. עוד טענה התובעת, כי הנאשמת לא השכילה לנצל את האפיק השיקומי שהוצע לה ולא שתפה פעולה, כנדרש, עם שרות המבחן. לפיכך, אין מקום לסטייה לקולא ממתחם העונש ההולם מטעמי שיקום. לשיטת המאשימה, מתחם העונש ההולם בגין עבירת ייצור הסם נע בין 6-12 חודשי מאסר בפועל. מתחם העונש ההולם בגין עבירות החזקת הסם נע בין עבודות שרות לבין מאסר בפועל. בית המשפט התבקש לגזור על הנאשמת מאסר בפועל, מאסר על תנאי, פסילת רישיון נהיגה בפועל, פסילת רישיון נהיגה מותנית וקנס.    </w:t>
      </w:r>
    </w:p>
    <w:p w14:paraId="6FD513E1" w14:textId="77777777" w:rsidR="00445D73" w:rsidRDefault="00445D73">
      <w:pPr>
        <w:spacing w:line="360" w:lineRule="auto"/>
        <w:jc w:val="both"/>
        <w:rPr>
          <w:rtl/>
        </w:rPr>
      </w:pPr>
    </w:p>
    <w:p w14:paraId="5C68926D" w14:textId="77777777" w:rsidR="00445D73" w:rsidRDefault="001970EF">
      <w:pPr>
        <w:spacing w:line="360" w:lineRule="auto"/>
        <w:ind w:left="720" w:hanging="720"/>
        <w:jc w:val="both"/>
      </w:pPr>
      <w:r>
        <w:rPr>
          <w:rFonts w:hint="cs"/>
          <w:rtl/>
        </w:rPr>
        <w:t xml:space="preserve">ד. </w:t>
      </w:r>
      <w:r>
        <w:rPr>
          <w:rtl/>
        </w:rPr>
        <w:tab/>
      </w:r>
      <w:r>
        <w:rPr>
          <w:rFonts w:hint="cs"/>
          <w:rtl/>
        </w:rPr>
        <w:t>ב"כ הנאשמת הדגיש בטיעוניו את נסיבותיה האישיות הקשות של הנאשמת, כמפורט בתסקירים, את היותה מטופלת בשני ילדים קטינים ואת הזמן שחלף מאז ביצוע העבירות. עוד נטען, כי אין מדובר בייצור סם למטרת הפצה וסחר אלא בייצור הסם לצורך צריכתו ע"י הנאשמת עצמה. הוסיף הסנגור וטען, כי הנאשמת חפצה לשתף פעולה עם שרות המבחן אלא שנמסר לה שאיננה מתאימה לטיפול בבית חוסן וזאת נוכח תוצאות בדיקות השתן שמסרה הנאשמת. לשיטת ההגנה, תוצאות בדיקות השתן אינן נובעות מנטילת סמים ע"י הנאשמת אלא מדובר בתוצרי התרופה סינופד אותה נוטלת הנאשמת עפ"י מרשם רופא. ב"כ הנאשמת עתר להטיל עליה עונש של מאסר מותנה לצד צו מבחן.</w:t>
      </w:r>
    </w:p>
    <w:p w14:paraId="32C64AD2" w14:textId="77777777" w:rsidR="00445D73" w:rsidRDefault="00445D73">
      <w:pPr>
        <w:spacing w:line="360" w:lineRule="auto"/>
        <w:jc w:val="both"/>
        <w:rPr>
          <w:b/>
          <w:bCs/>
          <w:u w:val="single"/>
          <w:rtl/>
        </w:rPr>
      </w:pPr>
    </w:p>
    <w:p w14:paraId="7C31315A" w14:textId="77777777" w:rsidR="00445D73" w:rsidRDefault="001970EF">
      <w:pPr>
        <w:spacing w:line="360" w:lineRule="auto"/>
        <w:jc w:val="both"/>
        <w:rPr>
          <w:b/>
          <w:bCs/>
          <w:u w:val="single"/>
          <w:rtl/>
        </w:rPr>
      </w:pPr>
      <w:r>
        <w:rPr>
          <w:rFonts w:hint="cs"/>
          <w:b/>
          <w:bCs/>
          <w:u w:val="single"/>
          <w:rtl/>
        </w:rPr>
        <w:t xml:space="preserve">מתחם העונש ההולם וגזירת עונשה של הנאשמת- </w:t>
      </w:r>
    </w:p>
    <w:p w14:paraId="063F4C73" w14:textId="77777777" w:rsidR="00445D73" w:rsidRDefault="00445D73">
      <w:pPr>
        <w:spacing w:line="360" w:lineRule="auto"/>
        <w:jc w:val="both"/>
        <w:rPr>
          <w:b/>
          <w:bCs/>
          <w:u w:val="single"/>
          <w:rtl/>
        </w:rPr>
      </w:pPr>
    </w:p>
    <w:p w14:paraId="456489E8" w14:textId="77777777" w:rsidR="00445D73" w:rsidRDefault="001970EF">
      <w:pPr>
        <w:spacing w:line="360" w:lineRule="auto"/>
        <w:ind w:left="716" w:hanging="690"/>
        <w:jc w:val="both"/>
        <w:rPr>
          <w:rtl/>
        </w:rPr>
      </w:pPr>
      <w:r>
        <w:rPr>
          <w:rFonts w:hint="cs"/>
          <w:rtl/>
        </w:rPr>
        <w:t xml:space="preserve">ה. </w:t>
      </w:r>
      <w:r>
        <w:rPr>
          <w:rtl/>
        </w:rPr>
        <w:tab/>
      </w:r>
      <w:r>
        <w:rPr>
          <w:rFonts w:hint="cs"/>
          <w:rtl/>
        </w:rPr>
        <w:t xml:space="preserve">בהתאם </w:t>
      </w:r>
      <w:hyperlink r:id="rId22" w:history="1">
        <w:r w:rsidR="00BF3948" w:rsidRPr="00BF3948">
          <w:rPr>
            <w:color w:val="0000FF"/>
            <w:u w:val="single"/>
            <w:rtl/>
          </w:rPr>
          <w:t>לסעיף 40ב</w:t>
        </w:r>
      </w:hyperlink>
      <w:r>
        <w:rPr>
          <w:rFonts w:hint="cs"/>
          <w:rtl/>
        </w:rPr>
        <w:t xml:space="preserve"> ל</w:t>
      </w:r>
      <w:hyperlink r:id="rId23" w:history="1">
        <w:r w:rsidRPr="001970EF">
          <w:rPr>
            <w:color w:val="0000FF"/>
            <w:u w:val="single"/>
            <w:rtl/>
          </w:rPr>
          <w:t>חוק העונשין</w:t>
        </w:r>
      </w:hyperlink>
      <w:r>
        <w:rPr>
          <w:rFonts w:hint="cs"/>
          <w:rtl/>
        </w:rPr>
        <w:t xml:space="preserve">, התשל"ז-1977 ( להלן: "החוק" ), העיקרון המנחה בענישה הנו קיומו של יחס הולם בין חומרת מעשה העבירה בנסיבותיו ומידת אשמו של הנאשם ובין סוג ומידת העונש המוטל עליו. בקביעת מתחם העונש ההולם שומה על ביהמ"ש להתחשב בערך החברתי שנפגע מביצוע העבירות, במידת הפגיעה בו, במדיניות הענישה הנהוגה ובנסיבות הקשורות בביצוע העבירות כאמור </w:t>
      </w:r>
      <w:hyperlink r:id="rId24" w:history="1">
        <w:r w:rsidR="00BF3948" w:rsidRPr="00BF3948">
          <w:rPr>
            <w:color w:val="0000FF"/>
            <w:u w:val="single"/>
            <w:rtl/>
          </w:rPr>
          <w:t>בסעיף 40ט</w:t>
        </w:r>
      </w:hyperlink>
      <w:r>
        <w:rPr>
          <w:rFonts w:hint="cs"/>
          <w:rtl/>
        </w:rPr>
        <w:t xml:space="preserve"> לחוק. </w:t>
      </w:r>
    </w:p>
    <w:p w14:paraId="3D0B509D" w14:textId="77777777" w:rsidR="00445D73" w:rsidRDefault="00445D73">
      <w:pPr>
        <w:spacing w:line="360" w:lineRule="auto"/>
        <w:jc w:val="both"/>
        <w:rPr>
          <w:rtl/>
        </w:rPr>
      </w:pPr>
    </w:p>
    <w:p w14:paraId="76206DE0" w14:textId="77777777" w:rsidR="00445D73" w:rsidRDefault="001970EF">
      <w:pPr>
        <w:spacing w:line="360" w:lineRule="auto"/>
        <w:ind w:left="716" w:hanging="690"/>
        <w:jc w:val="both"/>
        <w:rPr>
          <w:rtl/>
        </w:rPr>
      </w:pPr>
      <w:r>
        <w:rPr>
          <w:rFonts w:hint="cs"/>
          <w:rtl/>
        </w:rPr>
        <w:t>ו.</w:t>
      </w:r>
      <w:r>
        <w:rPr>
          <w:rFonts w:hint="cs"/>
          <w:b/>
          <w:bCs/>
          <w:rtl/>
        </w:rPr>
        <w:t xml:space="preserve"> </w:t>
      </w:r>
      <w:r>
        <w:rPr>
          <w:b/>
          <w:bCs/>
          <w:rtl/>
        </w:rPr>
        <w:tab/>
      </w:r>
      <w:r>
        <w:rPr>
          <w:rFonts w:hint="cs"/>
          <w:rtl/>
        </w:rPr>
        <w:t>במקרה דנן,</w:t>
      </w:r>
      <w:r>
        <w:rPr>
          <w:rFonts w:hint="cs"/>
          <w:b/>
          <w:bCs/>
          <w:rtl/>
        </w:rPr>
        <w:t xml:space="preserve"> </w:t>
      </w:r>
      <w:r>
        <w:rPr>
          <w:rFonts w:hint="cs"/>
          <w:rtl/>
        </w:rPr>
        <w:t xml:space="preserve">הערך החברתי המוגן בעבירה הנו הצורך להגן על הציבור מפני הפגיעה הישירה והעקיפה הנגרמת כתוצאה מעבירות הסמים. הפסיקה הדגישה בעבר את הצורך להילחם בנגע הסמים, אשר נזקיו החברתיים, האישיים והכלכליים הנם קשים ומשמעותיים. </w:t>
      </w:r>
    </w:p>
    <w:p w14:paraId="55241838" w14:textId="77777777" w:rsidR="00445D73" w:rsidRDefault="00445D73">
      <w:pPr>
        <w:pStyle w:val="a"/>
        <w:numPr>
          <w:ilvl w:val="0"/>
          <w:numId w:val="0"/>
        </w:numPr>
        <w:tabs>
          <w:tab w:val="left" w:pos="720"/>
        </w:tabs>
        <w:spacing w:after="0"/>
        <w:ind w:right="0"/>
        <w:rPr>
          <w:rtl/>
          <w:lang w:eastAsia="he-IL"/>
        </w:rPr>
      </w:pPr>
    </w:p>
    <w:p w14:paraId="64C20145" w14:textId="77777777" w:rsidR="00445D73" w:rsidRDefault="001970EF">
      <w:pPr>
        <w:pStyle w:val="a"/>
        <w:numPr>
          <w:ilvl w:val="0"/>
          <w:numId w:val="0"/>
        </w:numPr>
        <w:tabs>
          <w:tab w:val="left" w:pos="720"/>
        </w:tabs>
        <w:spacing w:after="0"/>
        <w:ind w:right="0"/>
        <w:rPr>
          <w:rtl/>
        </w:rPr>
      </w:pPr>
      <w:r>
        <w:rPr>
          <w:rtl/>
          <w:lang w:eastAsia="he-IL"/>
        </w:rPr>
        <w:tab/>
      </w:r>
      <w:r>
        <w:rPr>
          <w:rFonts w:hint="cs"/>
          <w:rtl/>
          <w:lang w:eastAsia="he-IL"/>
        </w:rPr>
        <w:t>ב</w:t>
      </w:r>
      <w:hyperlink r:id="rId25" w:history="1">
        <w:r w:rsidRPr="001970EF">
          <w:rPr>
            <w:b/>
            <w:bCs/>
            <w:color w:val="0000FF"/>
            <w:u w:val="single"/>
            <w:rtl/>
            <w:lang w:eastAsia="he-IL"/>
          </w:rPr>
          <w:t>ע"פ 3117/12</w:t>
        </w:r>
      </w:hyperlink>
      <w:r>
        <w:rPr>
          <w:rFonts w:hint="cs"/>
          <w:b/>
          <w:bCs/>
          <w:rtl/>
          <w:lang w:eastAsia="he-IL"/>
        </w:rPr>
        <w:t xml:space="preserve"> ארביב נ' מדינת ישראל </w:t>
      </w:r>
      <w:r>
        <w:rPr>
          <w:rFonts w:hint="cs"/>
          <w:rtl/>
          <w:lang w:eastAsia="he-IL"/>
        </w:rPr>
        <w:t xml:space="preserve">(מיום 6.9.12) ציין כב' השופט שהם: </w:t>
      </w:r>
    </w:p>
    <w:p w14:paraId="01B7A79C" w14:textId="77777777" w:rsidR="00445D73" w:rsidRDefault="001970EF">
      <w:pPr>
        <w:pStyle w:val="a8"/>
        <w:spacing w:after="0"/>
        <w:ind w:left="720" w:right="0"/>
      </w:pPr>
      <w:r>
        <w:rPr>
          <w:rFonts w:hint="cs"/>
          <w:rtl/>
        </w:rPr>
        <w:lastRenderedPageBreak/>
        <w:t xml:space="preserve">"בית משפט זה עמד, לא אחת, על חומרתן היתירה של עבירות הסמים, ועל ההשלכות הקשות שיש לשימוש בסם על גופו ועל נפשו של המשתמש (ראו, למשל, </w:t>
      </w:r>
      <w:hyperlink r:id="rId26" w:history="1">
        <w:r w:rsidRPr="001970EF">
          <w:rPr>
            <w:color w:val="0000FF"/>
            <w:u w:val="single"/>
            <w:rtl/>
          </w:rPr>
          <w:t>ע"פ 6029/03 מדינת ישראל נ' שמאי, פ"ד נח</w:t>
        </w:r>
      </w:hyperlink>
      <w:r>
        <w:rPr>
          <w:rFonts w:hint="cs"/>
          <w:rtl/>
        </w:rPr>
        <w:t>(2) 734 (2004))".</w:t>
      </w:r>
    </w:p>
    <w:p w14:paraId="7DA5C297" w14:textId="77777777" w:rsidR="00445D73" w:rsidRDefault="00445D73">
      <w:pPr>
        <w:spacing w:line="360" w:lineRule="auto"/>
        <w:jc w:val="both"/>
        <w:rPr>
          <w:rtl/>
        </w:rPr>
      </w:pPr>
    </w:p>
    <w:p w14:paraId="5B272087" w14:textId="77777777" w:rsidR="00445D73" w:rsidRDefault="001970EF">
      <w:pPr>
        <w:spacing w:line="360" w:lineRule="auto"/>
        <w:ind w:left="720" w:hanging="720"/>
        <w:jc w:val="both"/>
        <w:rPr>
          <w:rtl/>
          <w:lang w:eastAsia="he-IL"/>
        </w:rPr>
      </w:pPr>
      <w:r>
        <w:rPr>
          <w:rFonts w:hint="cs"/>
          <w:rtl/>
        </w:rPr>
        <w:t xml:space="preserve">ז. </w:t>
      </w:r>
      <w:r>
        <w:rPr>
          <w:rtl/>
        </w:rPr>
        <w:tab/>
      </w:r>
      <w:r>
        <w:rPr>
          <w:rFonts w:hint="cs"/>
          <w:rtl/>
          <w:lang w:eastAsia="he-IL"/>
        </w:rPr>
        <w:t xml:space="preserve">מידת הפגיעה בערך המוגן, במקרה בו עסקינן הנה מהותית, אם כי איננה מצויה ברף החומרה העליון של העבירות נשוא הדיון. הנאשמת החזיקה בסם מסוג מתאמתאמין, בשתי הזדמנויות שונות ובכמויות בלתי מבוטלות, וזאת לצריכתה העצמית. מבחינת סוג הסם בו עסקינן, אציין כי אף שאינו נמנה על סוגי הסמים הקשים ביותר, כדוגמת הרואין וקוקאין (ראו למשל </w:t>
      </w:r>
      <w:hyperlink r:id="rId27" w:history="1">
        <w:r w:rsidRPr="001970EF">
          <w:rPr>
            <w:b/>
            <w:bCs/>
            <w:color w:val="0000FF"/>
            <w:u w:val="single"/>
            <w:rtl/>
            <w:lang w:eastAsia="he-IL"/>
          </w:rPr>
          <w:t>ת"פ (מרכז) 21485-01-11</w:t>
        </w:r>
      </w:hyperlink>
      <w:r>
        <w:rPr>
          <w:rFonts w:hint="cs"/>
          <w:b/>
          <w:bCs/>
          <w:rtl/>
          <w:lang w:eastAsia="he-IL"/>
        </w:rPr>
        <w:t xml:space="preserve"> מ"י נ' תאיפינפרום</w:t>
      </w:r>
      <w:r>
        <w:rPr>
          <w:rFonts w:hint="cs"/>
          <w:rtl/>
          <w:lang w:eastAsia="he-IL"/>
        </w:rPr>
        <w:t xml:space="preserve">, ניתן 14.4.11, פורסם בנבו), מדובר בסם ממכר ביותר, אשר כמות קטנה שלו (0.2 גרם) נחשבת ככמות לצריכה עצמית </w:t>
      </w:r>
    </w:p>
    <w:p w14:paraId="0717CDC3" w14:textId="77777777" w:rsidR="00445D73" w:rsidRDefault="001970EF">
      <w:pPr>
        <w:spacing w:line="360" w:lineRule="auto"/>
        <w:ind w:left="720"/>
        <w:jc w:val="both"/>
        <w:rPr>
          <w:rtl/>
          <w:lang w:eastAsia="he-IL"/>
        </w:rPr>
      </w:pPr>
      <w:r>
        <w:rPr>
          <w:rFonts w:hint="cs"/>
          <w:rtl/>
          <w:lang w:eastAsia="he-IL"/>
        </w:rPr>
        <w:t xml:space="preserve">(ראו </w:t>
      </w:r>
      <w:hyperlink r:id="rId28" w:history="1">
        <w:r w:rsidRPr="001970EF">
          <w:rPr>
            <w:b/>
            <w:bCs/>
            <w:color w:val="0000FF"/>
            <w:u w:val="single"/>
            <w:rtl/>
            <w:lang w:eastAsia="he-IL"/>
          </w:rPr>
          <w:t>ת"פ (מרכז) 51034-12-10</w:t>
        </w:r>
      </w:hyperlink>
      <w:r>
        <w:rPr>
          <w:rFonts w:hint="cs"/>
          <w:b/>
          <w:bCs/>
          <w:rtl/>
          <w:lang w:eastAsia="he-IL"/>
        </w:rPr>
        <w:t xml:space="preserve"> מדינת ישראל נ' דואנקכוטה </w:t>
      </w:r>
      <w:r>
        <w:rPr>
          <w:rFonts w:hint="cs"/>
          <w:rtl/>
          <w:lang w:eastAsia="he-IL"/>
        </w:rPr>
        <w:t xml:space="preserve">[פורסם בנבו] (12.6.11)).  במילים אחרות, ברי כי אין מדובר בסם הנמנה עם קבוצת הסמים הקלים וייתכן שמדובר בסם המצוי בקבוצת ביניים, עם נטייה לכיוון הגדרתו כסם קשה. יש לראות כנסיבה לחומרא את העובדה שהנאשמת עסקה בייצור הסם האסור. ייצורו של הסם בבית הנאשמת, תוך החזקת הכלים הדרושים לשם כך, מעיד על עיסוק מתמשך של הנאשמת בנושא והנו בעל פוטנציאל לנזק חברתי מתגלגל, נזק שהיה יכול להיגרם כתוצאה מהעברת הסם שיוצר ע"י הנאשמת לגורמים נוספים. מאידך, יש לשקול כנסיבה לקולא את העובדה שבפועל הסם אשר יוצר ואשר הוחזק ע"י הנאשמת נועד, בהתאם לעובדות כתבי האישום המתוקנים, לצריכתה העצמית של הנאשמת ולא סופק לאחרים. עוד אציין, כי ברקען של העבירות נושא התיק דנן, מצוי מצבה הנפשי המורכב של הנאשמת ונסיבות אישיות לא פשוטות עמן התמודדה הנאשמת, לרבות תאונת דרכים קשה שעברה הנאשמת בגיל 17.      </w:t>
      </w:r>
    </w:p>
    <w:p w14:paraId="373D68D7" w14:textId="77777777" w:rsidR="00445D73" w:rsidRDefault="00445D73">
      <w:pPr>
        <w:pStyle w:val="a8"/>
        <w:ind w:left="-58" w:right="142"/>
        <w:rPr>
          <w:rtl/>
          <w:lang w:eastAsia="he-IL"/>
        </w:rPr>
      </w:pPr>
    </w:p>
    <w:p w14:paraId="49EBC005" w14:textId="77777777" w:rsidR="00445D73" w:rsidRDefault="001970EF">
      <w:pPr>
        <w:pStyle w:val="a8"/>
        <w:spacing w:after="0"/>
        <w:ind w:left="720" w:right="142" w:hanging="778"/>
        <w:rPr>
          <w:rtl/>
        </w:rPr>
      </w:pPr>
      <w:r>
        <w:rPr>
          <w:rFonts w:hint="cs"/>
          <w:rtl/>
          <w:lang w:eastAsia="he-IL"/>
        </w:rPr>
        <w:t xml:space="preserve">ח. </w:t>
      </w:r>
      <w:r>
        <w:rPr>
          <w:rtl/>
          <w:lang w:eastAsia="he-IL"/>
        </w:rPr>
        <w:tab/>
      </w:r>
      <w:r>
        <w:rPr>
          <w:rFonts w:hint="cs"/>
          <w:rtl/>
          <w:lang w:eastAsia="he-IL"/>
        </w:rPr>
        <w:t xml:space="preserve">מבחינת רמת הענישה הרווחת, אציין כי מרבית הפסיקה שפורסמה ואשר מתייחסת למתאמתאמין או למתאמפטמין נוגעת להחזקת הסם </w:t>
      </w:r>
      <w:r>
        <w:rPr>
          <w:rFonts w:hint="cs"/>
          <w:u w:val="single"/>
          <w:rtl/>
          <w:lang w:eastAsia="he-IL"/>
        </w:rPr>
        <w:t>שלא לשימוש עצמי</w:t>
      </w:r>
      <w:r>
        <w:rPr>
          <w:rFonts w:hint="cs"/>
          <w:rtl/>
          <w:lang w:eastAsia="he-IL"/>
        </w:rPr>
        <w:t xml:space="preserve"> או לעבירות של ייבוא ושל סחר בסם, בניגוד למקרה שבפניי. במקרים של החזקת הסם האמור שלא לצריכה עצמית, נגזרים ככלל עונשי מאסר בפועל, אשר משכם משתנה בתלות בכמות הסם בה מדובר</w:t>
      </w:r>
      <w:r>
        <w:rPr>
          <w:rFonts w:hint="cs"/>
          <w:rtl/>
        </w:rPr>
        <w:t xml:space="preserve">. לשם המחשה אפנה לדוגמאות הבאות; </w:t>
      </w:r>
    </w:p>
    <w:p w14:paraId="74325754" w14:textId="77777777" w:rsidR="00445D73" w:rsidRDefault="001970EF">
      <w:pPr>
        <w:spacing w:line="360" w:lineRule="auto"/>
        <w:ind w:left="720"/>
        <w:jc w:val="both"/>
        <w:rPr>
          <w:rFonts w:eastAsia="Times New Roman"/>
          <w:rtl/>
        </w:rPr>
      </w:pPr>
      <w:r>
        <w:rPr>
          <w:rFonts w:eastAsia="Times New Roman" w:hint="cs"/>
          <w:b/>
          <w:bCs/>
          <w:rtl/>
        </w:rPr>
        <w:t>ב</w:t>
      </w:r>
      <w:hyperlink r:id="rId29" w:history="1">
        <w:r w:rsidRPr="001970EF">
          <w:rPr>
            <w:rFonts w:eastAsia="Times New Roman"/>
            <w:b/>
            <w:bCs/>
            <w:color w:val="0000FF"/>
            <w:u w:val="single"/>
            <w:rtl/>
          </w:rPr>
          <w:t>ת"פ (אשדוד) 18707-08-14</w:t>
        </w:r>
      </w:hyperlink>
      <w:r>
        <w:rPr>
          <w:rFonts w:eastAsia="Times New Roman" w:hint="cs"/>
          <w:b/>
          <w:bCs/>
          <w:rtl/>
        </w:rPr>
        <w:t xml:space="preserve"> מדינת ישראל נ' טונגטאנגאי ואח' </w:t>
      </w:r>
      <w:r>
        <w:rPr>
          <w:rFonts w:eastAsia="Times New Roman" w:hint="cs"/>
          <w:rtl/>
        </w:rPr>
        <w:t>(6.10.14, פורסם בנבו), נגזרו 3 חודשי מאסר בפועל על שני נאשמים שהורשעו בשימוש בסם מסוכן ובהחזקת סם מסוכן שלא לצריכה עצמית. דובר בהחזקת סם מסוכן מסוג מתאמפטאמין במשקל כולל של 15.1153 גרם נטו ובנוסף בהחזקת 8 טבליות המכילות סם מסוכן מסוג מתאמפטאמין, שחולקו למספר אריזות קטנות מסוגים שונים. לא למותר לציין, כי הסם נתפס במהלך חיפוש משטרתי שנערך במגורי הנאשמים ונתפסו במקום גם 4 משקלים אלקטרונים קטנים, כלים לשימוש בסמים, שקיות אריזה, קשי פלסטיק ומכשיר לאיטום אריזות בחום.</w:t>
      </w:r>
    </w:p>
    <w:p w14:paraId="4A4D37B6" w14:textId="77777777" w:rsidR="00445D73" w:rsidRDefault="001970EF">
      <w:pPr>
        <w:pStyle w:val="a8"/>
        <w:spacing w:after="0"/>
        <w:ind w:left="720" w:right="142"/>
        <w:rPr>
          <w:rtl/>
        </w:rPr>
      </w:pPr>
      <w:r>
        <w:rPr>
          <w:rFonts w:ascii="Arial" w:hAnsi="Arial" w:hint="cs"/>
          <w:b/>
          <w:bCs/>
          <w:rtl/>
        </w:rPr>
        <w:t>ב</w:t>
      </w:r>
      <w:hyperlink r:id="rId30" w:history="1">
        <w:r w:rsidRPr="001970EF">
          <w:rPr>
            <w:rFonts w:ascii="Arial" w:hAnsi="Arial"/>
            <w:b/>
            <w:bCs/>
            <w:color w:val="0000FF"/>
            <w:u w:val="single"/>
            <w:rtl/>
          </w:rPr>
          <w:t>ת"פ (שלום ב"ש) 2003-15</w:t>
        </w:r>
      </w:hyperlink>
      <w:r>
        <w:rPr>
          <w:rFonts w:ascii="Arial" w:hAnsi="Arial" w:hint="cs"/>
          <w:b/>
          <w:bCs/>
          <w:rtl/>
        </w:rPr>
        <w:t xml:space="preserve"> מדינת ישראל נ'  </w:t>
      </w:r>
      <w:r>
        <w:rPr>
          <w:rFonts w:ascii="Arial" w:hAnsi="Arial"/>
          <w:b/>
          <w:bCs/>
        </w:rPr>
        <w:t>CHENCHOM</w:t>
      </w:r>
      <w:r>
        <w:rPr>
          <w:rFonts w:ascii="Arial" w:hAnsi="Arial" w:hint="cs"/>
          <w:b/>
          <w:bCs/>
          <w:rtl/>
        </w:rPr>
        <w:t xml:space="preserve"> ואח'</w:t>
      </w:r>
      <w:r>
        <w:rPr>
          <w:rFonts w:ascii="Arial" w:hAnsi="Arial" w:hint="cs"/>
          <w:rtl/>
        </w:rPr>
        <w:t xml:space="preserve"> (26.10.15, פורסם בנבו), נגזר עונש של 6 חודשי מאסר בפועל על נאשם נעדר עבר פלילי, אשר הורשע בהחזקת סם מסוג מתאמפטאמין במשקל 1.4932 גרם </w:t>
      </w:r>
      <w:r>
        <w:rPr>
          <w:rFonts w:hint="cs"/>
          <w:rtl/>
        </w:rPr>
        <w:t>שלא לצריכה עצמית.</w:t>
      </w:r>
    </w:p>
    <w:p w14:paraId="0F5F273F" w14:textId="77777777" w:rsidR="00445D73" w:rsidRDefault="001970EF">
      <w:pPr>
        <w:pStyle w:val="a8"/>
        <w:spacing w:after="0"/>
        <w:ind w:left="720" w:right="142"/>
        <w:rPr>
          <w:rtl/>
        </w:rPr>
      </w:pPr>
      <w:r>
        <w:rPr>
          <w:rFonts w:hint="cs"/>
          <w:b/>
          <w:bCs/>
          <w:rtl/>
        </w:rPr>
        <w:t>ב</w:t>
      </w:r>
      <w:hyperlink r:id="rId31" w:history="1">
        <w:r w:rsidRPr="001970EF">
          <w:rPr>
            <w:b/>
            <w:bCs/>
            <w:color w:val="0000FF"/>
            <w:u w:val="single"/>
            <w:rtl/>
          </w:rPr>
          <w:t>ת"פ (שלום באר שבע) 41995-09-13</w:t>
        </w:r>
      </w:hyperlink>
      <w:r>
        <w:rPr>
          <w:rFonts w:hint="cs"/>
          <w:b/>
          <w:bCs/>
          <w:rtl/>
        </w:rPr>
        <w:t xml:space="preserve"> מדינת ישראל נ' סוקוטונג</w:t>
      </w:r>
      <w:r>
        <w:rPr>
          <w:rFonts w:hint="cs"/>
          <w:rtl/>
        </w:rPr>
        <w:t xml:space="preserve"> (10/12/2013, פורסם בנבו), אימץ בית המשפט הסדר טיעון והשית על נאשם, אזרח תאילנד, 4 חודשי מאסר בפועל ומאסר מותנה בשל החזקת 0.8904 גרם סם מסוג מתאמפטאמין ו-42 טבליות.</w:t>
      </w:r>
    </w:p>
    <w:p w14:paraId="50716577" w14:textId="77777777" w:rsidR="00445D73" w:rsidRDefault="00445D73">
      <w:pPr>
        <w:pStyle w:val="a8"/>
        <w:spacing w:after="0"/>
        <w:ind w:left="-58" w:right="142"/>
        <w:rPr>
          <w:rtl/>
        </w:rPr>
      </w:pPr>
    </w:p>
    <w:p w14:paraId="294E6E4F" w14:textId="77777777" w:rsidR="00445D73" w:rsidRDefault="001970EF">
      <w:pPr>
        <w:spacing w:line="360" w:lineRule="auto"/>
        <w:ind w:left="720" w:hanging="778"/>
        <w:jc w:val="both"/>
        <w:rPr>
          <w:rtl/>
        </w:rPr>
      </w:pPr>
      <w:r>
        <w:rPr>
          <w:rFonts w:hint="cs"/>
          <w:rtl/>
        </w:rPr>
        <w:t xml:space="preserve">ט. </w:t>
      </w:r>
      <w:r>
        <w:rPr>
          <w:rtl/>
        </w:rPr>
        <w:tab/>
      </w:r>
      <w:r>
        <w:rPr>
          <w:rFonts w:hint="cs"/>
          <w:rtl/>
        </w:rPr>
        <w:t>לאחר ששקלתי את מכלול הנסיבות הקשורות למעשה העבירה ולמידת אשמה של הנאשמת, לרבות הערך החברתי שנפגע מביצוע העבירה, מידת הפגיעה בערך המוגן ומדיניות הענישה הרווחת, בדגש על העובדה שייצור הסם והחזקתו נועדו לצריכתה העצמית של הנאשמת ולא לשם הפצה לאחרים, סבורני כי מתחם העונש ההולם הנו החל מעונש הצופה פני עתיד ועד ל- 8 חודשי מאסר בפועל, לצד מאסר מותנה, קנס ופסילה של רישיון הנהיגה.</w:t>
      </w:r>
    </w:p>
    <w:p w14:paraId="40EA8BA4" w14:textId="77777777" w:rsidR="00445D73" w:rsidRDefault="00445D73">
      <w:pPr>
        <w:spacing w:line="360" w:lineRule="auto"/>
        <w:ind w:left="26"/>
        <w:jc w:val="both"/>
      </w:pPr>
    </w:p>
    <w:p w14:paraId="00FBDC3D" w14:textId="77777777" w:rsidR="00445D73" w:rsidRDefault="001970EF">
      <w:pPr>
        <w:spacing w:line="360" w:lineRule="auto"/>
        <w:ind w:left="720" w:hanging="778"/>
        <w:jc w:val="both"/>
        <w:rPr>
          <w:rtl/>
        </w:rPr>
      </w:pPr>
      <w:r>
        <w:rPr>
          <w:rFonts w:hint="cs"/>
          <w:rtl/>
        </w:rPr>
        <w:t xml:space="preserve">י. </w:t>
      </w:r>
      <w:r>
        <w:rPr>
          <w:rtl/>
        </w:rPr>
        <w:tab/>
      </w:r>
      <w:r>
        <w:rPr>
          <w:rFonts w:hint="cs"/>
          <w:rtl/>
        </w:rPr>
        <w:t>במקרה דנן, נוכח מכלול נסיבותיו ובשים לב לתסקירי שרות המבחן, מהם עולה כי הנאשמת לא שתפה פעולה עם גורמי הטיפול, כך שאין נתונים בדבר הליך שיקומי חיובי, לא קיימים שיקולים אשר מצדיקים סטייה ממתחם העונש ההולם, לחומרה או לקולא.</w:t>
      </w:r>
    </w:p>
    <w:p w14:paraId="593CB27A" w14:textId="77777777" w:rsidR="00445D73" w:rsidRDefault="00445D73">
      <w:pPr>
        <w:spacing w:line="360" w:lineRule="auto"/>
        <w:jc w:val="both"/>
      </w:pPr>
    </w:p>
    <w:p w14:paraId="0897D382" w14:textId="77777777" w:rsidR="00445D73" w:rsidRDefault="001970EF">
      <w:pPr>
        <w:spacing w:line="360" w:lineRule="auto"/>
        <w:ind w:left="716" w:hanging="690"/>
        <w:jc w:val="both"/>
        <w:rPr>
          <w:rtl/>
        </w:rPr>
      </w:pPr>
      <w:r>
        <w:rPr>
          <w:rFonts w:hint="cs"/>
          <w:rtl/>
        </w:rPr>
        <w:t xml:space="preserve">יא. </w:t>
      </w:r>
      <w:r>
        <w:rPr>
          <w:rtl/>
        </w:rPr>
        <w:tab/>
      </w:r>
      <w:r>
        <w:rPr>
          <w:rFonts w:hint="cs"/>
          <w:rtl/>
        </w:rPr>
        <w:t xml:space="preserve">בתוך מתחם העונש ההולם, על ביהמ"ש לגזור את העונש המתאים לנאשמת, בהתחשב בנסיבות שאינן קשורות בביצוע העבירה, כאמור </w:t>
      </w:r>
      <w:hyperlink r:id="rId32" w:history="1">
        <w:r w:rsidR="00BF3948" w:rsidRPr="00BF3948">
          <w:rPr>
            <w:color w:val="0000FF"/>
            <w:u w:val="single"/>
            <w:rtl/>
          </w:rPr>
          <w:t>בסעיף 40יא</w:t>
        </w:r>
      </w:hyperlink>
      <w:r>
        <w:rPr>
          <w:rFonts w:hint="cs"/>
          <w:rtl/>
        </w:rPr>
        <w:t xml:space="preserve"> לחוק. במסגרת זו, הבאתי בחשבון שיקולי את הנסיבות הבאות:      </w:t>
      </w:r>
    </w:p>
    <w:p w14:paraId="4399D15B" w14:textId="77777777" w:rsidR="00445D73" w:rsidRDefault="00445D73">
      <w:pPr>
        <w:spacing w:line="360" w:lineRule="auto"/>
        <w:ind w:left="716" w:hanging="690"/>
        <w:jc w:val="both"/>
        <w:rPr>
          <w:rtl/>
        </w:rPr>
      </w:pPr>
    </w:p>
    <w:p w14:paraId="7F01738F" w14:textId="77777777" w:rsidR="00445D73" w:rsidRDefault="001970EF">
      <w:pPr>
        <w:pStyle w:val="a8"/>
        <w:spacing w:after="0"/>
        <w:ind w:left="1440" w:right="0" w:hanging="724"/>
        <w:rPr>
          <w:rtl/>
          <w:lang w:eastAsia="he-IL"/>
        </w:rPr>
      </w:pPr>
      <w:r>
        <w:rPr>
          <w:rFonts w:hint="cs"/>
          <w:rtl/>
          <w:lang w:eastAsia="he-IL"/>
        </w:rPr>
        <w:t>1)</w:t>
      </w:r>
      <w:r>
        <w:rPr>
          <w:rtl/>
          <w:lang w:eastAsia="he-IL"/>
        </w:rPr>
        <w:tab/>
      </w:r>
      <w:r>
        <w:rPr>
          <w:rFonts w:hint="cs"/>
          <w:rtl/>
          <w:lang w:eastAsia="he-IL"/>
        </w:rPr>
        <w:t xml:space="preserve">הנאשמת כבת 31, נטולת עבר פלילי, מטופלת בשני ילדים בני 10 ועשרה חודשים. הנאשמת עלתה לארץ מגרוזיה בגיל 9. בגיל 17 עברה הנאשמת תאונת דרכים קשה, במהלכה נפצעה מהותית בפניה ומאז מגלה קשיים בנשימה ומקבלת טיפול תומך. מאישור רפואי שהוגש לבית המשפט לאחר מועד הטיעונים לעונש, עולה כי הנאשמת סובלת אף מאפילפסיה. הנאשמת מסרה לשרות המבחן כי בעקבות התאונה והשלכותיה בצעה שני ניסיונות אובדניים והחלה להשתמש בסם נושא כתב האישום. אין לנאשמת קשר עם אבי בנה הבכור, אשר נהג כלפיה באלימות. הנאשמת מתגוררת כיום עם בן זוגה ואבי בנה הפעוט בכפר הסמוך לשכם, בשטחי הרשות הפלסטינית. ברי כי בנסיבות המתוארות, השתת עונש של מאסר בפועל על הנאשמת, תפגע בצורה משמעותית בנאשמת ובילדיה הקטינים.      </w:t>
      </w:r>
    </w:p>
    <w:p w14:paraId="75BB3D8A" w14:textId="77777777" w:rsidR="00445D73" w:rsidRDefault="00445D73">
      <w:pPr>
        <w:pStyle w:val="a8"/>
        <w:spacing w:after="0"/>
        <w:ind w:left="1440" w:right="0" w:hanging="724"/>
        <w:rPr>
          <w:lang w:eastAsia="he-IL"/>
        </w:rPr>
      </w:pPr>
    </w:p>
    <w:p w14:paraId="2B34DC6F" w14:textId="77777777" w:rsidR="00445D73" w:rsidRDefault="001970EF">
      <w:pPr>
        <w:pStyle w:val="a8"/>
        <w:spacing w:after="0"/>
        <w:ind w:left="1436" w:right="0" w:hanging="720"/>
        <w:rPr>
          <w:rtl/>
          <w:lang w:eastAsia="he-IL"/>
        </w:rPr>
      </w:pPr>
      <w:r>
        <w:rPr>
          <w:rFonts w:hint="cs"/>
          <w:rtl/>
          <w:lang w:eastAsia="he-IL"/>
        </w:rPr>
        <w:t xml:space="preserve">2) </w:t>
      </w:r>
      <w:r>
        <w:rPr>
          <w:rtl/>
          <w:lang w:eastAsia="he-IL"/>
        </w:rPr>
        <w:tab/>
      </w:r>
      <w:r>
        <w:rPr>
          <w:rFonts w:hint="cs"/>
          <w:rtl/>
          <w:lang w:eastAsia="he-IL"/>
        </w:rPr>
        <w:t>מתסקירי שרות המבחן עולה כי בתאריך 23/11/15 הגיעה הנאשמת לפגישת הכרות ביחידה העירונית לנפגעי סמים בנתניה, בית חוסן, והחלה בהליך אבחון. הנאשמת התקשתה להגיע ליחידה ונראה היה שמצויה במשבר רגשי נוכח מצבה. הנאשמת מסרה בדיקות שתן ובהן שרידי סמים מסוג אמפיטמינים. בהמשך לזאת, הוחלט כי אינה מתאימה לטיפול בבית חוסן. עוד נרשם בתסקיר שרות המבחן, כי הנאשמת איננה מוכנה לשתף את גורמי הטיפול בחייה האישים ואינה רואה תועלת בטיפול. נוכח התנהלות הנאשמת ואי רצונה לעת הזו בטיפול, נמנע שרות המבחן ממתן המלצה שיקומית בעניינה של הנאשמת.</w:t>
      </w:r>
    </w:p>
    <w:p w14:paraId="25F94732" w14:textId="77777777" w:rsidR="00445D73" w:rsidRDefault="001970EF">
      <w:pPr>
        <w:pStyle w:val="a8"/>
        <w:spacing w:after="0"/>
        <w:ind w:left="1436" w:right="0" w:firstLine="58"/>
        <w:rPr>
          <w:rtl/>
          <w:lang w:eastAsia="he-IL"/>
        </w:rPr>
      </w:pPr>
      <w:r>
        <w:rPr>
          <w:rFonts w:hint="cs"/>
          <w:rtl/>
          <w:lang w:eastAsia="he-IL"/>
        </w:rPr>
        <w:t xml:space="preserve">לא למותר להוסיף בהקשר זה, כי בתסקיר המשלים שהוגש לבית המשפט בתאריך 28/3/16, נרשם כי מוכר לשרות המבחן מצב בו מכורים לסמים משתמשים גם בתרופות הניתנות להם במרשם. כשעולה חשש לשימוש לרעה בתרופות, מתבקש לא אחת המטופל לבדוק מול הרופא המטפל אפשרות להחלפת התרופה. הנאשמת הגיבה בנוקשות ובהתנגדות משמעותית לצעד מעין זה, דבר שעלול להצביע, בין היתר,  על חומרת מצבה. </w:t>
      </w:r>
    </w:p>
    <w:p w14:paraId="672D1DD5" w14:textId="77777777" w:rsidR="00445D73" w:rsidRDefault="00445D73">
      <w:pPr>
        <w:pStyle w:val="a8"/>
        <w:spacing w:after="0"/>
        <w:ind w:left="1436" w:right="0" w:firstLine="58"/>
        <w:rPr>
          <w:rtl/>
          <w:lang w:eastAsia="he-IL"/>
        </w:rPr>
      </w:pPr>
    </w:p>
    <w:p w14:paraId="48DE57F5" w14:textId="77777777" w:rsidR="00445D73" w:rsidRDefault="001970EF">
      <w:pPr>
        <w:pStyle w:val="a8"/>
        <w:spacing w:after="0"/>
        <w:ind w:left="1436" w:right="0" w:hanging="716"/>
        <w:rPr>
          <w:rtl/>
          <w:lang w:eastAsia="he-IL"/>
        </w:rPr>
      </w:pPr>
      <w:r>
        <w:rPr>
          <w:rFonts w:hint="cs"/>
          <w:rtl/>
          <w:lang w:eastAsia="he-IL"/>
        </w:rPr>
        <w:t>3)</w:t>
      </w:r>
      <w:r>
        <w:rPr>
          <w:rtl/>
          <w:lang w:eastAsia="he-IL"/>
        </w:rPr>
        <w:tab/>
      </w:r>
      <w:r>
        <w:rPr>
          <w:rFonts w:hint="cs"/>
          <w:rtl/>
          <w:lang w:eastAsia="he-IL"/>
        </w:rPr>
        <w:t>מחוות דעת הממונה על עבודות השרות, אליה צורפה חוו"ד של מנהלת מעבדות ארצית בשב"ס, עולה כי בתאריך 31/3/16 מסרה הנאשמת דגימת שתן. בבדיקת אימות של הדגימה נתגלה מטאמפטאמין וכן המטבוליט שלו אמפטאמין. מסקנת חוות הדעת הנה שהנאשמת השתמשה בסם האמפטמיני מטאמפטאמין, הנכלל ב</w:t>
      </w:r>
      <w:hyperlink r:id="rId33" w:history="1">
        <w:r w:rsidRPr="001970EF">
          <w:rPr>
            <w:color w:val="0000FF"/>
            <w:u w:val="single"/>
            <w:rtl/>
            <w:lang w:eastAsia="he-IL"/>
          </w:rPr>
          <w:t>פקודת הסמים המסוכנים</w:t>
        </w:r>
      </w:hyperlink>
      <w:r>
        <w:rPr>
          <w:rFonts w:hint="cs"/>
          <w:rtl/>
          <w:lang w:eastAsia="he-IL"/>
        </w:rPr>
        <w:t xml:space="preserve">. בהמשך לזאת, נקבע כי הנאשמת אינה מתאימה לריצוי עונש בדרך של עבודות שרות. </w:t>
      </w:r>
    </w:p>
    <w:p w14:paraId="14E13B35" w14:textId="77777777" w:rsidR="00445D73" w:rsidRDefault="00445D73">
      <w:pPr>
        <w:pStyle w:val="a8"/>
        <w:spacing w:after="0"/>
        <w:ind w:left="-58" w:right="0"/>
        <w:rPr>
          <w:rtl/>
          <w:lang w:eastAsia="he-IL"/>
        </w:rPr>
      </w:pPr>
    </w:p>
    <w:p w14:paraId="1FA914A2" w14:textId="77777777" w:rsidR="00445D73" w:rsidRDefault="001970EF">
      <w:pPr>
        <w:pStyle w:val="a8"/>
        <w:spacing w:after="0"/>
        <w:ind w:left="1436" w:right="0" w:hanging="716"/>
        <w:rPr>
          <w:rtl/>
          <w:lang w:eastAsia="he-IL"/>
        </w:rPr>
      </w:pPr>
      <w:r>
        <w:rPr>
          <w:rFonts w:hint="cs"/>
          <w:rtl/>
          <w:lang w:eastAsia="he-IL"/>
        </w:rPr>
        <w:t>4)</w:t>
      </w:r>
      <w:r>
        <w:rPr>
          <w:rtl/>
          <w:lang w:eastAsia="he-IL"/>
        </w:rPr>
        <w:tab/>
      </w:r>
      <w:r>
        <w:rPr>
          <w:rFonts w:hint="cs"/>
          <w:rtl/>
          <w:lang w:eastAsia="he-IL"/>
        </w:rPr>
        <w:t xml:space="preserve">הנאשמת הודתה בשני כתבי האישום המתוקנים, ללא צורך בשמיעת ראיות, תוך חיסכון בזמן השיפוטי ובזמנם של עדי התביעה. </w:t>
      </w:r>
    </w:p>
    <w:p w14:paraId="34893D0E" w14:textId="77777777" w:rsidR="00445D73" w:rsidRDefault="00445D73">
      <w:pPr>
        <w:pStyle w:val="a8"/>
        <w:ind w:left="-58" w:right="0"/>
        <w:rPr>
          <w:rtl/>
          <w:lang w:eastAsia="he-IL"/>
        </w:rPr>
      </w:pPr>
    </w:p>
    <w:p w14:paraId="0FF81064" w14:textId="77777777" w:rsidR="00445D73" w:rsidRDefault="001970EF">
      <w:pPr>
        <w:pStyle w:val="a8"/>
        <w:spacing w:after="0"/>
        <w:ind w:left="1436" w:right="0" w:hanging="716"/>
        <w:rPr>
          <w:rtl/>
          <w:lang w:eastAsia="he-IL"/>
        </w:rPr>
      </w:pPr>
      <w:r>
        <w:rPr>
          <w:rFonts w:hint="cs"/>
          <w:rtl/>
          <w:lang w:eastAsia="he-IL"/>
        </w:rPr>
        <w:t xml:space="preserve">5) </w:t>
      </w:r>
      <w:r>
        <w:rPr>
          <w:rtl/>
          <w:lang w:eastAsia="he-IL"/>
        </w:rPr>
        <w:tab/>
      </w:r>
      <w:r>
        <w:rPr>
          <w:rFonts w:hint="cs"/>
          <w:rtl/>
          <w:lang w:eastAsia="he-IL"/>
        </w:rPr>
        <w:t xml:space="preserve">מאז ביצוע העבירות מושא כתבי האישום חלפו כשלוש שנים, במהלכן לא נפתחו כנגד הנאשמת תיקים נוספים.      </w:t>
      </w:r>
    </w:p>
    <w:p w14:paraId="3A9978B0" w14:textId="77777777" w:rsidR="00445D73" w:rsidRDefault="00445D73">
      <w:pPr>
        <w:pStyle w:val="a8"/>
        <w:spacing w:after="0"/>
        <w:ind w:left="-58" w:right="0"/>
        <w:rPr>
          <w:rtl/>
          <w:lang w:eastAsia="he-IL"/>
        </w:rPr>
      </w:pPr>
    </w:p>
    <w:p w14:paraId="2CB7BFCC" w14:textId="77777777" w:rsidR="00445D73" w:rsidRDefault="001970EF">
      <w:pPr>
        <w:pStyle w:val="a8"/>
        <w:spacing w:after="0"/>
        <w:ind w:left="720" w:right="0" w:hanging="778"/>
        <w:rPr>
          <w:rtl/>
          <w:lang w:eastAsia="he-IL"/>
        </w:rPr>
      </w:pPr>
      <w:r>
        <w:rPr>
          <w:rFonts w:hint="cs"/>
          <w:rtl/>
          <w:lang w:eastAsia="he-IL"/>
        </w:rPr>
        <w:t xml:space="preserve">יב. </w:t>
      </w:r>
      <w:r>
        <w:rPr>
          <w:rtl/>
          <w:lang w:eastAsia="he-IL"/>
        </w:rPr>
        <w:tab/>
      </w:r>
      <w:r>
        <w:rPr>
          <w:rFonts w:hint="cs"/>
          <w:rtl/>
          <w:lang w:eastAsia="he-IL"/>
        </w:rPr>
        <w:t xml:space="preserve">לאחר שנתתי דעתי למכלול נסיבות העניין ולטיעוני הצדדים באתי לכלל מסקנה כי מבחינת נסיבות ביצוע העבירות המיוחסות לנאשמת, השיקול המכריע כרוך בעובדה שהחזקת הסם וייצורו נועדו לצריכתה העצמית של הנאשמת. המקרה דנן מעורר קושי נוכח העובדה שהכמויות המפורטות בכתבי האישום המתוקנים עולות במידה ניכרת על הכמויות המוגדרות לצורך צריכה עצמית על פי חוק. יחד עם זאת, משבחרה המאשימה לתקן את כתבי האישום ולייחס לנאשמת החזקת סם לשימוש עצמי בלבד, אין מקום לביצוע גזירה שווה מן הפסיקה המתייחסת להחזקת כמויות דומות של סם, שלא לצריכה עצמית. נסיבותיה האישיות של הנאשמת, לרבות תאונת הדרכים שעברה, על הנזקים שנגרמו לה, היותה נטולת עבר פלילי ומטופלת בפעוט כבן שנה ומצבה הנפשי המורכב, מטים את הכף לטובת גזירת הדין בתחתית מתחם העונש ההולם, חרף החשש הממשי כי הנאשמת מוסיפה ומשתמשת בסמים גם כיום.      </w:t>
      </w:r>
    </w:p>
    <w:p w14:paraId="2045B001" w14:textId="77777777" w:rsidR="00445D73" w:rsidRDefault="00445D73">
      <w:pPr>
        <w:pStyle w:val="a8"/>
        <w:spacing w:after="0"/>
        <w:ind w:left="720" w:right="0" w:hanging="778"/>
        <w:rPr>
          <w:rtl/>
          <w:lang w:eastAsia="he-IL"/>
        </w:rPr>
      </w:pPr>
    </w:p>
    <w:p w14:paraId="2C7DE75D" w14:textId="77777777" w:rsidR="00445D73" w:rsidRDefault="001970EF">
      <w:pPr>
        <w:spacing w:line="360" w:lineRule="auto"/>
        <w:jc w:val="both"/>
        <w:rPr>
          <w:rtl/>
        </w:rPr>
      </w:pPr>
      <w:r>
        <w:rPr>
          <w:rFonts w:hint="cs"/>
          <w:rtl/>
        </w:rPr>
        <w:t>יג.</w:t>
      </w:r>
      <w:r>
        <w:rPr>
          <w:rtl/>
        </w:rPr>
        <w:tab/>
      </w:r>
      <w:r>
        <w:rPr>
          <w:rFonts w:hint="cs"/>
          <w:u w:val="single"/>
          <w:rtl/>
        </w:rPr>
        <w:t>נוכח כל האמור מעלה, אני גוזרת על הנאשמת את העונשים הבאים</w:t>
      </w:r>
      <w:r>
        <w:rPr>
          <w:rFonts w:hint="cs"/>
          <w:rtl/>
        </w:rPr>
        <w:t xml:space="preserve">: </w:t>
      </w:r>
    </w:p>
    <w:p w14:paraId="75219BD2" w14:textId="77777777" w:rsidR="00445D73" w:rsidRDefault="00445D73">
      <w:pPr>
        <w:spacing w:line="360" w:lineRule="auto"/>
        <w:jc w:val="both"/>
      </w:pPr>
    </w:p>
    <w:p w14:paraId="2563BA9B" w14:textId="77777777" w:rsidR="00445D73" w:rsidRDefault="001970EF">
      <w:pPr>
        <w:pStyle w:val="a"/>
        <w:numPr>
          <w:ilvl w:val="0"/>
          <w:numId w:val="0"/>
        </w:numPr>
        <w:tabs>
          <w:tab w:val="left" w:pos="720"/>
        </w:tabs>
        <w:spacing w:after="0"/>
        <w:ind w:left="1440" w:right="357" w:hanging="1080"/>
        <w:rPr>
          <w:rtl/>
          <w:lang w:eastAsia="he-IL"/>
        </w:rPr>
      </w:pPr>
      <w:r>
        <w:rPr>
          <w:rtl/>
          <w:lang w:eastAsia="he-IL"/>
        </w:rPr>
        <w:tab/>
      </w:r>
      <w:r>
        <w:rPr>
          <w:rFonts w:hint="cs"/>
          <w:rtl/>
          <w:lang w:eastAsia="he-IL"/>
        </w:rPr>
        <w:t xml:space="preserve">א. </w:t>
      </w:r>
      <w:r>
        <w:rPr>
          <w:rFonts w:hint="cs"/>
          <w:rtl/>
          <w:lang w:eastAsia="he-IL"/>
        </w:rPr>
        <w:tab/>
        <w:t xml:space="preserve">10 חודשי מאסר על תנאי לבל תעבור הנאשמת במשך שלוש שנים מהיום כל עבירה מסוג פשע לפי </w:t>
      </w:r>
      <w:hyperlink r:id="rId34" w:history="1">
        <w:r w:rsidRPr="001970EF">
          <w:rPr>
            <w:color w:val="0000FF"/>
            <w:u w:val="single"/>
            <w:rtl/>
            <w:lang w:eastAsia="he-IL"/>
          </w:rPr>
          <w:t>פקודת הסמים המסוכנים</w:t>
        </w:r>
      </w:hyperlink>
      <w:r>
        <w:rPr>
          <w:rFonts w:hint="cs"/>
          <w:rtl/>
          <w:lang w:eastAsia="he-IL"/>
        </w:rPr>
        <w:t xml:space="preserve">. </w:t>
      </w:r>
    </w:p>
    <w:p w14:paraId="7DFA94C3" w14:textId="77777777" w:rsidR="00445D73" w:rsidRDefault="00445D73">
      <w:pPr>
        <w:pStyle w:val="a"/>
        <w:numPr>
          <w:ilvl w:val="0"/>
          <w:numId w:val="0"/>
        </w:numPr>
        <w:tabs>
          <w:tab w:val="left" w:pos="720"/>
        </w:tabs>
        <w:spacing w:after="0"/>
        <w:ind w:left="720" w:right="357" w:hanging="360"/>
        <w:rPr>
          <w:rtl/>
          <w:lang w:eastAsia="he-IL"/>
        </w:rPr>
      </w:pPr>
    </w:p>
    <w:p w14:paraId="1129EF7C" w14:textId="77777777" w:rsidR="00445D73" w:rsidRDefault="001970EF">
      <w:pPr>
        <w:pStyle w:val="a"/>
        <w:numPr>
          <w:ilvl w:val="0"/>
          <w:numId w:val="0"/>
        </w:numPr>
        <w:tabs>
          <w:tab w:val="left" w:pos="720"/>
        </w:tabs>
        <w:spacing w:after="0"/>
        <w:ind w:left="1440" w:right="357" w:hanging="1080"/>
        <w:rPr>
          <w:rtl/>
          <w:lang w:eastAsia="he-IL"/>
        </w:rPr>
      </w:pPr>
      <w:r>
        <w:rPr>
          <w:rtl/>
          <w:lang w:eastAsia="he-IL"/>
        </w:rPr>
        <w:tab/>
      </w:r>
      <w:r>
        <w:rPr>
          <w:rFonts w:hint="cs"/>
          <w:rtl/>
          <w:lang w:eastAsia="he-IL"/>
        </w:rPr>
        <w:t xml:space="preserve">ב. </w:t>
      </w:r>
      <w:r>
        <w:rPr>
          <w:rtl/>
          <w:lang w:eastAsia="he-IL"/>
        </w:rPr>
        <w:tab/>
      </w:r>
      <w:r>
        <w:rPr>
          <w:rFonts w:hint="cs"/>
          <w:rtl/>
          <w:lang w:eastAsia="he-IL"/>
        </w:rPr>
        <w:t xml:space="preserve">5 חודשי מאסר על תנאי לבל תעבור הנאשמת במשך שלוש שנים מהיום כל עבירה מסוג עוון לפי </w:t>
      </w:r>
      <w:hyperlink r:id="rId35" w:history="1">
        <w:r w:rsidRPr="001970EF">
          <w:rPr>
            <w:color w:val="0000FF"/>
            <w:u w:val="single"/>
            <w:rtl/>
            <w:lang w:eastAsia="he-IL"/>
          </w:rPr>
          <w:t>פקודת הסמים המסוכנים</w:t>
        </w:r>
      </w:hyperlink>
      <w:r>
        <w:rPr>
          <w:rFonts w:hint="cs"/>
          <w:rtl/>
          <w:lang w:eastAsia="he-IL"/>
        </w:rPr>
        <w:t xml:space="preserve">. </w:t>
      </w:r>
    </w:p>
    <w:p w14:paraId="10D5183B" w14:textId="77777777" w:rsidR="00445D73" w:rsidRDefault="001970EF">
      <w:pPr>
        <w:pStyle w:val="a"/>
        <w:numPr>
          <w:ilvl w:val="0"/>
          <w:numId w:val="0"/>
        </w:numPr>
        <w:tabs>
          <w:tab w:val="left" w:pos="720"/>
        </w:tabs>
        <w:spacing w:after="0"/>
        <w:ind w:left="720" w:right="357" w:hanging="360"/>
        <w:rPr>
          <w:rtl/>
          <w:lang w:eastAsia="he-IL"/>
        </w:rPr>
      </w:pPr>
      <w:r>
        <w:rPr>
          <w:rtl/>
          <w:lang w:eastAsia="he-IL"/>
        </w:rPr>
        <w:tab/>
      </w:r>
    </w:p>
    <w:p w14:paraId="5A0F3B0A" w14:textId="77777777" w:rsidR="00445D73" w:rsidRDefault="001970EF">
      <w:pPr>
        <w:pStyle w:val="a"/>
        <w:numPr>
          <w:ilvl w:val="0"/>
          <w:numId w:val="0"/>
        </w:numPr>
        <w:tabs>
          <w:tab w:val="left" w:pos="720"/>
        </w:tabs>
        <w:spacing w:after="0"/>
        <w:ind w:left="1440" w:right="357" w:hanging="1080"/>
        <w:rPr>
          <w:rtl/>
          <w:lang w:eastAsia="he-IL"/>
        </w:rPr>
      </w:pPr>
      <w:r>
        <w:rPr>
          <w:rtl/>
          <w:lang w:eastAsia="he-IL"/>
        </w:rPr>
        <w:tab/>
      </w:r>
      <w:r>
        <w:rPr>
          <w:rFonts w:hint="cs"/>
          <w:rtl/>
          <w:lang w:eastAsia="he-IL"/>
        </w:rPr>
        <w:t xml:space="preserve">ג. </w:t>
      </w:r>
      <w:r>
        <w:rPr>
          <w:rFonts w:hint="cs"/>
          <w:rtl/>
          <w:lang w:eastAsia="he-IL"/>
        </w:rPr>
        <w:tab/>
        <w:t xml:space="preserve">קנס בסך של 1500 ₪ או 30 ימי מאסר תמורתו. הקנס ישולם בחמישה תשלומים חודשיים שווים ורצופים שהראשון שבהם ביום 15.6.16 והיתרה מידי 30 יום לאחר מכן. </w:t>
      </w:r>
    </w:p>
    <w:p w14:paraId="1558E3E6" w14:textId="77777777" w:rsidR="00445D73" w:rsidRDefault="001970EF">
      <w:pPr>
        <w:pStyle w:val="a"/>
        <w:numPr>
          <w:ilvl w:val="0"/>
          <w:numId w:val="0"/>
        </w:numPr>
        <w:tabs>
          <w:tab w:val="left" w:pos="720"/>
        </w:tabs>
        <w:spacing w:after="0"/>
        <w:ind w:left="720" w:right="357"/>
        <w:rPr>
          <w:rtl/>
          <w:lang w:eastAsia="he-IL"/>
        </w:rPr>
      </w:pPr>
      <w:r>
        <w:rPr>
          <w:rtl/>
          <w:lang w:eastAsia="he-IL"/>
        </w:rPr>
        <w:tab/>
      </w:r>
      <w:r>
        <w:rPr>
          <w:rFonts w:hint="cs"/>
          <w:rtl/>
          <w:lang w:eastAsia="he-IL"/>
        </w:rPr>
        <w:t xml:space="preserve">לא ישולם תשלום כלשהו במועדו, תעמוד היתרה לפירעון מיידי. </w:t>
      </w:r>
    </w:p>
    <w:p w14:paraId="0E2BAC4D" w14:textId="77777777" w:rsidR="00445D73" w:rsidRDefault="00445D73">
      <w:pPr>
        <w:pStyle w:val="a"/>
        <w:numPr>
          <w:ilvl w:val="0"/>
          <w:numId w:val="0"/>
        </w:numPr>
        <w:tabs>
          <w:tab w:val="left" w:pos="720"/>
        </w:tabs>
        <w:spacing w:after="0"/>
        <w:ind w:left="360"/>
        <w:rPr>
          <w:rtl/>
          <w:lang w:eastAsia="he-IL"/>
        </w:rPr>
      </w:pPr>
    </w:p>
    <w:p w14:paraId="3C7DACDC" w14:textId="77777777" w:rsidR="00445D73" w:rsidRDefault="001970EF">
      <w:pPr>
        <w:pStyle w:val="a"/>
        <w:numPr>
          <w:ilvl w:val="0"/>
          <w:numId w:val="0"/>
        </w:numPr>
        <w:tabs>
          <w:tab w:val="left" w:pos="720"/>
        </w:tabs>
        <w:spacing w:after="0"/>
        <w:ind w:left="1440" w:right="357" w:hanging="1080"/>
        <w:rPr>
          <w:rtl/>
          <w:lang w:eastAsia="he-IL"/>
        </w:rPr>
      </w:pPr>
      <w:r>
        <w:rPr>
          <w:rtl/>
          <w:lang w:eastAsia="he-IL"/>
        </w:rPr>
        <w:tab/>
      </w:r>
      <w:r>
        <w:rPr>
          <w:rFonts w:hint="cs"/>
          <w:rtl/>
          <w:lang w:eastAsia="he-IL"/>
        </w:rPr>
        <w:t>ד.</w:t>
      </w:r>
      <w:r>
        <w:rPr>
          <w:rtl/>
          <w:lang w:eastAsia="he-IL"/>
        </w:rPr>
        <w:tab/>
      </w:r>
      <w:r>
        <w:rPr>
          <w:rFonts w:hint="cs"/>
          <w:rtl/>
          <w:lang w:eastAsia="he-IL"/>
        </w:rPr>
        <w:t>פסילה בפועל מלקבל או מלהחזיק ברישיון נהיגה למשך שנה מהיום. הנאשמת תפקיד את רישיונה או הצהרה מתאימה במזכירות בית-המשפט תוך 14 יום.</w:t>
      </w:r>
    </w:p>
    <w:p w14:paraId="3C5D582D" w14:textId="77777777" w:rsidR="00445D73" w:rsidRDefault="00445D73">
      <w:pPr>
        <w:pStyle w:val="a"/>
        <w:numPr>
          <w:ilvl w:val="0"/>
          <w:numId w:val="0"/>
        </w:numPr>
        <w:tabs>
          <w:tab w:val="left" w:pos="720"/>
        </w:tabs>
        <w:spacing w:after="0"/>
        <w:ind w:left="360" w:right="357"/>
        <w:rPr>
          <w:rtl/>
          <w:lang w:eastAsia="he-IL"/>
        </w:rPr>
      </w:pPr>
    </w:p>
    <w:p w14:paraId="640C9189" w14:textId="77777777" w:rsidR="00445D73" w:rsidRDefault="001970EF">
      <w:pPr>
        <w:pStyle w:val="a"/>
        <w:numPr>
          <w:ilvl w:val="0"/>
          <w:numId w:val="0"/>
        </w:numPr>
        <w:tabs>
          <w:tab w:val="left" w:pos="720"/>
        </w:tabs>
        <w:spacing w:after="0"/>
        <w:ind w:left="1440" w:right="357" w:hanging="1080"/>
        <w:rPr>
          <w:rtl/>
          <w:lang w:eastAsia="he-IL"/>
        </w:rPr>
      </w:pPr>
      <w:r>
        <w:rPr>
          <w:rtl/>
          <w:lang w:eastAsia="he-IL"/>
        </w:rPr>
        <w:tab/>
      </w:r>
      <w:r>
        <w:rPr>
          <w:rFonts w:hint="cs"/>
          <w:rtl/>
          <w:lang w:eastAsia="he-IL"/>
        </w:rPr>
        <w:t>ה.</w:t>
      </w:r>
      <w:r>
        <w:rPr>
          <w:rtl/>
          <w:lang w:eastAsia="he-IL"/>
        </w:rPr>
        <w:tab/>
      </w:r>
      <w:r>
        <w:rPr>
          <w:rFonts w:hint="cs"/>
          <w:rtl/>
          <w:lang w:eastAsia="he-IL"/>
        </w:rPr>
        <w:t xml:space="preserve">12 חודשי פסילה על תנאי מלקבל או מלהחזיק רישיון נהיגה לבל תעבור הנאשמת במשך שנתיים מהיום כל עבירה לפי פקודת הסמים. </w:t>
      </w:r>
    </w:p>
    <w:p w14:paraId="513810C8" w14:textId="77777777" w:rsidR="00445D73" w:rsidRDefault="00445D73">
      <w:pPr>
        <w:pStyle w:val="a"/>
        <w:numPr>
          <w:ilvl w:val="0"/>
          <w:numId w:val="0"/>
        </w:numPr>
        <w:tabs>
          <w:tab w:val="left" w:pos="720"/>
        </w:tabs>
        <w:spacing w:after="0"/>
        <w:ind w:left="360"/>
        <w:rPr>
          <w:rtl/>
          <w:lang w:eastAsia="he-IL"/>
        </w:rPr>
      </w:pPr>
    </w:p>
    <w:p w14:paraId="6EE8A497" w14:textId="77777777" w:rsidR="00445D73" w:rsidRDefault="001970EF">
      <w:pPr>
        <w:pStyle w:val="a"/>
        <w:numPr>
          <w:ilvl w:val="0"/>
          <w:numId w:val="0"/>
        </w:numPr>
        <w:tabs>
          <w:tab w:val="left" w:pos="720"/>
        </w:tabs>
        <w:spacing w:after="0"/>
        <w:ind w:left="360"/>
        <w:rPr>
          <w:rtl/>
          <w:lang w:eastAsia="he-IL"/>
        </w:rPr>
      </w:pPr>
      <w:r>
        <w:rPr>
          <w:rtl/>
          <w:lang w:eastAsia="he-IL"/>
        </w:rPr>
        <w:tab/>
      </w:r>
      <w:r>
        <w:rPr>
          <w:rFonts w:hint="cs"/>
          <w:rtl/>
          <w:lang w:eastAsia="he-IL"/>
        </w:rPr>
        <w:t>ו.</w:t>
      </w:r>
      <w:r>
        <w:rPr>
          <w:rFonts w:hint="cs"/>
          <w:rtl/>
          <w:lang w:eastAsia="he-IL"/>
        </w:rPr>
        <w:tab/>
        <w:t>המוצגים יושמדו.</w:t>
      </w:r>
    </w:p>
    <w:p w14:paraId="6DFF302F" w14:textId="77777777" w:rsidR="00445D73" w:rsidRDefault="00445D73">
      <w:pPr>
        <w:pStyle w:val="a"/>
        <w:numPr>
          <w:ilvl w:val="0"/>
          <w:numId w:val="0"/>
        </w:numPr>
        <w:tabs>
          <w:tab w:val="left" w:pos="720"/>
        </w:tabs>
        <w:spacing w:after="0"/>
        <w:ind w:left="360"/>
        <w:rPr>
          <w:rtl/>
          <w:lang w:eastAsia="he-IL"/>
        </w:rPr>
      </w:pPr>
    </w:p>
    <w:p w14:paraId="71E87AAD" w14:textId="77777777" w:rsidR="00445D73" w:rsidRDefault="001970EF">
      <w:pPr>
        <w:spacing w:line="360" w:lineRule="auto"/>
        <w:ind w:left="360"/>
        <w:jc w:val="both"/>
        <w:rPr>
          <w:rtl/>
        </w:rPr>
      </w:pPr>
      <w:r>
        <w:rPr>
          <w:rFonts w:hint="cs"/>
          <w:rtl/>
        </w:rPr>
        <w:t>ככל שקיים פיקדון בתיק המעצר, מורה כי סכום הקנס ישולם, לבקשת הנאשמת, מסכום הפיקדון האמור, ויתרת הכסף תושב לעו"ד ניר דוד לפי הפרטים הבאים: בנק דיסקונט חשבון 9359567 סניף 092, כל זאת בכפוף להוראת כל דין או להוראה משפטית מחייבת אחרת.</w:t>
      </w:r>
    </w:p>
    <w:p w14:paraId="7EB72592" w14:textId="77777777" w:rsidR="00445D73" w:rsidRDefault="00445D73">
      <w:pPr>
        <w:pStyle w:val="a"/>
        <w:numPr>
          <w:ilvl w:val="0"/>
          <w:numId w:val="0"/>
        </w:numPr>
        <w:tabs>
          <w:tab w:val="left" w:pos="720"/>
        </w:tabs>
        <w:ind w:left="360"/>
        <w:rPr>
          <w:rtl/>
          <w:lang w:eastAsia="he-IL"/>
        </w:rPr>
      </w:pPr>
    </w:p>
    <w:p w14:paraId="53295370" w14:textId="77777777" w:rsidR="00445D73" w:rsidRDefault="001970EF">
      <w:pPr>
        <w:pStyle w:val="a"/>
        <w:numPr>
          <w:ilvl w:val="0"/>
          <w:numId w:val="0"/>
        </w:numPr>
        <w:tabs>
          <w:tab w:val="left" w:pos="720"/>
        </w:tabs>
        <w:rPr>
          <w:u w:val="single"/>
          <w:rtl/>
          <w:lang w:eastAsia="he-IL"/>
        </w:rPr>
      </w:pPr>
      <w:r>
        <w:rPr>
          <w:rFonts w:hint="cs"/>
          <w:u w:val="single"/>
          <w:rtl/>
          <w:lang w:eastAsia="he-IL"/>
        </w:rPr>
        <w:t>זכות ערעור תוך 45 יום לבית המשפט המחוזי מרכז.</w:t>
      </w:r>
    </w:p>
    <w:p w14:paraId="7372E433" w14:textId="77777777" w:rsidR="00445D73" w:rsidRDefault="00445D73">
      <w:pPr>
        <w:spacing w:line="360" w:lineRule="auto"/>
        <w:jc w:val="both"/>
        <w:rPr>
          <w:rtl/>
        </w:rPr>
      </w:pPr>
    </w:p>
    <w:p w14:paraId="19A963AD" w14:textId="77777777" w:rsidR="00445D73" w:rsidRDefault="001970EF">
      <w:pPr>
        <w:spacing w:line="360" w:lineRule="auto"/>
        <w:jc w:val="both"/>
        <w:rPr>
          <w:sz w:val="6"/>
          <w:szCs w:val="6"/>
        </w:rPr>
      </w:pPr>
      <w:r>
        <w:rPr>
          <w:sz w:val="6"/>
          <w:szCs w:val="6"/>
          <w:rtl/>
        </w:rPr>
        <w:t>&lt;#3#&gt;</w:t>
      </w:r>
    </w:p>
    <w:p w14:paraId="1261B419" w14:textId="77777777" w:rsidR="00445D73" w:rsidRDefault="00445D73">
      <w:pPr>
        <w:jc w:val="right"/>
        <w:rPr>
          <w:rtl/>
        </w:rPr>
      </w:pPr>
    </w:p>
    <w:p w14:paraId="4946EB2A" w14:textId="77777777" w:rsidR="00445D73" w:rsidRDefault="001970EF">
      <w:pPr>
        <w:jc w:val="center"/>
        <w:rPr>
          <w:rtl/>
        </w:rPr>
      </w:pPr>
      <w:r>
        <w:rPr>
          <w:b/>
          <w:bCs/>
          <w:rtl/>
        </w:rPr>
        <w:t xml:space="preserve">ניתנה והודעה היום א' אייר תשע"ו, 09/05/2016 במעמד הנוכחים. </w:t>
      </w:r>
    </w:p>
    <w:p w14:paraId="40B87A0F" w14:textId="77777777" w:rsidR="00445D73" w:rsidRPr="001970EF" w:rsidRDefault="001970EF">
      <w:pPr>
        <w:jc w:val="right"/>
        <w:rPr>
          <w:color w:val="FFFFFF"/>
          <w:sz w:val="2"/>
          <w:szCs w:val="2"/>
          <w:rtl/>
        </w:rPr>
      </w:pPr>
      <w:r w:rsidRPr="001970E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45D73" w14:paraId="13A45CEC" w14:textId="77777777">
        <w:trPr>
          <w:trHeight w:val="316"/>
          <w:jc w:val="right"/>
        </w:trPr>
        <w:tc>
          <w:tcPr>
            <w:tcW w:w="3936" w:type="dxa"/>
            <w:shd w:val="clear" w:color="auto" w:fill="auto"/>
          </w:tcPr>
          <w:p w14:paraId="002F5616" w14:textId="77777777" w:rsidR="00445D73" w:rsidRPr="001970EF" w:rsidRDefault="001970EF">
            <w:pPr>
              <w:jc w:val="center"/>
              <w:rPr>
                <w:rFonts w:ascii="Times New Roman" w:eastAsia="Times New Roman" w:hAnsi="Times New Roman" w:cs="Times New Roman"/>
                <w:color w:val="FFFFFF"/>
                <w:sz w:val="2"/>
                <w:szCs w:val="2"/>
              </w:rPr>
            </w:pPr>
            <w:r w:rsidRPr="001970EF">
              <w:rPr>
                <w:rFonts w:ascii="Times New Roman" w:eastAsia="Times New Roman" w:hAnsi="Times New Roman" w:cs="Times New Roman"/>
                <w:color w:val="FFFFFF"/>
                <w:sz w:val="2"/>
                <w:szCs w:val="2"/>
                <w:rtl/>
              </w:rPr>
              <w:t>54678313</w:t>
            </w:r>
          </w:p>
          <w:p w14:paraId="33064C28" w14:textId="77777777" w:rsidR="00445D73" w:rsidRDefault="00445D73">
            <w:pPr>
              <w:jc w:val="center"/>
              <w:rPr>
                <w:rFonts w:ascii="Times New Roman" w:eastAsia="Times New Roman" w:hAnsi="Times New Roman" w:cs="Times New Roman"/>
                <w:rtl/>
              </w:rPr>
            </w:pPr>
          </w:p>
        </w:tc>
      </w:tr>
      <w:tr w:rsidR="00445D73" w14:paraId="07CF7DDC" w14:textId="77777777">
        <w:trPr>
          <w:trHeight w:val="361"/>
          <w:jc w:val="right"/>
        </w:trPr>
        <w:tc>
          <w:tcPr>
            <w:tcW w:w="3936" w:type="dxa"/>
            <w:shd w:val="clear" w:color="auto" w:fill="auto"/>
          </w:tcPr>
          <w:p w14:paraId="238D890D" w14:textId="77777777" w:rsidR="00445D73" w:rsidRDefault="001970EF">
            <w:pPr>
              <w:jc w:val="center"/>
              <w:rPr>
                <w:rFonts w:ascii="Times New Roman" w:eastAsia="Times New Roman" w:hAnsi="Times New Roman"/>
                <w:b/>
                <w:bCs/>
                <w:rtl/>
              </w:rPr>
            </w:pPr>
            <w:r>
              <w:rPr>
                <w:rFonts w:ascii="Times New Roman" w:eastAsia="Times New Roman" w:hAnsi="Times New Roman" w:hint="cs"/>
                <w:b/>
                <w:bCs/>
                <w:rtl/>
              </w:rPr>
              <w:t>הדס רוזנברג שיינרט</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E1C14FF" w14:textId="77777777" w:rsidR="00445D73" w:rsidRDefault="00445D73">
      <w:pPr>
        <w:jc w:val="right"/>
        <w:rPr>
          <w:rtl/>
        </w:rPr>
      </w:pPr>
    </w:p>
    <w:p w14:paraId="565E5DB1" w14:textId="77777777" w:rsidR="00445D73" w:rsidRDefault="00445D73">
      <w:pPr>
        <w:jc w:val="both"/>
        <w:rPr>
          <w:rtl/>
        </w:rPr>
      </w:pPr>
    </w:p>
    <w:p w14:paraId="7D3D2E15" w14:textId="77777777" w:rsidR="00445D73" w:rsidRDefault="00445D73">
      <w:pPr>
        <w:spacing w:line="360" w:lineRule="auto"/>
        <w:jc w:val="center"/>
        <w:rPr>
          <w:rtl/>
        </w:rPr>
      </w:pPr>
    </w:p>
    <w:p w14:paraId="2F1DD337" w14:textId="77777777" w:rsidR="00445D73" w:rsidRDefault="001970EF">
      <w:pPr>
        <w:spacing w:line="360" w:lineRule="auto"/>
        <w:jc w:val="both"/>
      </w:pPr>
      <w:r>
        <w:rPr>
          <w:rtl/>
        </w:rPr>
        <w:t xml:space="preserve"> </w:t>
      </w:r>
    </w:p>
    <w:p w14:paraId="263CBAED" w14:textId="77777777" w:rsidR="00445D73" w:rsidRDefault="001970EF">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02DBD6B1" w14:textId="77777777" w:rsidR="001970EF" w:rsidRPr="001970EF" w:rsidRDefault="001970EF" w:rsidP="001970EF">
      <w:pPr>
        <w:keepNext/>
        <w:rPr>
          <w:color w:val="000000"/>
          <w:sz w:val="22"/>
          <w:szCs w:val="22"/>
          <w:rtl/>
        </w:rPr>
      </w:pPr>
    </w:p>
    <w:p w14:paraId="46C7E771" w14:textId="77777777" w:rsidR="001970EF" w:rsidRPr="001970EF" w:rsidRDefault="001970EF" w:rsidP="001970EF">
      <w:pPr>
        <w:keepNext/>
        <w:rPr>
          <w:color w:val="000000"/>
          <w:sz w:val="22"/>
          <w:szCs w:val="22"/>
          <w:rtl/>
        </w:rPr>
      </w:pPr>
      <w:r w:rsidRPr="001970EF">
        <w:rPr>
          <w:color w:val="000000"/>
          <w:sz w:val="22"/>
          <w:szCs w:val="22"/>
          <w:rtl/>
        </w:rPr>
        <w:t>הדס רוזנברג שיינרט 54678313</w:t>
      </w:r>
    </w:p>
    <w:p w14:paraId="7E06BB28" w14:textId="77777777" w:rsidR="001970EF" w:rsidRDefault="001970EF" w:rsidP="001970EF">
      <w:r w:rsidRPr="001970EF">
        <w:rPr>
          <w:color w:val="000000"/>
          <w:rtl/>
        </w:rPr>
        <w:t>נוסח מסמך זה כפוף לשינויי ניסוח ועריכה</w:t>
      </w:r>
    </w:p>
    <w:p w14:paraId="6346EDF5" w14:textId="77777777" w:rsidR="001970EF" w:rsidRDefault="00200EDB" w:rsidP="001970EF">
      <w:pPr>
        <w:rPr>
          <w:rtl/>
        </w:rPr>
      </w:pPr>
      <w:r>
        <w:rPr>
          <w:rFonts w:hint="cs"/>
          <w:rtl/>
        </w:rPr>
        <w:t xml:space="preserve">              </w:t>
      </w:r>
    </w:p>
    <w:p w14:paraId="3323B6BB" w14:textId="77777777" w:rsidR="001970EF" w:rsidRDefault="001970EF" w:rsidP="001970E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C25FEE5" w14:textId="77777777" w:rsidR="00445D73" w:rsidRPr="001970EF" w:rsidRDefault="00445D73" w:rsidP="001970EF">
      <w:pPr>
        <w:jc w:val="center"/>
        <w:rPr>
          <w:color w:val="0000FF"/>
          <w:u w:val="single"/>
        </w:rPr>
      </w:pPr>
    </w:p>
    <w:sectPr w:rsidR="00445D73" w:rsidRPr="001970EF" w:rsidSect="001970EF">
      <w:headerReference w:type="even" r:id="rId37"/>
      <w:headerReference w:type="default" r:id="rId38"/>
      <w:footerReference w:type="even" r:id="rId39"/>
      <w:footerReference w:type="default" r:id="rId4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FCA45" w14:textId="77777777" w:rsidR="00B234EF" w:rsidRDefault="00B234EF">
      <w:r>
        <w:separator/>
      </w:r>
    </w:p>
  </w:endnote>
  <w:endnote w:type="continuationSeparator" w:id="0">
    <w:p w14:paraId="2C6AA512" w14:textId="77777777" w:rsidR="00B234EF" w:rsidRDefault="00B23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9F582" w14:textId="77777777" w:rsidR="00233F97" w:rsidRDefault="00233F97" w:rsidP="001970E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03EC486F" w14:textId="77777777" w:rsidR="00233F97" w:rsidRPr="001970EF" w:rsidRDefault="00233F97" w:rsidP="001970EF">
    <w:pPr>
      <w:pStyle w:val="a6"/>
      <w:pBdr>
        <w:top w:val="single" w:sz="4" w:space="1" w:color="auto"/>
        <w:between w:val="single" w:sz="4" w:space="0" w:color="auto"/>
      </w:pBdr>
      <w:spacing w:after="60"/>
      <w:jc w:val="center"/>
      <w:rPr>
        <w:rFonts w:ascii="FrankRuehl" w:hAnsi="FrankRuehl" w:cs="FrankRuehl"/>
        <w:color w:val="000000"/>
      </w:rPr>
    </w:pPr>
    <w:r w:rsidRPr="001970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E6520" w14:textId="77777777" w:rsidR="00233F97" w:rsidRDefault="00233F97" w:rsidP="001970E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6F27">
      <w:rPr>
        <w:rFonts w:ascii="FrankRuehl" w:hAnsi="FrankRuehl" w:cs="FrankRuehl"/>
        <w:noProof/>
        <w:rtl/>
      </w:rPr>
      <w:t>2</w:t>
    </w:r>
    <w:r>
      <w:rPr>
        <w:rFonts w:ascii="FrankRuehl" w:hAnsi="FrankRuehl" w:cs="FrankRuehl"/>
        <w:rtl/>
      </w:rPr>
      <w:fldChar w:fldCharType="end"/>
    </w:r>
  </w:p>
  <w:p w14:paraId="70CA2D07" w14:textId="77777777" w:rsidR="00233F97" w:rsidRPr="001970EF" w:rsidRDefault="00233F97" w:rsidP="001970EF">
    <w:pPr>
      <w:pStyle w:val="a6"/>
      <w:pBdr>
        <w:top w:val="single" w:sz="4" w:space="1" w:color="auto"/>
        <w:between w:val="single" w:sz="4" w:space="0" w:color="auto"/>
      </w:pBdr>
      <w:spacing w:after="60"/>
      <w:jc w:val="center"/>
      <w:rPr>
        <w:rFonts w:ascii="FrankRuehl" w:hAnsi="FrankRuehl" w:cs="FrankRuehl"/>
        <w:color w:val="000000"/>
      </w:rPr>
    </w:pPr>
    <w:r w:rsidRPr="001970EF">
      <w:rPr>
        <w:rFonts w:ascii="FrankRuehl" w:hAnsi="FrankRuehl" w:cs="FrankRuehl"/>
        <w:color w:val="000000"/>
      </w:rPr>
      <w:pict w14:anchorId="55EC8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E2FC6" w14:textId="77777777" w:rsidR="00B234EF" w:rsidRDefault="00B234EF">
      <w:r>
        <w:separator/>
      </w:r>
    </w:p>
  </w:footnote>
  <w:footnote w:type="continuationSeparator" w:id="0">
    <w:p w14:paraId="41E62FC6" w14:textId="77777777" w:rsidR="00B234EF" w:rsidRDefault="00B23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A6FEF" w14:textId="77777777" w:rsidR="00233F97" w:rsidRPr="001970EF" w:rsidRDefault="00233F97" w:rsidP="001970EF">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60914-01-14</w:t>
    </w:r>
    <w:r>
      <w:rPr>
        <w:color w:val="000000"/>
        <w:sz w:val="22"/>
        <w:szCs w:val="22"/>
        <w:rtl/>
      </w:rPr>
      <w:tab/>
      <w:t xml:space="preserve"> מדינת ישראל נ' יאנה מלקדזה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453A3" w14:textId="77777777" w:rsidR="00233F97" w:rsidRPr="001970EF" w:rsidRDefault="00233F97" w:rsidP="001970EF">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60914-01-14</w:t>
    </w:r>
    <w:r>
      <w:rPr>
        <w:color w:val="000000"/>
        <w:sz w:val="22"/>
        <w:szCs w:val="22"/>
        <w:rtl/>
      </w:rPr>
      <w:tab/>
      <w:t xml:space="preserve"> מדינת ישראל נ' יאנה מלקדזה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67CAB8C"/>
    <w:lvl w:ilvl="0">
      <w:start w:val="1"/>
      <w:numFmt w:val="decimal"/>
      <w:pStyle w:val="a"/>
      <w:lvlText w:val="%1."/>
      <w:lvlJc w:val="left"/>
      <w:pPr>
        <w:tabs>
          <w:tab w:val="num" w:pos="360"/>
        </w:tabs>
        <w:ind w:left="360" w:hanging="360"/>
      </w:pPr>
      <w:rPr>
        <w:rFonts w:cs="David"/>
        <w:b/>
        <w:bCs w:val="0"/>
      </w:rPr>
    </w:lvl>
    <w:lvl w:ilvl="1">
      <w:start w:val="1"/>
      <w:numFmt w:val="decimal"/>
      <w:isLgl/>
      <w:lvlText w:val="%1.%2"/>
      <w:lvlJc w:val="left"/>
      <w:pPr>
        <w:tabs>
          <w:tab w:val="num" w:pos="360"/>
        </w:tabs>
        <w:ind w:left="360" w:hanging="36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080"/>
        </w:tabs>
        <w:ind w:left="1080" w:hanging="108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440"/>
        </w:tabs>
        <w:ind w:left="1440" w:hanging="1440"/>
      </w:pPr>
      <w:rPr>
        <w:rFonts w:ascii="Times New Roman" w:hAnsi="Times New Roman" w:cs="Times New Roman" w:hint="default"/>
      </w:rPr>
    </w:lvl>
  </w:abstractNum>
  <w:num w:numId="1" w16cid:durableId="1211653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5D73"/>
    <w:rsid w:val="000C46C8"/>
    <w:rsid w:val="001970EF"/>
    <w:rsid w:val="00200EDB"/>
    <w:rsid w:val="00233F97"/>
    <w:rsid w:val="00445D73"/>
    <w:rsid w:val="00935AC4"/>
    <w:rsid w:val="00B13A6E"/>
    <w:rsid w:val="00B234EF"/>
    <w:rsid w:val="00BF3948"/>
    <w:rsid w:val="00C75EBF"/>
    <w:rsid w:val="00FA6F27"/>
    <w:rsid w:val="00FF74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752E1C"/>
  <w15:chartTrackingRefBased/>
  <w15:docId w15:val="{D676CC14-9B03-4395-AEAE-B3057BD2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45D73"/>
    <w:pPr>
      <w:bidi/>
    </w:pPr>
    <w:rPr>
      <w:rFonts w:ascii="David" w:eastAsia="David" w:hAnsi="David"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styleId="a4">
    <w:name w:val="line number"/>
    <w:basedOn w:val="a1"/>
    <w:rsid w:val="00445D73"/>
  </w:style>
  <w:style w:type="paragraph" w:styleId="a5">
    <w:name w:val="header"/>
    <w:basedOn w:val="a0"/>
    <w:rsid w:val="00445D73"/>
    <w:pPr>
      <w:tabs>
        <w:tab w:val="center" w:pos="4153"/>
        <w:tab w:val="right" w:pos="8306"/>
      </w:tabs>
    </w:pPr>
  </w:style>
  <w:style w:type="paragraph" w:styleId="a6">
    <w:name w:val="footer"/>
    <w:basedOn w:val="a0"/>
    <w:rsid w:val="00445D73"/>
    <w:pPr>
      <w:tabs>
        <w:tab w:val="center" w:pos="4153"/>
        <w:tab w:val="right" w:pos="8306"/>
      </w:tabs>
    </w:pPr>
  </w:style>
  <w:style w:type="character" w:styleId="a7">
    <w:name w:val="page number"/>
    <w:basedOn w:val="a1"/>
    <w:rsid w:val="00445D73"/>
  </w:style>
  <w:style w:type="character" w:customStyle="1" w:styleId="TimesNewRomanTimesNewRoman">
    <w:name w:val="סגנון (לטיני) Times New Roman (עברית ושפות אחרות) Times New Roman..."/>
    <w:rsid w:val="00445D7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0"/>
    <w:rsid w:val="00445D73"/>
    <w:rPr>
      <w:rFonts w:ascii="Times New Roman" w:eastAsia="Times New Roman" w:hAnsi="Times New Roman"/>
      <w:b/>
      <w:bCs/>
      <w:u w:val="single"/>
    </w:rPr>
  </w:style>
  <w:style w:type="paragraph" w:styleId="a">
    <w:name w:val="List Number"/>
    <w:basedOn w:val="a0"/>
    <w:rsid w:val="00445D73"/>
    <w:pPr>
      <w:numPr>
        <w:numId w:val="1"/>
      </w:numPr>
      <w:spacing w:after="120" w:line="360" w:lineRule="auto"/>
      <w:ind w:right="360"/>
      <w:jc w:val="both"/>
    </w:pPr>
    <w:rPr>
      <w:rFonts w:ascii="Times New Roman" w:eastAsia="Times New Roman" w:hAnsi="Times New Roman"/>
    </w:rPr>
  </w:style>
  <w:style w:type="paragraph" w:customStyle="1" w:styleId="a8">
    <w:name w:val="ציטטה"/>
    <w:basedOn w:val="a0"/>
    <w:rsid w:val="00445D73"/>
    <w:pPr>
      <w:spacing w:after="120" w:line="360" w:lineRule="auto"/>
      <w:ind w:left="567" w:right="567"/>
      <w:jc w:val="both"/>
    </w:pPr>
    <w:rPr>
      <w:rFonts w:ascii="Times New Roman" w:eastAsia="Times New Roman" w:hAnsi="Times New Roman"/>
    </w:rPr>
  </w:style>
  <w:style w:type="character" w:styleId="Hyperlink">
    <w:name w:val="Hyperlink"/>
    <w:rsid w:val="00445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5786821" TargetMode="External"/><Relationship Id="rId39" Type="http://schemas.openxmlformats.org/officeDocument/2006/relationships/footer" Target="footer1.xml"/><Relationship Id="rId21" Type="http://schemas.openxmlformats.org/officeDocument/2006/relationships/hyperlink" Target="http://www.nevo.co.il/case/11260151"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11281796" TargetMode="External"/><Relationship Id="rId29" Type="http://schemas.openxmlformats.org/officeDocument/2006/relationships/hyperlink" Target="http://www.nevo.co.il/case/1796610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70301/40i" TargetMode="External"/><Relationship Id="rId32" Type="http://schemas.openxmlformats.org/officeDocument/2006/relationships/hyperlink" Target="http://www.nevo.co.il/law/70301/40ja"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418937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10453465"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3650828" TargetMode="External"/><Relationship Id="rId30" Type="http://schemas.openxmlformats.org/officeDocument/2006/relationships/hyperlink" Target="http://www.nevo.co.il/case/20484186"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583030" TargetMode="External"/><Relationship Id="rId33" Type="http://schemas.openxmlformats.org/officeDocument/2006/relationships/hyperlink" Target="http://www.nevo.co.il/law/421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2115</Words>
  <Characters>10575</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12665</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3145845</vt:i4>
      </vt:variant>
      <vt:variant>
        <vt:i4>72</vt:i4>
      </vt:variant>
      <vt:variant>
        <vt:i4>0</vt:i4>
      </vt:variant>
      <vt:variant>
        <vt:i4>5</vt:i4>
      </vt:variant>
      <vt:variant>
        <vt:lpwstr>http://www.nevo.co.il/case/10453465</vt:lpwstr>
      </vt:variant>
      <vt:variant>
        <vt:lpwstr/>
      </vt:variant>
      <vt:variant>
        <vt:i4>3801213</vt:i4>
      </vt:variant>
      <vt:variant>
        <vt:i4>69</vt:i4>
      </vt:variant>
      <vt:variant>
        <vt:i4>0</vt:i4>
      </vt:variant>
      <vt:variant>
        <vt:i4>5</vt:i4>
      </vt:variant>
      <vt:variant>
        <vt:lpwstr>http://www.nevo.co.il/case/20484186</vt:lpwstr>
      </vt:variant>
      <vt:variant>
        <vt:lpwstr/>
      </vt:variant>
      <vt:variant>
        <vt:i4>4063348</vt:i4>
      </vt:variant>
      <vt:variant>
        <vt:i4>66</vt:i4>
      </vt:variant>
      <vt:variant>
        <vt:i4>0</vt:i4>
      </vt:variant>
      <vt:variant>
        <vt:i4>5</vt:i4>
      </vt:variant>
      <vt:variant>
        <vt:lpwstr>http://www.nevo.co.il/case/17966106</vt:lpwstr>
      </vt:variant>
      <vt:variant>
        <vt:lpwstr/>
      </vt:variant>
      <vt:variant>
        <vt:i4>4063355</vt:i4>
      </vt:variant>
      <vt:variant>
        <vt:i4>63</vt:i4>
      </vt:variant>
      <vt:variant>
        <vt:i4>0</vt:i4>
      </vt:variant>
      <vt:variant>
        <vt:i4>5</vt:i4>
      </vt:variant>
      <vt:variant>
        <vt:lpwstr>http://www.nevo.co.il/case/4189371</vt:lpwstr>
      </vt:variant>
      <vt:variant>
        <vt:lpwstr/>
      </vt:variant>
      <vt:variant>
        <vt:i4>3539056</vt:i4>
      </vt:variant>
      <vt:variant>
        <vt:i4>60</vt:i4>
      </vt:variant>
      <vt:variant>
        <vt:i4>0</vt:i4>
      </vt:variant>
      <vt:variant>
        <vt:i4>5</vt:i4>
      </vt:variant>
      <vt:variant>
        <vt:lpwstr>http://www.nevo.co.il/case/3650828</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3539058</vt:i4>
      </vt:variant>
      <vt:variant>
        <vt:i4>42</vt:i4>
      </vt:variant>
      <vt:variant>
        <vt:i4>0</vt:i4>
      </vt:variant>
      <vt:variant>
        <vt:i4>5</vt:i4>
      </vt:variant>
      <vt:variant>
        <vt:lpwstr>http://www.nevo.co.il/case/11260151</vt:lpwstr>
      </vt:variant>
      <vt:variant>
        <vt:lpwstr/>
      </vt:variant>
      <vt:variant>
        <vt:i4>3866746</vt:i4>
      </vt:variant>
      <vt:variant>
        <vt:i4>39</vt:i4>
      </vt:variant>
      <vt:variant>
        <vt:i4>0</vt:i4>
      </vt:variant>
      <vt:variant>
        <vt:i4>5</vt:i4>
      </vt:variant>
      <vt:variant>
        <vt:lpwstr>http://www.nevo.co.il/case/11281796</vt:lpwstr>
      </vt:variant>
      <vt:variant>
        <vt:lpwstr/>
      </vt:variant>
      <vt:variant>
        <vt:i4>4718666</vt:i4>
      </vt:variant>
      <vt:variant>
        <vt:i4>36</vt:i4>
      </vt:variant>
      <vt:variant>
        <vt:i4>0</vt:i4>
      </vt:variant>
      <vt:variant>
        <vt:i4>5</vt:i4>
      </vt:variant>
      <vt:variant>
        <vt:lpwstr>http://www.nevo.co.il/law/4216/6</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60914</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יאנה מלקדזה</vt:lpwstr>
  </property>
  <property fmtid="{D5CDD505-2E9C-101B-9397-08002B2CF9AE}" pid="10" name="LAWYER">
    <vt:lpwstr>יפעת פינצובר</vt:lpwstr>
  </property>
  <property fmtid="{D5CDD505-2E9C-101B-9397-08002B2CF9AE}" pid="11" name="JUDGE">
    <vt:lpwstr>הדס רוזנברג שיינרט</vt:lpwstr>
  </property>
  <property fmtid="{D5CDD505-2E9C-101B-9397-08002B2CF9AE}" pid="12" name="CITY">
    <vt:lpwstr>נת'</vt:lpwstr>
  </property>
  <property fmtid="{D5CDD505-2E9C-101B-9397-08002B2CF9AE}" pid="13" name="DATE">
    <vt:lpwstr>20160509</vt:lpwstr>
  </property>
  <property fmtid="{D5CDD505-2E9C-101B-9397-08002B2CF9AE}" pid="14" name="TYPE_N_DATE">
    <vt:lpwstr>38020160509</vt:lpwstr>
  </property>
  <property fmtid="{D5CDD505-2E9C-101B-9397-08002B2CF9AE}" pid="15" name="CASESLISTTMP1">
    <vt:lpwstr>11281796;11260151;5583030;5786821;3650828;4189371;17966106;20484186;10453465</vt:lpwstr>
  </property>
  <property fmtid="{D5CDD505-2E9C-101B-9397-08002B2CF9AE}" pid="16" name="WORDNUMPAGES">
    <vt:lpwstr>7</vt:lpwstr>
  </property>
  <property fmtid="{D5CDD505-2E9C-101B-9397-08002B2CF9AE}" pid="17" name="TYPE_ABS_DATE">
    <vt:lpwstr>380020160509</vt:lpwstr>
  </property>
  <property fmtid="{D5CDD505-2E9C-101B-9397-08002B2CF9AE}" pid="18" name="ISABSTRACT">
    <vt:lpwstr>Y</vt:lpwstr>
  </property>
  <property fmtid="{D5CDD505-2E9C-101B-9397-08002B2CF9AE}" pid="19" name="LAWLISTTMP1">
    <vt:lpwstr>4216/007.a;007.c;010;006</vt:lpwstr>
  </property>
  <property fmtid="{D5CDD505-2E9C-101B-9397-08002B2CF9AE}" pid="20" name="LAWLISTTMP2">
    <vt:lpwstr>70301/040b;040i;40ja</vt:lpwstr>
  </property>
</Properties>
</file>