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15736" w:rsidRPr="00940ADE" w14:paraId="1078FF19" w14:textId="77777777">
        <w:trPr>
          <w:trHeight w:hRule="exact" w:val="418"/>
          <w:jc w:val="center"/>
        </w:trPr>
        <w:tc>
          <w:tcPr>
            <w:tcW w:w="8721" w:type="dxa"/>
            <w:gridSpan w:val="2"/>
          </w:tcPr>
          <w:p w14:paraId="4E0E2A49" w14:textId="77777777" w:rsidR="00F15736" w:rsidRPr="00940ADE" w:rsidRDefault="00F15736" w:rsidP="00940ADE">
            <w:pPr>
              <w:pStyle w:val="a3"/>
              <w:jc w:val="center"/>
              <w:rPr>
                <w:rFonts w:ascii="Tahoma" w:hAnsi="Tahoma" w:cs="Tahoma"/>
                <w:color w:val="000080"/>
                <w:rtl/>
              </w:rPr>
            </w:pPr>
            <w:bookmarkStart w:id="0" w:name="LastJudge"/>
            <w:r w:rsidRPr="00940ADE">
              <w:rPr>
                <w:rFonts w:ascii="Tahoma" w:hAnsi="Tahoma" w:cs="Tahoma"/>
                <w:b/>
                <w:bCs/>
                <w:color w:val="000080"/>
                <w:rtl/>
              </w:rPr>
              <w:t>בית משפט השלום בתל אביב - יפו</w:t>
            </w:r>
          </w:p>
        </w:tc>
      </w:tr>
      <w:tr w:rsidR="00F15736" w:rsidRPr="00940ADE" w14:paraId="0B6B8180" w14:textId="77777777">
        <w:trPr>
          <w:trHeight w:val="337"/>
          <w:jc w:val="center"/>
        </w:trPr>
        <w:tc>
          <w:tcPr>
            <w:tcW w:w="5054" w:type="dxa"/>
          </w:tcPr>
          <w:p w14:paraId="0CDF2DFD" w14:textId="77777777" w:rsidR="00F15736" w:rsidRPr="00940ADE" w:rsidRDefault="00F15736" w:rsidP="00940ADE">
            <w:pPr>
              <w:rPr>
                <w:rFonts w:cs="FrankRuehl"/>
                <w:sz w:val="28"/>
                <w:szCs w:val="28"/>
                <w:rtl/>
              </w:rPr>
            </w:pPr>
            <w:r w:rsidRPr="00940ADE">
              <w:rPr>
                <w:rFonts w:cs="FrankRuehl"/>
                <w:sz w:val="28"/>
                <w:szCs w:val="28"/>
                <w:rtl/>
              </w:rPr>
              <w:t>ת"פ</w:t>
            </w:r>
            <w:r w:rsidRPr="00940ADE">
              <w:rPr>
                <w:rFonts w:cs="FrankRuehl" w:hint="cs"/>
                <w:sz w:val="28"/>
                <w:szCs w:val="28"/>
                <w:rtl/>
              </w:rPr>
              <w:t xml:space="preserve"> </w:t>
            </w:r>
            <w:r w:rsidRPr="00940ADE">
              <w:rPr>
                <w:rFonts w:cs="FrankRuehl"/>
                <w:sz w:val="28"/>
                <w:szCs w:val="28"/>
                <w:rtl/>
              </w:rPr>
              <w:t>14846-02-14</w:t>
            </w:r>
            <w:r w:rsidRPr="00940ADE">
              <w:rPr>
                <w:rFonts w:cs="FrankRuehl" w:hint="cs"/>
                <w:sz w:val="28"/>
                <w:szCs w:val="28"/>
                <w:rtl/>
              </w:rPr>
              <w:t xml:space="preserve"> </w:t>
            </w:r>
            <w:r w:rsidRPr="00940ADE">
              <w:rPr>
                <w:rFonts w:cs="FrankRuehl"/>
                <w:sz w:val="28"/>
                <w:szCs w:val="28"/>
                <w:rtl/>
              </w:rPr>
              <w:t>מדינת ישראל נ' פרטוש</w:t>
            </w:r>
          </w:p>
          <w:p w14:paraId="68F3F675" w14:textId="77777777" w:rsidR="00F15736" w:rsidRPr="00940ADE" w:rsidRDefault="00F15736" w:rsidP="00940ADE">
            <w:pPr>
              <w:pStyle w:val="a3"/>
              <w:rPr>
                <w:rFonts w:cs="FrankRuehl"/>
                <w:sz w:val="28"/>
                <w:szCs w:val="28"/>
                <w:rtl/>
              </w:rPr>
            </w:pPr>
          </w:p>
        </w:tc>
        <w:tc>
          <w:tcPr>
            <w:tcW w:w="3667" w:type="dxa"/>
          </w:tcPr>
          <w:p w14:paraId="7242E581" w14:textId="77777777" w:rsidR="00F15736" w:rsidRPr="00940ADE" w:rsidRDefault="00F15736" w:rsidP="00940ADE">
            <w:pPr>
              <w:pStyle w:val="a3"/>
              <w:jc w:val="right"/>
              <w:rPr>
                <w:rFonts w:cs="FrankRuehl"/>
                <w:sz w:val="28"/>
                <w:szCs w:val="28"/>
                <w:rtl/>
              </w:rPr>
            </w:pPr>
          </w:p>
        </w:tc>
      </w:tr>
    </w:tbl>
    <w:p w14:paraId="3653B3E3" w14:textId="77777777" w:rsidR="00F15736" w:rsidRPr="00940ADE" w:rsidRDefault="00F15736" w:rsidP="00F15736">
      <w:pPr>
        <w:pStyle w:val="a3"/>
        <w:rPr>
          <w:rtl/>
        </w:rPr>
      </w:pPr>
      <w:r w:rsidRPr="00940ADE">
        <w:rPr>
          <w:rFonts w:hint="cs"/>
          <w:rtl/>
        </w:rPr>
        <w:t xml:space="preserve"> </w:t>
      </w:r>
    </w:p>
    <w:p w14:paraId="4428E1A2" w14:textId="77777777" w:rsidR="00F15736" w:rsidRPr="00940ADE" w:rsidRDefault="00F15736" w:rsidP="00F1573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15736" w:rsidRPr="00940ADE" w14:paraId="4D0EB7CD" w14:textId="77777777">
        <w:trPr>
          <w:trHeight w:val="295"/>
          <w:jc w:val="center"/>
        </w:trPr>
        <w:tc>
          <w:tcPr>
            <w:tcW w:w="923" w:type="dxa"/>
            <w:tcBorders>
              <w:top w:val="nil"/>
              <w:left w:val="nil"/>
              <w:bottom w:val="nil"/>
              <w:right w:val="nil"/>
            </w:tcBorders>
            <w:shd w:val="clear" w:color="auto" w:fill="auto"/>
          </w:tcPr>
          <w:p w14:paraId="6F64D958" w14:textId="77777777" w:rsidR="00F15736" w:rsidRPr="00940ADE" w:rsidRDefault="00F15736" w:rsidP="00940ADE">
            <w:pPr>
              <w:jc w:val="both"/>
              <w:rPr>
                <w:rFonts w:ascii="Arial" w:hAnsi="Arial"/>
                <w:rtl/>
              </w:rPr>
            </w:pPr>
            <w:r w:rsidRPr="00940ADE">
              <w:rPr>
                <w:rFonts w:ascii="Arial" w:hAnsi="Arial" w:hint="cs"/>
                <w:rtl/>
              </w:rPr>
              <w:t xml:space="preserve">בפני </w:t>
            </w:r>
          </w:p>
        </w:tc>
        <w:tc>
          <w:tcPr>
            <w:tcW w:w="7897" w:type="dxa"/>
            <w:gridSpan w:val="2"/>
            <w:tcBorders>
              <w:top w:val="nil"/>
              <w:left w:val="nil"/>
              <w:bottom w:val="nil"/>
              <w:right w:val="nil"/>
            </w:tcBorders>
            <w:shd w:val="clear" w:color="auto" w:fill="auto"/>
          </w:tcPr>
          <w:p w14:paraId="0AF2E87A" w14:textId="77777777" w:rsidR="00F15736" w:rsidRPr="00940ADE" w:rsidRDefault="00F15736" w:rsidP="00940ADE">
            <w:pPr>
              <w:rPr>
                <w:rFonts w:ascii="Arial" w:hAnsi="Arial"/>
                <w:b/>
                <w:bCs/>
              </w:rPr>
            </w:pPr>
            <w:r w:rsidRPr="00940ADE">
              <w:rPr>
                <w:rFonts w:ascii="Arial" w:hAnsi="Arial" w:hint="cs"/>
                <w:b/>
                <w:bCs/>
                <w:rtl/>
              </w:rPr>
              <w:t>כבוד ה</w:t>
            </w:r>
            <w:r w:rsidRPr="00940ADE">
              <w:rPr>
                <w:rFonts w:hint="cs"/>
                <w:rtl/>
              </w:rPr>
              <w:t>שופט</w:t>
            </w:r>
            <w:r w:rsidRPr="00940ADE">
              <w:rPr>
                <w:rFonts w:ascii="Arial" w:hAnsi="Arial" w:hint="cs"/>
                <w:b/>
                <w:bCs/>
                <w:rtl/>
              </w:rPr>
              <w:t xml:space="preserve">  </w:t>
            </w:r>
            <w:r w:rsidRPr="00940ADE">
              <w:rPr>
                <w:rFonts w:hint="cs"/>
                <w:rtl/>
              </w:rPr>
              <w:t>עידו דרויאן</w:t>
            </w:r>
          </w:p>
          <w:p w14:paraId="23CD4C31" w14:textId="77777777" w:rsidR="00F15736" w:rsidRPr="00940ADE" w:rsidRDefault="00F15736" w:rsidP="00940ADE">
            <w:pPr>
              <w:rPr>
                <w:rtl/>
              </w:rPr>
            </w:pPr>
          </w:p>
          <w:p w14:paraId="15F0AC4D" w14:textId="77777777" w:rsidR="00F15736" w:rsidRPr="00940ADE" w:rsidRDefault="00F15736" w:rsidP="00940ADE">
            <w:pPr>
              <w:jc w:val="both"/>
              <w:rPr>
                <w:rFonts w:ascii="Arial" w:hAnsi="Arial"/>
                <w:rtl/>
              </w:rPr>
            </w:pPr>
          </w:p>
        </w:tc>
      </w:tr>
      <w:tr w:rsidR="00F15736" w:rsidRPr="00940ADE" w14:paraId="14047878" w14:textId="77777777">
        <w:trPr>
          <w:trHeight w:val="355"/>
          <w:jc w:val="center"/>
        </w:trPr>
        <w:tc>
          <w:tcPr>
            <w:tcW w:w="923" w:type="dxa"/>
            <w:tcBorders>
              <w:top w:val="nil"/>
              <w:left w:val="nil"/>
              <w:bottom w:val="nil"/>
              <w:right w:val="nil"/>
            </w:tcBorders>
            <w:shd w:val="clear" w:color="auto" w:fill="auto"/>
          </w:tcPr>
          <w:p w14:paraId="48AE054B" w14:textId="77777777" w:rsidR="00F15736" w:rsidRPr="00940ADE" w:rsidRDefault="00F15736" w:rsidP="00940ADE">
            <w:pPr>
              <w:jc w:val="both"/>
              <w:rPr>
                <w:rFonts w:ascii="Arial" w:hAnsi="Arial"/>
                <w:b/>
                <w:bCs/>
              </w:rPr>
            </w:pPr>
            <w:bookmarkStart w:id="1" w:name="FirstAppellant"/>
            <w:r w:rsidRPr="00940ADE">
              <w:rPr>
                <w:rFonts w:ascii="Arial" w:hAnsi="Arial" w:hint="cs"/>
                <w:rtl/>
              </w:rPr>
              <w:t>בעניין</w:t>
            </w:r>
            <w:r w:rsidRPr="00940ADE">
              <w:rPr>
                <w:rFonts w:ascii="Arial" w:hAnsi="Arial" w:hint="cs"/>
                <w:b/>
                <w:bCs/>
                <w:rtl/>
              </w:rPr>
              <w:t>:</w:t>
            </w:r>
          </w:p>
        </w:tc>
        <w:tc>
          <w:tcPr>
            <w:tcW w:w="4126" w:type="dxa"/>
            <w:tcBorders>
              <w:top w:val="nil"/>
              <w:left w:val="nil"/>
              <w:bottom w:val="nil"/>
              <w:right w:val="nil"/>
            </w:tcBorders>
            <w:shd w:val="clear" w:color="auto" w:fill="auto"/>
          </w:tcPr>
          <w:p w14:paraId="570DF592" w14:textId="77777777" w:rsidR="00F15736" w:rsidRPr="00940ADE" w:rsidRDefault="00F15736" w:rsidP="00940ADE">
            <w:pPr>
              <w:rPr>
                <w:b/>
                <w:bCs/>
              </w:rPr>
            </w:pPr>
            <w:r w:rsidRPr="00940ADE">
              <w:rPr>
                <w:rFonts w:hint="cs"/>
                <w:b/>
                <w:bCs/>
                <w:rtl/>
              </w:rPr>
              <w:t>מדינת ישראל</w:t>
            </w:r>
          </w:p>
        </w:tc>
        <w:tc>
          <w:tcPr>
            <w:tcW w:w="3771" w:type="dxa"/>
            <w:tcBorders>
              <w:top w:val="nil"/>
              <w:left w:val="nil"/>
              <w:bottom w:val="nil"/>
              <w:right w:val="nil"/>
            </w:tcBorders>
            <w:shd w:val="clear" w:color="auto" w:fill="auto"/>
          </w:tcPr>
          <w:p w14:paraId="4D92CE63" w14:textId="77777777" w:rsidR="00F15736" w:rsidRPr="00940ADE" w:rsidRDefault="00F15736" w:rsidP="00940ADE">
            <w:pPr>
              <w:jc w:val="both"/>
              <w:rPr>
                <w:rFonts w:ascii="Arial" w:hAnsi="Arial"/>
                <w:b/>
                <w:bCs/>
              </w:rPr>
            </w:pPr>
          </w:p>
        </w:tc>
      </w:tr>
      <w:tr w:rsidR="00F15736" w:rsidRPr="00940ADE" w14:paraId="1EC5AE33" w14:textId="77777777">
        <w:trPr>
          <w:trHeight w:val="355"/>
          <w:jc w:val="center"/>
        </w:trPr>
        <w:tc>
          <w:tcPr>
            <w:tcW w:w="923" w:type="dxa"/>
            <w:tcBorders>
              <w:top w:val="nil"/>
              <w:left w:val="nil"/>
              <w:bottom w:val="nil"/>
              <w:right w:val="nil"/>
            </w:tcBorders>
            <w:shd w:val="clear" w:color="auto" w:fill="auto"/>
          </w:tcPr>
          <w:p w14:paraId="0A8E5888" w14:textId="77777777" w:rsidR="00F15736" w:rsidRPr="00940ADE" w:rsidRDefault="00F15736" w:rsidP="00940ADE">
            <w:pPr>
              <w:jc w:val="both"/>
              <w:rPr>
                <w:rFonts w:ascii="Arial" w:hAnsi="Arial"/>
                <w:b/>
                <w:bCs/>
              </w:rPr>
            </w:pPr>
            <w:bookmarkStart w:id="2" w:name="FirstLawyer"/>
            <w:bookmarkEnd w:id="1"/>
          </w:p>
        </w:tc>
        <w:tc>
          <w:tcPr>
            <w:tcW w:w="4126" w:type="dxa"/>
            <w:tcBorders>
              <w:top w:val="nil"/>
              <w:left w:val="nil"/>
              <w:bottom w:val="nil"/>
              <w:right w:val="nil"/>
            </w:tcBorders>
            <w:shd w:val="clear" w:color="auto" w:fill="auto"/>
          </w:tcPr>
          <w:p w14:paraId="11E71115" w14:textId="77777777" w:rsidR="00F15736" w:rsidRPr="00940ADE" w:rsidRDefault="00F15736" w:rsidP="00940ADE">
            <w:pPr>
              <w:jc w:val="both"/>
              <w:rPr>
                <w:rtl/>
              </w:rPr>
            </w:pPr>
            <w:r w:rsidRPr="00940ADE">
              <w:rPr>
                <w:rFonts w:hint="cs"/>
                <w:rtl/>
              </w:rPr>
              <w:t>ע"י ב"כ עו"ד שירלי אקרמן</w:t>
            </w:r>
          </w:p>
        </w:tc>
        <w:tc>
          <w:tcPr>
            <w:tcW w:w="3771" w:type="dxa"/>
            <w:tcBorders>
              <w:top w:val="nil"/>
              <w:left w:val="nil"/>
              <w:bottom w:val="nil"/>
              <w:right w:val="nil"/>
            </w:tcBorders>
            <w:shd w:val="clear" w:color="auto" w:fill="auto"/>
          </w:tcPr>
          <w:p w14:paraId="68870487" w14:textId="77777777" w:rsidR="00F15736" w:rsidRPr="00940ADE" w:rsidRDefault="00F15736" w:rsidP="00940ADE">
            <w:pPr>
              <w:jc w:val="right"/>
              <w:rPr>
                <w:rFonts w:ascii="Arial" w:hAnsi="Arial"/>
                <w:b/>
                <w:bCs/>
                <w:rtl/>
              </w:rPr>
            </w:pPr>
            <w:r w:rsidRPr="00940ADE">
              <w:rPr>
                <w:rFonts w:ascii="Arial" w:hAnsi="Arial" w:hint="cs"/>
                <w:b/>
                <w:bCs/>
                <w:rtl/>
              </w:rPr>
              <w:t>ה</w:t>
            </w:r>
            <w:r w:rsidRPr="00940ADE">
              <w:rPr>
                <w:rFonts w:hint="cs"/>
                <w:b/>
                <w:bCs/>
                <w:rtl/>
              </w:rPr>
              <w:t>מאשימה</w:t>
            </w:r>
          </w:p>
        </w:tc>
      </w:tr>
      <w:bookmarkEnd w:id="2"/>
      <w:tr w:rsidR="00F15736" w:rsidRPr="00940ADE" w14:paraId="2D4BCDA4" w14:textId="77777777">
        <w:trPr>
          <w:trHeight w:val="355"/>
          <w:jc w:val="center"/>
        </w:trPr>
        <w:tc>
          <w:tcPr>
            <w:tcW w:w="923" w:type="dxa"/>
            <w:tcBorders>
              <w:top w:val="nil"/>
              <w:left w:val="nil"/>
              <w:bottom w:val="nil"/>
              <w:right w:val="nil"/>
            </w:tcBorders>
            <w:shd w:val="clear" w:color="auto" w:fill="auto"/>
          </w:tcPr>
          <w:p w14:paraId="20B8975F" w14:textId="77777777" w:rsidR="00F15736" w:rsidRPr="00940ADE" w:rsidRDefault="00F15736" w:rsidP="00940ADE">
            <w:pPr>
              <w:jc w:val="both"/>
              <w:rPr>
                <w:rFonts w:ascii="Arial" w:hAnsi="Arial"/>
                <w:b/>
                <w:bCs/>
                <w:rtl/>
              </w:rPr>
            </w:pPr>
          </w:p>
        </w:tc>
        <w:tc>
          <w:tcPr>
            <w:tcW w:w="7897" w:type="dxa"/>
            <w:gridSpan w:val="2"/>
            <w:tcBorders>
              <w:top w:val="nil"/>
              <w:left w:val="nil"/>
              <w:bottom w:val="nil"/>
              <w:right w:val="nil"/>
            </w:tcBorders>
            <w:shd w:val="clear" w:color="auto" w:fill="auto"/>
          </w:tcPr>
          <w:p w14:paraId="6493DDDE" w14:textId="77777777" w:rsidR="00F15736" w:rsidRPr="00940ADE" w:rsidRDefault="00F15736" w:rsidP="00940ADE">
            <w:pPr>
              <w:jc w:val="center"/>
              <w:rPr>
                <w:rFonts w:ascii="Arial" w:hAnsi="Arial"/>
                <w:b/>
                <w:bCs/>
                <w:rtl/>
              </w:rPr>
            </w:pPr>
          </w:p>
          <w:p w14:paraId="17B37CFF" w14:textId="77777777" w:rsidR="00F15736" w:rsidRPr="00940ADE" w:rsidRDefault="00F15736" w:rsidP="00940ADE">
            <w:pPr>
              <w:jc w:val="center"/>
              <w:rPr>
                <w:rFonts w:ascii="Arial" w:hAnsi="Arial"/>
                <w:b/>
                <w:bCs/>
                <w:rtl/>
              </w:rPr>
            </w:pPr>
            <w:r w:rsidRPr="00940ADE">
              <w:rPr>
                <w:rFonts w:ascii="Arial" w:hAnsi="Arial" w:hint="cs"/>
                <w:b/>
                <w:bCs/>
                <w:rtl/>
              </w:rPr>
              <w:t>נגד</w:t>
            </w:r>
          </w:p>
          <w:p w14:paraId="5BCEF2F7" w14:textId="77777777" w:rsidR="00F15736" w:rsidRPr="00940ADE" w:rsidRDefault="00F15736" w:rsidP="00940ADE">
            <w:pPr>
              <w:jc w:val="both"/>
              <w:rPr>
                <w:rFonts w:ascii="Arial" w:hAnsi="Arial"/>
                <w:b/>
                <w:bCs/>
                <w:rtl/>
              </w:rPr>
            </w:pPr>
          </w:p>
        </w:tc>
      </w:tr>
      <w:tr w:rsidR="00F15736" w:rsidRPr="00940ADE" w14:paraId="1CA21FDC" w14:textId="77777777">
        <w:trPr>
          <w:trHeight w:val="355"/>
          <w:jc w:val="center"/>
        </w:trPr>
        <w:tc>
          <w:tcPr>
            <w:tcW w:w="923" w:type="dxa"/>
            <w:tcBorders>
              <w:top w:val="nil"/>
              <w:left w:val="nil"/>
              <w:bottom w:val="nil"/>
              <w:right w:val="nil"/>
            </w:tcBorders>
            <w:shd w:val="clear" w:color="auto" w:fill="auto"/>
          </w:tcPr>
          <w:p w14:paraId="501CD33C" w14:textId="77777777" w:rsidR="00F15736" w:rsidRPr="00940ADE" w:rsidRDefault="00F15736" w:rsidP="00940ADE">
            <w:pPr>
              <w:rPr>
                <w:rFonts w:ascii="Arial" w:hAnsi="Arial"/>
                <w:b/>
                <w:bCs/>
              </w:rPr>
            </w:pPr>
          </w:p>
        </w:tc>
        <w:tc>
          <w:tcPr>
            <w:tcW w:w="4126" w:type="dxa"/>
            <w:tcBorders>
              <w:top w:val="nil"/>
              <w:left w:val="nil"/>
              <w:bottom w:val="nil"/>
              <w:right w:val="nil"/>
            </w:tcBorders>
            <w:shd w:val="clear" w:color="auto" w:fill="auto"/>
          </w:tcPr>
          <w:p w14:paraId="7CE089A6" w14:textId="77777777" w:rsidR="00F15736" w:rsidRPr="00940ADE" w:rsidRDefault="00F15736" w:rsidP="00940ADE">
            <w:pPr>
              <w:rPr>
                <w:b/>
                <w:bCs/>
                <w:rtl/>
              </w:rPr>
            </w:pPr>
            <w:r w:rsidRPr="00940ADE">
              <w:rPr>
                <w:rFonts w:hint="cs"/>
                <w:b/>
                <w:bCs/>
                <w:rtl/>
              </w:rPr>
              <w:t>מישאל צפיה פרטוש</w:t>
            </w:r>
          </w:p>
        </w:tc>
        <w:tc>
          <w:tcPr>
            <w:tcW w:w="3771" w:type="dxa"/>
            <w:tcBorders>
              <w:top w:val="nil"/>
              <w:left w:val="nil"/>
              <w:bottom w:val="nil"/>
              <w:right w:val="nil"/>
            </w:tcBorders>
            <w:shd w:val="clear" w:color="auto" w:fill="auto"/>
          </w:tcPr>
          <w:p w14:paraId="4D0D91E0" w14:textId="77777777" w:rsidR="00F15736" w:rsidRPr="00940ADE" w:rsidRDefault="00F15736" w:rsidP="00940ADE">
            <w:pPr>
              <w:jc w:val="right"/>
              <w:rPr>
                <w:rFonts w:ascii="Arial" w:hAnsi="Arial"/>
                <w:b/>
                <w:bCs/>
                <w:rtl/>
              </w:rPr>
            </w:pPr>
          </w:p>
        </w:tc>
      </w:tr>
      <w:tr w:rsidR="00F15736" w:rsidRPr="00940ADE" w14:paraId="26DE043D" w14:textId="77777777">
        <w:trPr>
          <w:trHeight w:val="355"/>
          <w:jc w:val="center"/>
        </w:trPr>
        <w:tc>
          <w:tcPr>
            <w:tcW w:w="923" w:type="dxa"/>
            <w:tcBorders>
              <w:top w:val="nil"/>
              <w:left w:val="nil"/>
              <w:bottom w:val="nil"/>
              <w:right w:val="nil"/>
            </w:tcBorders>
            <w:shd w:val="clear" w:color="auto" w:fill="auto"/>
          </w:tcPr>
          <w:p w14:paraId="12ACFA77" w14:textId="77777777" w:rsidR="00F15736" w:rsidRPr="00940ADE" w:rsidRDefault="00F15736" w:rsidP="00940ADE">
            <w:pPr>
              <w:jc w:val="both"/>
              <w:rPr>
                <w:rFonts w:ascii="Arial" w:hAnsi="Arial"/>
                <w:b/>
                <w:bCs/>
              </w:rPr>
            </w:pPr>
          </w:p>
        </w:tc>
        <w:tc>
          <w:tcPr>
            <w:tcW w:w="4126" w:type="dxa"/>
            <w:tcBorders>
              <w:top w:val="nil"/>
              <w:left w:val="nil"/>
              <w:bottom w:val="nil"/>
              <w:right w:val="nil"/>
            </w:tcBorders>
            <w:shd w:val="clear" w:color="auto" w:fill="auto"/>
          </w:tcPr>
          <w:p w14:paraId="11115BE9" w14:textId="77777777" w:rsidR="00F15736" w:rsidRPr="00940ADE" w:rsidRDefault="00F15736" w:rsidP="00940ADE">
            <w:pPr>
              <w:jc w:val="both"/>
              <w:rPr>
                <w:rtl/>
              </w:rPr>
            </w:pPr>
            <w:r w:rsidRPr="00940ADE">
              <w:rPr>
                <w:rFonts w:hint="cs"/>
                <w:rtl/>
              </w:rPr>
              <w:t>ע"י ב"כ עו"ד נעמי כהן</w:t>
            </w:r>
          </w:p>
        </w:tc>
        <w:tc>
          <w:tcPr>
            <w:tcW w:w="3771" w:type="dxa"/>
            <w:tcBorders>
              <w:top w:val="nil"/>
              <w:left w:val="nil"/>
              <w:bottom w:val="nil"/>
              <w:right w:val="nil"/>
            </w:tcBorders>
            <w:shd w:val="clear" w:color="auto" w:fill="auto"/>
          </w:tcPr>
          <w:p w14:paraId="61FFA15B" w14:textId="77777777" w:rsidR="00F15736" w:rsidRPr="00940ADE" w:rsidRDefault="00F15736" w:rsidP="00940ADE">
            <w:pPr>
              <w:jc w:val="right"/>
              <w:rPr>
                <w:rFonts w:ascii="Arial" w:hAnsi="Arial"/>
                <w:b/>
                <w:bCs/>
                <w:rtl/>
              </w:rPr>
            </w:pPr>
            <w:r w:rsidRPr="00940ADE">
              <w:rPr>
                <w:rFonts w:ascii="Arial" w:hAnsi="Arial" w:hint="cs"/>
                <w:b/>
                <w:bCs/>
                <w:rtl/>
              </w:rPr>
              <w:t>ה</w:t>
            </w:r>
            <w:r w:rsidRPr="00940ADE">
              <w:rPr>
                <w:rFonts w:hint="cs"/>
                <w:b/>
                <w:bCs/>
                <w:rtl/>
              </w:rPr>
              <w:t>נאשם</w:t>
            </w:r>
          </w:p>
        </w:tc>
      </w:tr>
    </w:tbl>
    <w:p w14:paraId="2E556C62" w14:textId="77777777" w:rsidR="00021F81" w:rsidRDefault="00021F81" w:rsidP="00F15736">
      <w:pPr>
        <w:rPr>
          <w:rtl/>
        </w:rPr>
      </w:pPr>
      <w:bookmarkStart w:id="3" w:name="LawTable"/>
      <w:bookmarkEnd w:id="3"/>
    </w:p>
    <w:p w14:paraId="1E2BA560" w14:textId="77777777" w:rsidR="00021F81" w:rsidRPr="00021F81" w:rsidRDefault="00021F81" w:rsidP="00021F81">
      <w:pPr>
        <w:spacing w:after="120" w:line="240" w:lineRule="exact"/>
        <w:ind w:left="283" w:hanging="283"/>
        <w:jc w:val="both"/>
        <w:rPr>
          <w:rFonts w:ascii="FrankRuehl" w:hAnsi="FrankRuehl" w:cs="FrankRuehl"/>
          <w:rtl/>
        </w:rPr>
      </w:pPr>
    </w:p>
    <w:p w14:paraId="0B740914" w14:textId="77777777" w:rsidR="00021F81" w:rsidRPr="00021F81" w:rsidRDefault="00021F81" w:rsidP="00021F81">
      <w:pPr>
        <w:spacing w:after="120" w:line="240" w:lineRule="exact"/>
        <w:ind w:left="283" w:hanging="283"/>
        <w:jc w:val="both"/>
        <w:rPr>
          <w:rFonts w:ascii="FrankRuehl" w:hAnsi="FrankRuehl" w:cs="FrankRuehl"/>
          <w:rtl/>
        </w:rPr>
      </w:pPr>
      <w:r w:rsidRPr="00021F81">
        <w:rPr>
          <w:rFonts w:ascii="FrankRuehl" w:hAnsi="FrankRuehl" w:cs="FrankRuehl"/>
          <w:rtl/>
        </w:rPr>
        <w:t xml:space="preserve">חקיקה שאוזכרה: </w:t>
      </w:r>
    </w:p>
    <w:p w14:paraId="7D8CF664" w14:textId="77777777" w:rsidR="00021F81" w:rsidRPr="00021F81" w:rsidRDefault="00021F81" w:rsidP="00021F81">
      <w:pPr>
        <w:spacing w:after="120" w:line="240" w:lineRule="exact"/>
        <w:ind w:left="283" w:hanging="283"/>
        <w:jc w:val="both"/>
        <w:rPr>
          <w:rFonts w:ascii="FrankRuehl" w:hAnsi="FrankRuehl" w:cs="FrankRuehl"/>
          <w:rtl/>
        </w:rPr>
      </w:pPr>
      <w:hyperlink r:id="rId7" w:history="1">
        <w:r w:rsidRPr="00021F81">
          <w:rPr>
            <w:rFonts w:ascii="FrankRuehl" w:hAnsi="FrankRuehl" w:cs="FrankRuehl"/>
            <w:color w:val="0000FF"/>
            <w:u w:val="single"/>
            <w:rtl/>
          </w:rPr>
          <w:t>פקודת הסמים המסוכנים [נוסח חדש], תשל"ג-1973</w:t>
        </w:r>
      </w:hyperlink>
      <w:r w:rsidRPr="00021F81">
        <w:rPr>
          <w:rFonts w:ascii="FrankRuehl" w:hAnsi="FrankRuehl" w:cs="FrankRuehl"/>
          <w:rtl/>
        </w:rPr>
        <w:t xml:space="preserve">: סע'  </w:t>
      </w:r>
      <w:hyperlink r:id="rId8" w:history="1">
        <w:r w:rsidRPr="00021F81">
          <w:rPr>
            <w:rFonts w:ascii="FrankRuehl" w:hAnsi="FrankRuehl" w:cs="FrankRuehl"/>
            <w:color w:val="0000FF"/>
            <w:u w:val="single"/>
            <w:rtl/>
          </w:rPr>
          <w:t>7(א)</w:t>
        </w:r>
      </w:hyperlink>
      <w:r w:rsidRPr="00021F81">
        <w:rPr>
          <w:rFonts w:ascii="FrankRuehl" w:hAnsi="FrankRuehl" w:cs="FrankRuehl"/>
          <w:rtl/>
        </w:rPr>
        <w:t xml:space="preserve">, </w:t>
      </w:r>
      <w:hyperlink r:id="rId9" w:history="1">
        <w:r w:rsidRPr="00021F81">
          <w:rPr>
            <w:rFonts w:ascii="FrankRuehl" w:hAnsi="FrankRuehl" w:cs="FrankRuehl"/>
            <w:color w:val="0000FF"/>
            <w:u w:val="single"/>
            <w:rtl/>
          </w:rPr>
          <w:t>7(ג)</w:t>
        </w:r>
      </w:hyperlink>
      <w:r w:rsidRPr="00021F81">
        <w:rPr>
          <w:rFonts w:ascii="FrankRuehl" w:hAnsi="FrankRuehl" w:cs="FrankRuehl"/>
          <w:rtl/>
        </w:rPr>
        <w:t xml:space="preserve">, </w:t>
      </w:r>
      <w:hyperlink r:id="rId10" w:history="1">
        <w:r w:rsidRPr="00021F81">
          <w:rPr>
            <w:rFonts w:ascii="FrankRuehl" w:hAnsi="FrankRuehl" w:cs="FrankRuehl"/>
            <w:color w:val="0000FF"/>
            <w:u w:val="single"/>
            <w:rtl/>
          </w:rPr>
          <w:t>13</w:t>
        </w:r>
      </w:hyperlink>
      <w:r w:rsidRPr="00021F81">
        <w:rPr>
          <w:rFonts w:ascii="FrankRuehl" w:hAnsi="FrankRuehl" w:cs="FrankRuehl"/>
          <w:rtl/>
        </w:rPr>
        <w:t xml:space="preserve">, </w:t>
      </w:r>
      <w:hyperlink r:id="rId11" w:history="1">
        <w:r w:rsidRPr="00021F81">
          <w:rPr>
            <w:rFonts w:ascii="FrankRuehl" w:hAnsi="FrankRuehl" w:cs="FrankRuehl"/>
            <w:color w:val="0000FF"/>
            <w:u w:val="single"/>
            <w:rtl/>
          </w:rPr>
          <w:t>19א</w:t>
        </w:r>
      </w:hyperlink>
    </w:p>
    <w:p w14:paraId="23D54806" w14:textId="77777777" w:rsidR="00021F81" w:rsidRPr="00021F81" w:rsidRDefault="00021F81" w:rsidP="00021F81">
      <w:pPr>
        <w:spacing w:after="120" w:line="240" w:lineRule="exact"/>
        <w:ind w:left="283" w:hanging="283"/>
        <w:jc w:val="both"/>
        <w:rPr>
          <w:rFonts w:ascii="FrankRuehl" w:hAnsi="FrankRuehl" w:cs="FrankRuehl"/>
          <w:rtl/>
        </w:rPr>
      </w:pPr>
      <w:hyperlink r:id="rId12" w:history="1">
        <w:r w:rsidRPr="00021F81">
          <w:rPr>
            <w:rFonts w:ascii="FrankRuehl" w:hAnsi="FrankRuehl" w:cs="FrankRuehl"/>
            <w:color w:val="0000FF"/>
            <w:u w:val="single"/>
            <w:rtl/>
          </w:rPr>
          <w:t>חוק העונשין, תשל"ז-1977</w:t>
        </w:r>
      </w:hyperlink>
      <w:r w:rsidRPr="00021F81">
        <w:rPr>
          <w:rFonts w:ascii="FrankRuehl" w:hAnsi="FrankRuehl" w:cs="FrankRuehl"/>
          <w:rtl/>
        </w:rPr>
        <w:t xml:space="preserve">: סע'  </w:t>
      </w:r>
      <w:hyperlink r:id="rId13" w:history="1">
        <w:r w:rsidRPr="00021F81">
          <w:rPr>
            <w:rFonts w:ascii="FrankRuehl" w:hAnsi="FrankRuehl" w:cs="FrankRuehl"/>
            <w:color w:val="0000FF"/>
            <w:u w:val="single"/>
            <w:rtl/>
          </w:rPr>
          <w:t>40ט(א)(6)</w:t>
        </w:r>
      </w:hyperlink>
      <w:r w:rsidRPr="00021F81">
        <w:rPr>
          <w:rFonts w:ascii="FrankRuehl" w:hAnsi="FrankRuehl" w:cs="FrankRuehl"/>
          <w:rtl/>
        </w:rPr>
        <w:t xml:space="preserve">, </w:t>
      </w:r>
      <w:hyperlink r:id="rId14" w:history="1">
        <w:r w:rsidRPr="00021F81">
          <w:rPr>
            <w:rFonts w:ascii="FrankRuehl" w:hAnsi="FrankRuehl" w:cs="FrankRuehl"/>
            <w:color w:val="0000FF"/>
            <w:u w:val="single"/>
            <w:rtl/>
          </w:rPr>
          <w:t>40ט(א)(7)</w:t>
        </w:r>
      </w:hyperlink>
      <w:r w:rsidRPr="00021F81">
        <w:rPr>
          <w:rFonts w:ascii="FrankRuehl" w:hAnsi="FrankRuehl" w:cs="FrankRuehl"/>
          <w:rtl/>
        </w:rPr>
        <w:t xml:space="preserve">, </w:t>
      </w:r>
      <w:hyperlink r:id="rId15" w:history="1">
        <w:r w:rsidRPr="00021F81">
          <w:rPr>
            <w:rFonts w:ascii="FrankRuehl" w:hAnsi="FrankRuehl" w:cs="FrankRuehl"/>
            <w:color w:val="0000FF"/>
            <w:u w:val="single"/>
            <w:rtl/>
          </w:rPr>
          <w:t>287(א)</w:t>
        </w:r>
      </w:hyperlink>
      <w:r w:rsidRPr="00021F81">
        <w:rPr>
          <w:rFonts w:ascii="FrankRuehl" w:hAnsi="FrankRuehl" w:cs="FrankRuehl"/>
          <w:rtl/>
        </w:rPr>
        <w:t xml:space="preserve">, </w:t>
      </w:r>
      <w:hyperlink r:id="rId16" w:history="1">
        <w:r w:rsidRPr="00021F81">
          <w:rPr>
            <w:rFonts w:ascii="FrankRuehl" w:hAnsi="FrankRuehl" w:cs="FrankRuehl"/>
            <w:color w:val="0000FF"/>
            <w:u w:val="single"/>
            <w:rtl/>
          </w:rPr>
          <w:t>406(ב)</w:t>
        </w:r>
      </w:hyperlink>
      <w:r w:rsidRPr="00021F81">
        <w:rPr>
          <w:rFonts w:ascii="FrankRuehl" w:hAnsi="FrankRuehl" w:cs="FrankRuehl"/>
          <w:rtl/>
        </w:rPr>
        <w:t xml:space="preserve">, </w:t>
      </w:r>
      <w:hyperlink r:id="rId17" w:history="1">
        <w:r w:rsidRPr="00021F81">
          <w:rPr>
            <w:rFonts w:ascii="FrankRuehl" w:hAnsi="FrankRuehl" w:cs="FrankRuehl"/>
            <w:color w:val="0000FF"/>
            <w:u w:val="single"/>
            <w:rtl/>
          </w:rPr>
          <w:t>40יא(1)</w:t>
        </w:r>
      </w:hyperlink>
    </w:p>
    <w:p w14:paraId="4838E505" w14:textId="77777777" w:rsidR="00021F81" w:rsidRPr="00021F81" w:rsidRDefault="00021F81" w:rsidP="00021F8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5736" w14:paraId="28C02397" w14:textId="77777777">
        <w:trPr>
          <w:trHeight w:val="355"/>
          <w:jc w:val="center"/>
        </w:trPr>
        <w:tc>
          <w:tcPr>
            <w:tcW w:w="8820" w:type="dxa"/>
            <w:tcBorders>
              <w:top w:val="nil"/>
              <w:left w:val="nil"/>
              <w:bottom w:val="nil"/>
              <w:right w:val="nil"/>
            </w:tcBorders>
            <w:shd w:val="clear" w:color="auto" w:fill="auto"/>
          </w:tcPr>
          <w:p w14:paraId="49B6DEA9" w14:textId="77777777" w:rsidR="00940ADE" w:rsidRPr="00940ADE" w:rsidRDefault="00940ADE" w:rsidP="00940ADE">
            <w:pPr>
              <w:jc w:val="center"/>
              <w:rPr>
                <w:rFonts w:ascii="Arial" w:hAnsi="Arial"/>
                <w:b/>
                <w:bCs/>
                <w:sz w:val="28"/>
                <w:szCs w:val="28"/>
                <w:u w:val="single"/>
                <w:rtl/>
              </w:rPr>
            </w:pPr>
            <w:bookmarkStart w:id="4" w:name="LawTable_End"/>
            <w:bookmarkStart w:id="5" w:name="PsakDin" w:colFirst="0" w:colLast="0"/>
            <w:bookmarkEnd w:id="0"/>
            <w:bookmarkEnd w:id="4"/>
            <w:r w:rsidRPr="00940ADE">
              <w:rPr>
                <w:rFonts w:ascii="Arial" w:hAnsi="Arial"/>
                <w:b/>
                <w:bCs/>
                <w:sz w:val="28"/>
                <w:szCs w:val="28"/>
                <w:u w:val="single"/>
                <w:rtl/>
              </w:rPr>
              <w:t>גזר דין</w:t>
            </w:r>
          </w:p>
          <w:p w14:paraId="0788DE2D" w14:textId="77777777" w:rsidR="00F15736" w:rsidRPr="00940ADE" w:rsidRDefault="00F15736" w:rsidP="00940ADE">
            <w:pPr>
              <w:jc w:val="center"/>
              <w:rPr>
                <w:rFonts w:ascii="Arial" w:hAnsi="Arial"/>
                <w:bCs/>
                <w:sz w:val="28"/>
                <w:szCs w:val="28"/>
                <w:u w:val="single"/>
              </w:rPr>
            </w:pPr>
          </w:p>
        </w:tc>
      </w:tr>
      <w:bookmarkEnd w:id="5"/>
    </w:tbl>
    <w:p w14:paraId="6E221704" w14:textId="77777777" w:rsidR="00F15736" w:rsidRDefault="00F15736" w:rsidP="00F15736">
      <w:pPr>
        <w:spacing w:line="360" w:lineRule="auto"/>
        <w:jc w:val="both"/>
        <w:rPr>
          <w:rFonts w:ascii="Arial" w:hAnsi="Arial"/>
          <w:rtl/>
        </w:rPr>
      </w:pPr>
    </w:p>
    <w:p w14:paraId="2CD9F961" w14:textId="77777777" w:rsidR="00F15736" w:rsidRDefault="00F15736" w:rsidP="00F15736">
      <w:pPr>
        <w:spacing w:line="360" w:lineRule="auto"/>
        <w:jc w:val="both"/>
        <w:rPr>
          <w:rFonts w:ascii="Arial" w:hAnsi="Arial"/>
          <w:rtl/>
        </w:rPr>
      </w:pPr>
    </w:p>
    <w:p w14:paraId="4140BAB5" w14:textId="77777777" w:rsidR="00F15736" w:rsidRDefault="00F15736" w:rsidP="00F15736">
      <w:pPr>
        <w:spacing w:line="360" w:lineRule="auto"/>
        <w:jc w:val="both"/>
        <w:rPr>
          <w:rFonts w:ascii="Arial" w:hAnsi="Arial"/>
          <w:rtl/>
        </w:rPr>
      </w:pPr>
      <w:bookmarkStart w:id="6" w:name="ABSTRACT_START"/>
      <w:bookmarkEnd w:id="6"/>
      <w:r>
        <w:rPr>
          <w:rFonts w:ascii="Arial" w:hAnsi="Arial" w:hint="cs"/>
          <w:rtl/>
        </w:rPr>
        <w:t xml:space="preserve">במסגרתו של הסדר טיעון דיוני, ללא הסכמה עונשית, הודה הנאשם והורשע ביום 9.6.14 בכתב אישום מתוקן בשתי עבירות של סחר בסם מסוכן, לפי </w:t>
      </w:r>
      <w:hyperlink r:id="rId18" w:history="1">
        <w:r w:rsidR="00021F81" w:rsidRPr="00021F81">
          <w:rPr>
            <w:rFonts w:ascii="Arial" w:hAnsi="Arial"/>
            <w:color w:val="0000FF"/>
            <w:u w:val="single"/>
            <w:rtl/>
          </w:rPr>
          <w:t>סעיף 13</w:t>
        </w:r>
      </w:hyperlink>
      <w:r>
        <w:rPr>
          <w:rFonts w:ascii="Arial" w:hAnsi="Arial" w:hint="cs"/>
          <w:rtl/>
        </w:rPr>
        <w:t xml:space="preserve"> בצירוף </w:t>
      </w:r>
      <w:hyperlink r:id="rId19" w:history="1">
        <w:r w:rsidR="00021F81" w:rsidRPr="00021F81">
          <w:rPr>
            <w:rFonts w:ascii="Arial" w:hAnsi="Arial"/>
            <w:color w:val="0000FF"/>
            <w:u w:val="single"/>
            <w:rtl/>
          </w:rPr>
          <w:t>סעיף 19א</w:t>
        </w:r>
      </w:hyperlink>
      <w:r>
        <w:rPr>
          <w:rFonts w:ascii="Arial" w:hAnsi="Arial" w:hint="cs"/>
          <w:rtl/>
        </w:rPr>
        <w:t xml:space="preserve"> ל</w:t>
      </w:r>
      <w:hyperlink r:id="rId20" w:history="1">
        <w:r w:rsidR="00940ADE" w:rsidRPr="00940ADE">
          <w:rPr>
            <w:rFonts w:ascii="Arial" w:hAnsi="Arial"/>
            <w:color w:val="0000FF"/>
            <w:u w:val="single"/>
            <w:rtl/>
          </w:rPr>
          <w:t>פקודת הסמים המסוכנים</w:t>
        </w:r>
      </w:hyperlink>
      <w:r>
        <w:rPr>
          <w:rFonts w:ascii="Arial" w:hAnsi="Arial" w:hint="cs"/>
          <w:rtl/>
        </w:rPr>
        <w:t>.</w:t>
      </w:r>
    </w:p>
    <w:p w14:paraId="6B477BA2" w14:textId="77777777" w:rsidR="00F15736" w:rsidRDefault="00F15736" w:rsidP="00F15736">
      <w:pPr>
        <w:spacing w:line="360" w:lineRule="auto"/>
        <w:jc w:val="both"/>
        <w:rPr>
          <w:rFonts w:ascii="Arial" w:hAnsi="Arial"/>
          <w:rtl/>
        </w:rPr>
      </w:pPr>
      <w:r>
        <w:rPr>
          <w:rFonts w:ascii="Arial" w:hAnsi="Arial" w:hint="cs"/>
          <w:rtl/>
        </w:rPr>
        <w:t xml:space="preserve">ביום 16.9.14 צרף הנאשם תיק </w:t>
      </w:r>
      <w:hyperlink r:id="rId21" w:history="1">
        <w:r w:rsidR="00940ADE" w:rsidRPr="00940ADE">
          <w:rPr>
            <w:rFonts w:ascii="Arial" w:hAnsi="Arial"/>
            <w:color w:val="0000FF"/>
            <w:u w:val="single"/>
            <w:rtl/>
          </w:rPr>
          <w:t>ת"פ 13638-04-14</w:t>
        </w:r>
      </w:hyperlink>
      <w:r>
        <w:rPr>
          <w:rFonts w:ascii="Arial" w:hAnsi="Arial" w:hint="cs"/>
          <w:rtl/>
        </w:rPr>
        <w:t xml:space="preserve"> והורשע לפי הודאתו בעבירה של החזקת סם מסוכן לצריכה עצמית, לפי </w:t>
      </w:r>
      <w:hyperlink r:id="rId22" w:history="1">
        <w:r w:rsidR="00021F81" w:rsidRPr="00021F81">
          <w:rPr>
            <w:rFonts w:ascii="Arial" w:hAnsi="Arial"/>
            <w:color w:val="0000FF"/>
            <w:u w:val="single"/>
            <w:rtl/>
          </w:rPr>
          <w:t>סעיף 7(א)</w:t>
        </w:r>
      </w:hyperlink>
      <w:r>
        <w:rPr>
          <w:rFonts w:ascii="Arial" w:hAnsi="Arial" w:hint="cs"/>
          <w:rtl/>
        </w:rPr>
        <w:t xml:space="preserve"> בצירוף </w:t>
      </w:r>
      <w:hyperlink r:id="rId23" w:history="1">
        <w:r w:rsidR="00021F81" w:rsidRPr="00021F81">
          <w:rPr>
            <w:rFonts w:ascii="Arial" w:hAnsi="Arial"/>
            <w:color w:val="0000FF"/>
            <w:u w:val="single"/>
            <w:rtl/>
          </w:rPr>
          <w:t>סעיף 7(ג)</w:t>
        </w:r>
      </w:hyperlink>
      <w:r>
        <w:rPr>
          <w:rFonts w:ascii="Arial" w:hAnsi="Arial" w:hint="cs"/>
          <w:rtl/>
        </w:rPr>
        <w:t xml:space="preserve"> סיפא לפקודה הנ"ל.</w:t>
      </w:r>
    </w:p>
    <w:p w14:paraId="305ED370" w14:textId="77777777" w:rsidR="00F15736" w:rsidRDefault="00F15736" w:rsidP="00F15736">
      <w:pPr>
        <w:spacing w:line="360" w:lineRule="auto"/>
        <w:jc w:val="both"/>
        <w:rPr>
          <w:rFonts w:ascii="Arial" w:hAnsi="Arial"/>
          <w:rtl/>
        </w:rPr>
      </w:pPr>
      <w:r>
        <w:rPr>
          <w:rFonts w:ascii="Arial" w:hAnsi="Arial" w:hint="cs"/>
          <w:rtl/>
        </w:rPr>
        <w:t xml:space="preserve">ביום 29.12.15 צרף הנאשם תיק משטרה מס' פל"א 573209/13 והורשע לפי הודאתו בעבירה של פריצה לדירה כדי לבצע עבירה, לפי </w:t>
      </w:r>
      <w:hyperlink r:id="rId24" w:history="1">
        <w:r w:rsidR="00021F81" w:rsidRPr="00021F81">
          <w:rPr>
            <w:rFonts w:ascii="Arial" w:hAnsi="Arial"/>
            <w:color w:val="0000FF"/>
            <w:u w:val="single"/>
            <w:rtl/>
          </w:rPr>
          <w:t>סעיף 406(ב)</w:t>
        </w:r>
      </w:hyperlink>
      <w:r>
        <w:rPr>
          <w:rFonts w:ascii="Arial" w:hAnsi="Arial" w:hint="cs"/>
          <w:rtl/>
        </w:rPr>
        <w:t xml:space="preserve"> ל</w:t>
      </w:r>
      <w:hyperlink r:id="rId25" w:history="1">
        <w:r w:rsidR="00940ADE" w:rsidRPr="00940ADE">
          <w:rPr>
            <w:rFonts w:ascii="Arial" w:hAnsi="Arial"/>
            <w:color w:val="0000FF"/>
            <w:u w:val="single"/>
            <w:rtl/>
          </w:rPr>
          <w:t>חוק העונשין</w:t>
        </w:r>
      </w:hyperlink>
      <w:r>
        <w:rPr>
          <w:rFonts w:ascii="Arial" w:hAnsi="Arial" w:hint="cs"/>
          <w:rtl/>
        </w:rPr>
        <w:t>, תשל"ז-1977.</w:t>
      </w:r>
    </w:p>
    <w:p w14:paraId="40E24495" w14:textId="77777777" w:rsidR="00F15736" w:rsidRDefault="00F15736" w:rsidP="00F15736">
      <w:pPr>
        <w:spacing w:line="360" w:lineRule="auto"/>
        <w:jc w:val="both"/>
        <w:rPr>
          <w:rFonts w:ascii="Arial" w:hAnsi="Arial"/>
          <w:rtl/>
        </w:rPr>
      </w:pPr>
      <w:r>
        <w:rPr>
          <w:rFonts w:ascii="Arial" w:hAnsi="Arial" w:hint="cs"/>
          <w:rtl/>
        </w:rPr>
        <w:t xml:space="preserve">ביום 16.3.16 צרף הנאשם תיק נוסף, </w:t>
      </w:r>
      <w:hyperlink r:id="rId26" w:history="1">
        <w:r w:rsidR="00940ADE" w:rsidRPr="00940ADE">
          <w:rPr>
            <w:rFonts w:ascii="Arial" w:hAnsi="Arial"/>
            <w:color w:val="0000FF"/>
            <w:u w:val="single"/>
            <w:rtl/>
          </w:rPr>
          <w:t>ת"פ 56654-10-15</w:t>
        </w:r>
      </w:hyperlink>
      <w:r>
        <w:rPr>
          <w:rFonts w:ascii="Arial" w:hAnsi="Arial" w:hint="cs"/>
          <w:rtl/>
        </w:rPr>
        <w:t xml:space="preserve">, והורשע לפי הודאתו בשתי עבירות של הפרת הוראה חוקית, לפי </w:t>
      </w:r>
      <w:hyperlink r:id="rId27" w:history="1">
        <w:r w:rsidR="00021F81" w:rsidRPr="00021F81">
          <w:rPr>
            <w:rFonts w:ascii="Arial" w:hAnsi="Arial"/>
            <w:color w:val="0000FF"/>
            <w:u w:val="single"/>
            <w:rtl/>
          </w:rPr>
          <w:t>סעיף 287(א)</w:t>
        </w:r>
      </w:hyperlink>
      <w:r>
        <w:rPr>
          <w:rFonts w:ascii="Arial" w:hAnsi="Arial" w:hint="cs"/>
          <w:rtl/>
        </w:rPr>
        <w:t xml:space="preserve"> ל</w:t>
      </w:r>
      <w:hyperlink r:id="rId28" w:history="1">
        <w:r w:rsidR="00940ADE" w:rsidRPr="00940ADE">
          <w:rPr>
            <w:rFonts w:ascii="Arial" w:hAnsi="Arial"/>
            <w:color w:val="0000FF"/>
            <w:u w:val="single"/>
            <w:rtl/>
          </w:rPr>
          <w:t>חוק העונשין</w:t>
        </w:r>
      </w:hyperlink>
      <w:r>
        <w:rPr>
          <w:rFonts w:ascii="Arial" w:hAnsi="Arial" w:hint="cs"/>
          <w:rtl/>
        </w:rPr>
        <w:t xml:space="preserve"> הנ"ל.</w:t>
      </w:r>
    </w:p>
    <w:p w14:paraId="436DDA40" w14:textId="77777777" w:rsidR="00F15736" w:rsidRDefault="00F15736" w:rsidP="00F15736">
      <w:pPr>
        <w:spacing w:line="360" w:lineRule="auto"/>
        <w:jc w:val="both"/>
        <w:rPr>
          <w:rFonts w:ascii="Arial" w:hAnsi="Arial"/>
          <w:rtl/>
        </w:rPr>
      </w:pPr>
      <w:bookmarkStart w:id="7" w:name="ABSTRACT_END"/>
      <w:bookmarkEnd w:id="7"/>
    </w:p>
    <w:p w14:paraId="685AA616" w14:textId="77777777" w:rsidR="00F15736" w:rsidRDefault="00F15736" w:rsidP="00F15736">
      <w:pPr>
        <w:spacing w:line="360" w:lineRule="auto"/>
        <w:jc w:val="both"/>
        <w:rPr>
          <w:rFonts w:ascii="Arial" w:hAnsi="Arial"/>
          <w:rtl/>
        </w:rPr>
      </w:pPr>
      <w:r>
        <w:rPr>
          <w:rFonts w:ascii="Arial" w:hAnsi="Arial" w:hint="cs"/>
          <w:rtl/>
        </w:rPr>
        <w:t>לנוכח הרשעתו בעבירות הסחר בסם מסוכן, הוכרז הנאשם כ"סוחר סמים".</w:t>
      </w:r>
    </w:p>
    <w:p w14:paraId="78A275DA" w14:textId="77777777" w:rsidR="00F15736" w:rsidRDefault="00F15736" w:rsidP="00F15736">
      <w:pPr>
        <w:spacing w:line="360" w:lineRule="auto"/>
        <w:jc w:val="both"/>
        <w:rPr>
          <w:rFonts w:ascii="Arial" w:hAnsi="Arial"/>
          <w:rtl/>
        </w:rPr>
      </w:pPr>
    </w:p>
    <w:p w14:paraId="0B902090" w14:textId="77777777" w:rsidR="00F15736" w:rsidRDefault="00F15736" w:rsidP="00F15736">
      <w:pPr>
        <w:spacing w:line="360" w:lineRule="auto"/>
        <w:jc w:val="both"/>
        <w:rPr>
          <w:rFonts w:ascii="Arial" w:hAnsi="Arial"/>
          <w:rtl/>
        </w:rPr>
      </w:pPr>
      <w:r>
        <w:rPr>
          <w:rFonts w:ascii="Arial" w:hAnsi="Arial" w:hint="cs"/>
          <w:rtl/>
        </w:rPr>
        <w:t>לנוכח גילו של הנאשם, הופנה הנאשם ביום 9.6.14 לשירות המבחן לעריכת תסקיר, והוגשו בעניינו שישה תסקירים, שהאחרון שבהם מיום 12.4.16.</w:t>
      </w:r>
    </w:p>
    <w:p w14:paraId="333DEB3C" w14:textId="77777777" w:rsidR="00F15736" w:rsidRDefault="00F15736" w:rsidP="00F15736">
      <w:pPr>
        <w:spacing w:line="360" w:lineRule="auto"/>
        <w:jc w:val="both"/>
        <w:rPr>
          <w:rFonts w:ascii="Arial" w:hAnsi="Arial"/>
          <w:rtl/>
        </w:rPr>
      </w:pPr>
    </w:p>
    <w:p w14:paraId="69763C1A" w14:textId="77777777" w:rsidR="00F15736" w:rsidRDefault="00F15736" w:rsidP="00F15736">
      <w:pPr>
        <w:spacing w:line="360" w:lineRule="auto"/>
        <w:jc w:val="both"/>
        <w:rPr>
          <w:rFonts w:ascii="Arial" w:hAnsi="Arial"/>
          <w:rtl/>
        </w:rPr>
      </w:pPr>
      <w:r>
        <w:rPr>
          <w:rFonts w:ascii="Arial" w:hAnsi="Arial" w:hint="cs"/>
          <w:rtl/>
        </w:rPr>
        <w:t>לפני קבלתו של התסקיר האחרון, הופנה הנאשם לממונה על עבודות השירות, ובחוות-דעת מיום 10.4.16 נמצא הנאשם מתאים לביצוע עבודות שירות (לאחר ראיון שני).</w:t>
      </w:r>
    </w:p>
    <w:p w14:paraId="77ECB371" w14:textId="77777777" w:rsidR="00F15736" w:rsidRDefault="00F15736" w:rsidP="00F15736">
      <w:pPr>
        <w:spacing w:line="360" w:lineRule="auto"/>
        <w:jc w:val="both"/>
        <w:rPr>
          <w:rFonts w:ascii="Arial" w:hAnsi="Arial"/>
          <w:rtl/>
        </w:rPr>
      </w:pPr>
    </w:p>
    <w:p w14:paraId="4EACFBDF" w14:textId="77777777" w:rsidR="00F15736" w:rsidRDefault="00F15736" w:rsidP="00F15736">
      <w:pPr>
        <w:spacing w:line="360" w:lineRule="auto"/>
        <w:jc w:val="both"/>
        <w:rPr>
          <w:rFonts w:ascii="Arial" w:hAnsi="Arial"/>
          <w:rtl/>
        </w:rPr>
      </w:pPr>
    </w:p>
    <w:p w14:paraId="5D4783BC" w14:textId="77777777" w:rsidR="00F15736" w:rsidRDefault="00F15736" w:rsidP="00F15736">
      <w:pPr>
        <w:bidi w:val="0"/>
        <w:rPr>
          <w:rFonts w:ascii="Arial" w:hAnsi="Arial"/>
        </w:rPr>
      </w:pPr>
      <w:r>
        <w:rPr>
          <w:rFonts w:ascii="Arial" w:hAnsi="Arial" w:hint="cs"/>
          <w:rtl/>
        </w:rPr>
        <w:br w:type="page"/>
      </w:r>
    </w:p>
    <w:p w14:paraId="1B95A874" w14:textId="77777777" w:rsidR="00F15736" w:rsidRDefault="00F15736" w:rsidP="00F15736">
      <w:pPr>
        <w:spacing w:line="360" w:lineRule="auto"/>
        <w:jc w:val="both"/>
        <w:rPr>
          <w:rFonts w:ascii="Arial" w:hAnsi="Arial"/>
          <w:rtl/>
        </w:rPr>
      </w:pPr>
      <w:r>
        <w:rPr>
          <w:rFonts w:ascii="Arial" w:hAnsi="Arial" w:hint="cs"/>
          <w:b/>
          <w:bCs/>
          <w:u w:val="single"/>
          <w:rtl/>
        </w:rPr>
        <w:t>מעשי הנאשם:</w:t>
      </w:r>
    </w:p>
    <w:p w14:paraId="576C25DB" w14:textId="77777777" w:rsidR="00F15736" w:rsidRDefault="00F15736" w:rsidP="00F15736">
      <w:pPr>
        <w:pStyle w:val="ListParagraph"/>
        <w:numPr>
          <w:ilvl w:val="0"/>
          <w:numId w:val="1"/>
        </w:numPr>
        <w:spacing w:line="360" w:lineRule="auto"/>
        <w:jc w:val="both"/>
        <w:rPr>
          <w:rFonts w:ascii="Arial" w:hAnsi="Arial"/>
          <w:rtl/>
        </w:rPr>
      </w:pPr>
      <w:r>
        <w:rPr>
          <w:rFonts w:ascii="Arial" w:hAnsi="Arial" w:hint="cs"/>
          <w:rtl/>
        </w:rPr>
        <w:t>ביום 20.12.13 בשעת לילה, רכב הנאשם על קטנוע ובחזקתו חשיש במשקל 7.20 גרם נטו לשימוש עצמי;</w:t>
      </w:r>
    </w:p>
    <w:p w14:paraId="6AF539D8" w14:textId="77777777" w:rsidR="00F15736" w:rsidRDefault="00F15736" w:rsidP="00F15736">
      <w:pPr>
        <w:pStyle w:val="ListParagraph"/>
        <w:numPr>
          <w:ilvl w:val="0"/>
          <w:numId w:val="1"/>
        </w:numPr>
        <w:spacing w:line="360" w:lineRule="auto"/>
        <w:jc w:val="both"/>
        <w:rPr>
          <w:rFonts w:ascii="Arial" w:hAnsi="Arial"/>
        </w:rPr>
      </w:pPr>
      <w:r>
        <w:rPr>
          <w:rFonts w:ascii="Arial" w:hAnsi="Arial" w:hint="cs"/>
          <w:rtl/>
        </w:rPr>
        <w:t>ביום 27.12.13 או 28.12.13, פרץ הנאשם ונכנס דרך חלון חדר האמבטיה לדירתו של מר אליעזר יהודה בבני-ברק, בכוונה לגנוב;</w:t>
      </w:r>
    </w:p>
    <w:p w14:paraId="5CB8F3E6" w14:textId="77777777" w:rsidR="00F15736" w:rsidRDefault="00F15736" w:rsidP="00F15736">
      <w:pPr>
        <w:pStyle w:val="ListParagraph"/>
        <w:numPr>
          <w:ilvl w:val="0"/>
          <w:numId w:val="1"/>
        </w:numPr>
        <w:spacing w:line="360" w:lineRule="auto"/>
        <w:jc w:val="both"/>
        <w:rPr>
          <w:rFonts w:ascii="Arial" w:hAnsi="Arial"/>
        </w:rPr>
      </w:pPr>
      <w:r>
        <w:rPr>
          <w:rFonts w:ascii="Arial" w:hAnsi="Arial" w:hint="cs"/>
          <w:rtl/>
        </w:rPr>
        <w:t>ביום 31.1.14 בשעת בוקר מכר הנאשם לשוטר סמוי חשיש במשקל 4.96 גרם נטו תמורת 500 ₪;</w:t>
      </w:r>
    </w:p>
    <w:p w14:paraId="3E71B611" w14:textId="77777777" w:rsidR="00F15736" w:rsidRDefault="00F15736" w:rsidP="00F15736">
      <w:pPr>
        <w:pStyle w:val="ListParagraph"/>
        <w:numPr>
          <w:ilvl w:val="0"/>
          <w:numId w:val="1"/>
        </w:numPr>
        <w:spacing w:line="360" w:lineRule="auto"/>
        <w:jc w:val="both"/>
        <w:rPr>
          <w:rFonts w:ascii="Arial" w:hAnsi="Arial"/>
        </w:rPr>
      </w:pPr>
      <w:r>
        <w:rPr>
          <w:rFonts w:ascii="Arial" w:hAnsi="Arial" w:hint="cs"/>
          <w:rtl/>
        </w:rPr>
        <w:t>ביום 3.2.14 בצהריים מכר הנאשם לאותו שוטר חשיש במשקל 95.35 גרם נטו תמורת 4,900 ₪;</w:t>
      </w:r>
    </w:p>
    <w:p w14:paraId="2B627927" w14:textId="77777777" w:rsidR="00F15736" w:rsidRDefault="00F15736" w:rsidP="00F15736">
      <w:pPr>
        <w:pStyle w:val="ListParagraph"/>
        <w:numPr>
          <w:ilvl w:val="0"/>
          <w:numId w:val="1"/>
        </w:numPr>
        <w:spacing w:line="360" w:lineRule="auto"/>
        <w:jc w:val="both"/>
        <w:rPr>
          <w:rFonts w:ascii="Arial" w:hAnsi="Arial"/>
        </w:rPr>
      </w:pPr>
      <w:r>
        <w:rPr>
          <w:rFonts w:ascii="Arial" w:hAnsi="Arial" w:hint="cs"/>
          <w:rtl/>
        </w:rPr>
        <w:t>ביום 5.7.15 בצהריים הפר הנאשם צו בית המשפט ויצא ממקום מעצר-בית ללא ליווי מפקח;</w:t>
      </w:r>
    </w:p>
    <w:p w14:paraId="7BCE91E0" w14:textId="77777777" w:rsidR="00F15736" w:rsidRDefault="00F15736" w:rsidP="00F15736">
      <w:pPr>
        <w:pStyle w:val="ListParagraph"/>
        <w:numPr>
          <w:ilvl w:val="0"/>
          <w:numId w:val="1"/>
        </w:numPr>
        <w:spacing w:line="360" w:lineRule="auto"/>
        <w:jc w:val="both"/>
        <w:rPr>
          <w:rFonts w:ascii="Arial" w:hAnsi="Arial"/>
        </w:rPr>
      </w:pPr>
      <w:r>
        <w:rPr>
          <w:rFonts w:ascii="Arial" w:hAnsi="Arial" w:hint="cs"/>
          <w:rtl/>
        </w:rPr>
        <w:t>ביום 24.7.15 בבוקר הפר הנאשם צו בית המשפט ויצא ממקום מעצר-בית ללא ליווי מפקח;</w:t>
      </w:r>
    </w:p>
    <w:p w14:paraId="3EBF2DDE" w14:textId="77777777" w:rsidR="00F15736" w:rsidRDefault="00F15736" w:rsidP="00F15736">
      <w:pPr>
        <w:spacing w:line="360" w:lineRule="auto"/>
        <w:jc w:val="both"/>
        <w:rPr>
          <w:rFonts w:ascii="Arial" w:hAnsi="Arial"/>
        </w:rPr>
      </w:pPr>
    </w:p>
    <w:p w14:paraId="474F8247" w14:textId="77777777" w:rsidR="00F15736" w:rsidRDefault="00F15736" w:rsidP="00F15736">
      <w:pPr>
        <w:spacing w:line="360" w:lineRule="auto"/>
        <w:jc w:val="both"/>
        <w:rPr>
          <w:rFonts w:ascii="Arial" w:hAnsi="Arial"/>
          <w:rtl/>
        </w:rPr>
      </w:pPr>
      <w:r>
        <w:rPr>
          <w:rFonts w:ascii="Arial" w:hAnsi="Arial" w:hint="cs"/>
          <w:b/>
          <w:bCs/>
          <w:u w:val="single"/>
          <w:rtl/>
        </w:rPr>
        <w:t>נסיבות העבירות – קביעת מתחמי העונש:</w:t>
      </w:r>
    </w:p>
    <w:p w14:paraId="5045B575" w14:textId="77777777" w:rsidR="00F15736" w:rsidRDefault="00F15736" w:rsidP="00F15736">
      <w:pPr>
        <w:pStyle w:val="ListParagraph"/>
        <w:numPr>
          <w:ilvl w:val="0"/>
          <w:numId w:val="2"/>
        </w:numPr>
        <w:spacing w:line="360" w:lineRule="auto"/>
        <w:jc w:val="both"/>
        <w:rPr>
          <w:rtl/>
        </w:rPr>
      </w:pPr>
      <w:r>
        <w:rPr>
          <w:rFonts w:hint="cs"/>
          <w:b/>
          <w:bCs/>
          <w:rtl/>
        </w:rPr>
        <w:t>כל מעשה הנו אירוע עבירה נפרד:</w:t>
      </w:r>
      <w:r>
        <w:rPr>
          <w:rFonts w:hint="cs"/>
          <w:rtl/>
        </w:rPr>
        <w:t xml:space="preserve"> מעשיו של הנאשם בוצעו בזמנים שונים, ויש לראות בכל אחד מהם אירוע עבירה נפרד המצדיק קביעת מתחם עונשי נפרד. לא ייקבע מתחם לעניין החזקת הסם לצריכה עצמית, שכן לא תהיה לכך משמעות לעונש.</w:t>
      </w:r>
    </w:p>
    <w:p w14:paraId="1D4F3747" w14:textId="77777777" w:rsidR="00F15736" w:rsidRDefault="00F15736" w:rsidP="00F15736">
      <w:pPr>
        <w:pStyle w:val="ListParagraph"/>
        <w:numPr>
          <w:ilvl w:val="0"/>
          <w:numId w:val="2"/>
        </w:numPr>
        <w:spacing w:line="360" w:lineRule="auto"/>
        <w:jc w:val="both"/>
      </w:pPr>
      <w:r>
        <w:rPr>
          <w:rFonts w:hint="cs"/>
          <w:b/>
          <w:bCs/>
          <w:rtl/>
        </w:rPr>
        <w:t>מתחמי הענישה – עונשים עיקריים:</w:t>
      </w:r>
      <w:r>
        <w:rPr>
          <w:rFonts w:hint="cs"/>
          <w:rtl/>
        </w:rPr>
        <w:t xml:space="preserve"> להסרת ספק, ציון מתחמי הענישה מתייחס לעונש עיקרי, אליו יתלוו עונשי מאסר מותנה, עיצומים כספיים ועוד, לפי העניין;</w:t>
      </w:r>
    </w:p>
    <w:p w14:paraId="0308563E" w14:textId="77777777" w:rsidR="00F15736" w:rsidRDefault="00F15736" w:rsidP="00F15736">
      <w:pPr>
        <w:pStyle w:val="ListParagraph"/>
        <w:numPr>
          <w:ilvl w:val="0"/>
          <w:numId w:val="2"/>
        </w:numPr>
        <w:spacing w:line="360" w:lineRule="auto"/>
        <w:jc w:val="both"/>
      </w:pPr>
      <w:r>
        <w:rPr>
          <w:rFonts w:hint="cs"/>
          <w:b/>
          <w:bCs/>
          <w:rtl/>
        </w:rPr>
        <w:t>הנאשם ביצע את המעשים סמוך לאחר 'בגירותו':</w:t>
      </w:r>
      <w:r>
        <w:rPr>
          <w:rFonts w:hint="cs"/>
          <w:rtl/>
        </w:rPr>
        <w:t xml:space="preserve"> </w:t>
      </w:r>
    </w:p>
    <w:p w14:paraId="71E14BE2" w14:textId="77777777" w:rsidR="00F15736" w:rsidRDefault="00F15736" w:rsidP="00F15736">
      <w:pPr>
        <w:pStyle w:val="ListParagraph"/>
        <w:numPr>
          <w:ilvl w:val="1"/>
          <w:numId w:val="2"/>
        </w:numPr>
        <w:spacing w:line="360" w:lineRule="auto"/>
        <w:jc w:val="both"/>
      </w:pPr>
      <w:r>
        <w:rPr>
          <w:rFonts w:hint="cs"/>
          <w:rtl/>
        </w:rPr>
        <w:t xml:space="preserve">בית המשפט העליון נתן בידינו כלי פרשני, שֵם לקבוצת נאשמים בה מתקיימים מאפיינים ייחודיים – "בגירים צעירים". השיוך לקבוצה זו איננו בשום פנים ואופן אוטומטי או תלוי-גיל בלבד, ואף לא מבטיח כשלעצמו הקלה בעונש, ובכל מקרה ולכל נאשם יש לבחון קיומם של מאפיינים אלו. </w:t>
      </w:r>
      <w:hyperlink r:id="rId29" w:history="1">
        <w:r w:rsidR="00940ADE" w:rsidRPr="00940ADE">
          <w:rPr>
            <w:color w:val="0000FF"/>
            <w:u w:val="single"/>
            <w:rtl/>
          </w:rPr>
          <w:t>ע"פ  2420/15</w:t>
        </w:r>
      </w:hyperlink>
      <w:r>
        <w:rPr>
          <w:rFonts w:hint="cs"/>
          <w:rtl/>
        </w:rPr>
        <w:t xml:space="preserve"> </w:t>
      </w:r>
      <w:r>
        <w:rPr>
          <w:rFonts w:hint="cs"/>
          <w:b/>
          <w:bCs/>
          <w:rtl/>
        </w:rPr>
        <w:t>אברהם נ' מ.י.</w:t>
      </w:r>
      <w:r>
        <w:rPr>
          <w:rFonts w:hint="cs"/>
          <w:rtl/>
        </w:rPr>
        <w:t xml:space="preserve"> (2015) שניתן מפי הש' ג'ובראן</w:t>
      </w:r>
      <w:r>
        <w:rPr>
          <w:rStyle w:val="a9"/>
          <w:rtl/>
        </w:rPr>
        <w:footnoteReference w:id="1"/>
      </w:r>
      <w:r>
        <w:rPr>
          <w:rFonts w:hint="cs"/>
          <w:rtl/>
        </w:rPr>
        <w:t xml:space="preserve"> בהסכמת הש' עמית ושהם, הבהיר כך את המשמעות הנכונה של המושג, ופתר-למעשה קשיים והסתייגויות קודמים (וראו דברי הש' חיות וסולברג ב</w:t>
      </w:r>
      <w:hyperlink r:id="rId30" w:history="1">
        <w:r w:rsidR="00940ADE" w:rsidRPr="00940ADE">
          <w:rPr>
            <w:color w:val="0000FF"/>
            <w:u w:val="single"/>
            <w:rtl/>
          </w:rPr>
          <w:t>ע"פ 452/14</w:t>
        </w:r>
      </w:hyperlink>
      <w:r>
        <w:rPr>
          <w:rFonts w:hint="cs"/>
          <w:rtl/>
        </w:rPr>
        <w:t xml:space="preserve"> </w:t>
      </w:r>
      <w:r>
        <w:rPr>
          <w:rFonts w:hint="cs"/>
          <w:b/>
          <w:bCs/>
          <w:rtl/>
        </w:rPr>
        <w:t>דבוש נ' מ.י.</w:t>
      </w:r>
      <w:r>
        <w:rPr>
          <w:rFonts w:hint="cs"/>
          <w:rtl/>
        </w:rPr>
        <w:t xml:space="preserve"> (2014); דברי הש' ברק-ארז ב</w:t>
      </w:r>
      <w:hyperlink r:id="rId31" w:history="1">
        <w:r w:rsidR="00940ADE" w:rsidRPr="00940ADE">
          <w:rPr>
            <w:color w:val="0000FF"/>
            <w:u w:val="single"/>
            <w:rtl/>
          </w:rPr>
          <w:t>ע"פ 7661/13</w:t>
        </w:r>
      </w:hyperlink>
      <w:r>
        <w:rPr>
          <w:rFonts w:hint="cs"/>
          <w:rtl/>
        </w:rPr>
        <w:t xml:space="preserve"> </w:t>
      </w:r>
      <w:r>
        <w:rPr>
          <w:rFonts w:hint="cs"/>
          <w:b/>
          <w:bCs/>
          <w:rtl/>
        </w:rPr>
        <w:t>אבו-נאסר נ' מ.י.</w:t>
      </w:r>
      <w:r>
        <w:rPr>
          <w:rFonts w:hint="cs"/>
          <w:rtl/>
        </w:rPr>
        <w:t xml:space="preserve"> (2014); דברי הש' רובינשטיין ב</w:t>
      </w:r>
      <w:hyperlink r:id="rId32" w:history="1">
        <w:r w:rsidR="00940ADE" w:rsidRPr="00940ADE">
          <w:rPr>
            <w:color w:val="0000FF"/>
            <w:u w:val="single"/>
            <w:rtl/>
          </w:rPr>
          <w:t>ע"פ 2357/13</w:t>
        </w:r>
      </w:hyperlink>
      <w:r>
        <w:rPr>
          <w:rFonts w:hint="cs"/>
          <w:rtl/>
        </w:rPr>
        <w:t xml:space="preserve"> </w:t>
      </w:r>
      <w:r>
        <w:rPr>
          <w:rFonts w:hint="cs"/>
          <w:b/>
          <w:bCs/>
          <w:rtl/>
        </w:rPr>
        <w:t>רוש נ' מ.י.</w:t>
      </w:r>
      <w:r>
        <w:rPr>
          <w:rFonts w:hint="cs"/>
          <w:rtl/>
        </w:rPr>
        <w:t xml:space="preserve"> (2013); דברי הש' עמית ב</w:t>
      </w:r>
      <w:bookmarkStart w:id="8" w:name="casename_body"/>
      <w:r w:rsidR="00940ADE" w:rsidRPr="00940ADE">
        <w:rPr>
          <w:color w:val="0000FF"/>
          <w:u w:val="single"/>
          <w:rtl/>
        </w:rPr>
        <w:fldChar w:fldCharType="begin"/>
      </w:r>
      <w:r w:rsidR="00940ADE" w:rsidRPr="00940ADE">
        <w:rPr>
          <w:color w:val="0000FF"/>
          <w:u w:val="single"/>
          <w:rtl/>
        </w:rPr>
        <w:instrText xml:space="preserve"> </w:instrText>
      </w:r>
      <w:r w:rsidR="00940ADE" w:rsidRPr="00940ADE">
        <w:rPr>
          <w:color w:val="0000FF"/>
          <w:u w:val="single"/>
        </w:rPr>
        <w:instrText>HYPERLINK</w:instrText>
      </w:r>
      <w:r w:rsidR="00940ADE" w:rsidRPr="00940ADE">
        <w:rPr>
          <w:color w:val="0000FF"/>
          <w:u w:val="single"/>
          <w:rtl/>
        </w:rPr>
        <w:instrText xml:space="preserve"> "</w:instrText>
      </w:r>
      <w:r w:rsidR="00940ADE" w:rsidRPr="00940ADE">
        <w:rPr>
          <w:color w:val="0000FF"/>
          <w:u w:val="single"/>
        </w:rPr>
        <w:instrText>http://www.nevo.co.il/case/6248029</w:instrText>
      </w:r>
      <w:r w:rsidR="00940ADE" w:rsidRPr="00940ADE">
        <w:rPr>
          <w:color w:val="0000FF"/>
          <w:u w:val="single"/>
          <w:rtl/>
        </w:rPr>
        <w:instrText xml:space="preserve">" </w:instrText>
      </w:r>
      <w:r w:rsidR="00940ADE" w:rsidRPr="00940ADE">
        <w:rPr>
          <w:color w:val="0000FF"/>
          <w:u w:val="single"/>
        </w:rPr>
      </w:r>
      <w:r w:rsidR="00940ADE" w:rsidRPr="00940ADE">
        <w:rPr>
          <w:color w:val="0000FF"/>
          <w:u w:val="single"/>
          <w:rtl/>
        </w:rPr>
        <w:fldChar w:fldCharType="separate"/>
      </w:r>
      <w:bookmarkEnd w:id="8"/>
      <w:r w:rsidR="00940ADE" w:rsidRPr="00940ADE">
        <w:rPr>
          <w:color w:val="0000FF"/>
          <w:u w:val="single"/>
          <w:rtl/>
        </w:rPr>
        <w:t>ע"פ 7781/12</w:t>
      </w:r>
      <w:r w:rsidR="00940ADE" w:rsidRPr="00940ADE">
        <w:rPr>
          <w:color w:val="0000FF"/>
          <w:u w:val="single"/>
          <w:rtl/>
        </w:rPr>
        <w:fldChar w:fldCharType="end"/>
      </w:r>
      <w:r>
        <w:rPr>
          <w:rFonts w:hint="cs"/>
          <w:rtl/>
        </w:rPr>
        <w:t xml:space="preserve"> </w:t>
      </w:r>
      <w:r>
        <w:rPr>
          <w:rFonts w:hint="cs"/>
          <w:b/>
          <w:bCs/>
          <w:rtl/>
        </w:rPr>
        <w:t>פלוני נ' מ.י.</w:t>
      </w:r>
      <w:r>
        <w:rPr>
          <w:rFonts w:hint="cs"/>
          <w:rtl/>
        </w:rPr>
        <w:t xml:space="preserve"> (2013));</w:t>
      </w:r>
    </w:p>
    <w:p w14:paraId="6B290241" w14:textId="77777777" w:rsidR="00F15736" w:rsidRDefault="00F15736" w:rsidP="00F15736">
      <w:pPr>
        <w:pStyle w:val="ListParagraph"/>
        <w:numPr>
          <w:ilvl w:val="1"/>
          <w:numId w:val="2"/>
        </w:numPr>
        <w:spacing w:line="360" w:lineRule="auto"/>
        <w:jc w:val="both"/>
      </w:pPr>
      <w:r>
        <w:rPr>
          <w:rFonts w:hint="cs"/>
          <w:rtl/>
        </w:rPr>
        <w:t>כפי שנאמר בפסיקת בית המשפט העליון, גם ללא שימוש במושג מתחדש זה של "בגירים צעירים"</w:t>
      </w:r>
      <w:r>
        <w:rPr>
          <w:rStyle w:val="a9"/>
          <w:rtl/>
        </w:rPr>
        <w:footnoteReference w:id="2"/>
      </w:r>
      <w:r>
        <w:rPr>
          <w:rFonts w:hint="cs"/>
          <w:rtl/>
        </w:rPr>
        <w:t xml:space="preserve">, ניתן וראוי לשקול שיקולים הנעוצים בתפיסות חדשות של תהליך ההתפתחות הקוגניטיבי של עבריינים המשתייכים לקבוצת גיל זו: </w:t>
      </w:r>
    </w:p>
    <w:p w14:paraId="1F4870C6" w14:textId="77777777" w:rsidR="00F15736" w:rsidRDefault="00F15736" w:rsidP="00F15736">
      <w:pPr>
        <w:spacing w:line="360" w:lineRule="auto"/>
        <w:ind w:left="1080"/>
        <w:jc w:val="both"/>
      </w:pPr>
      <w:r>
        <w:rPr>
          <w:rFonts w:hint="cs"/>
          <w:rtl/>
        </w:rPr>
        <w:t xml:space="preserve">לא רק במהלך קביעת העונש בתוך המתחם שנקבע, לפי </w:t>
      </w:r>
      <w:hyperlink r:id="rId33" w:history="1">
        <w:r w:rsidR="00021F81" w:rsidRPr="00021F81">
          <w:rPr>
            <w:color w:val="0000FF"/>
            <w:u w:val="single"/>
            <w:rtl/>
          </w:rPr>
          <w:t>סעיף 40יא(1)</w:t>
        </w:r>
      </w:hyperlink>
      <w:r>
        <w:rPr>
          <w:rFonts w:hint="cs"/>
          <w:rtl/>
        </w:rPr>
        <w:t xml:space="preserve"> ל</w:t>
      </w:r>
      <w:hyperlink r:id="rId34" w:history="1">
        <w:r w:rsidR="00940ADE" w:rsidRPr="00940ADE">
          <w:rPr>
            <w:color w:val="0000FF"/>
            <w:u w:val="single"/>
            <w:rtl/>
          </w:rPr>
          <w:t>חוק העונשין</w:t>
        </w:r>
      </w:hyperlink>
      <w:r>
        <w:rPr>
          <w:rFonts w:hint="cs"/>
          <w:rtl/>
        </w:rPr>
        <w:t xml:space="preserve">, אלא גם במסגרת קביעת מתחם העונש, לפי </w:t>
      </w:r>
      <w:hyperlink r:id="rId35" w:history="1">
        <w:r w:rsidR="00021F81" w:rsidRPr="00021F81">
          <w:rPr>
            <w:color w:val="0000FF"/>
            <w:u w:val="single"/>
            <w:rtl/>
          </w:rPr>
          <w:t>סעיף 40ט(א)(6)</w:t>
        </w:r>
      </w:hyperlink>
      <w:r>
        <w:rPr>
          <w:rFonts w:hint="cs"/>
          <w:rtl/>
        </w:rPr>
        <w:t xml:space="preserve"> המורה להתחשב ב"יכולתו</w:t>
      </w:r>
      <w:r>
        <w:rPr>
          <w:rFonts w:hint="cs"/>
        </w:rPr>
        <w:t xml:space="preserve"> </w:t>
      </w:r>
      <w:r>
        <w:rPr>
          <w:rFonts w:hint="cs"/>
          <w:rtl/>
        </w:rPr>
        <w:t>של</w:t>
      </w:r>
      <w:r>
        <w:rPr>
          <w:rFonts w:hint="cs"/>
        </w:rPr>
        <w:t xml:space="preserve"> </w:t>
      </w:r>
      <w:r>
        <w:rPr>
          <w:rFonts w:hint="cs"/>
          <w:rtl/>
        </w:rPr>
        <w:t>הנאשם</w:t>
      </w:r>
      <w:r>
        <w:rPr>
          <w:rFonts w:hint="cs"/>
        </w:rPr>
        <w:t xml:space="preserve"> </w:t>
      </w:r>
      <w:r>
        <w:rPr>
          <w:rFonts w:hint="cs"/>
          <w:rtl/>
        </w:rPr>
        <w:t>להבין</w:t>
      </w:r>
      <w:r>
        <w:rPr>
          <w:rFonts w:hint="cs"/>
        </w:rPr>
        <w:t xml:space="preserve"> </w:t>
      </w:r>
      <w:r>
        <w:rPr>
          <w:rFonts w:hint="cs"/>
          <w:rtl/>
        </w:rPr>
        <w:t>את</w:t>
      </w:r>
      <w:r>
        <w:rPr>
          <w:rFonts w:hint="cs"/>
        </w:rPr>
        <w:t xml:space="preserve"> </w:t>
      </w:r>
      <w:r>
        <w:rPr>
          <w:rFonts w:hint="cs"/>
          <w:rtl/>
        </w:rPr>
        <w:t>אשר</w:t>
      </w:r>
      <w:r>
        <w:rPr>
          <w:rFonts w:hint="cs"/>
        </w:rPr>
        <w:t xml:space="preserve"> </w:t>
      </w:r>
      <w:r>
        <w:rPr>
          <w:rFonts w:hint="cs"/>
          <w:rtl/>
        </w:rPr>
        <w:t>הוא</w:t>
      </w:r>
      <w:r>
        <w:rPr>
          <w:rFonts w:hint="cs"/>
        </w:rPr>
        <w:t xml:space="preserve"> </w:t>
      </w:r>
      <w:r>
        <w:rPr>
          <w:rFonts w:hint="cs"/>
          <w:rtl/>
        </w:rPr>
        <w:t>עושה, את</w:t>
      </w:r>
      <w:r>
        <w:rPr>
          <w:rFonts w:hint="cs"/>
        </w:rPr>
        <w:t xml:space="preserve"> </w:t>
      </w:r>
      <w:r>
        <w:rPr>
          <w:rFonts w:hint="cs"/>
          <w:rtl/>
        </w:rPr>
        <w:t>הפסול</w:t>
      </w:r>
      <w:r>
        <w:rPr>
          <w:rFonts w:hint="cs"/>
        </w:rPr>
        <w:t xml:space="preserve"> </w:t>
      </w:r>
      <w:r>
        <w:rPr>
          <w:rFonts w:hint="cs"/>
          <w:rtl/>
        </w:rPr>
        <w:t>שבמעשהו</w:t>
      </w:r>
      <w:r>
        <w:rPr>
          <w:rFonts w:hint="cs"/>
        </w:rPr>
        <w:t xml:space="preserve"> </w:t>
      </w:r>
      <w:r>
        <w:rPr>
          <w:rFonts w:hint="cs"/>
          <w:rtl/>
        </w:rPr>
        <w:t>או</w:t>
      </w:r>
      <w:r>
        <w:rPr>
          <w:rFonts w:hint="cs"/>
        </w:rPr>
        <w:t xml:space="preserve"> </w:t>
      </w:r>
      <w:r>
        <w:rPr>
          <w:rFonts w:hint="cs"/>
          <w:rtl/>
        </w:rPr>
        <w:t>את</w:t>
      </w:r>
      <w:r>
        <w:rPr>
          <w:rFonts w:hint="cs"/>
        </w:rPr>
        <w:t xml:space="preserve"> </w:t>
      </w:r>
      <w:r>
        <w:rPr>
          <w:rFonts w:hint="cs"/>
          <w:rtl/>
        </w:rPr>
        <w:t>משמעות</w:t>
      </w:r>
      <w:r>
        <w:rPr>
          <w:rFonts w:hint="cs"/>
        </w:rPr>
        <w:t xml:space="preserve"> </w:t>
      </w:r>
      <w:r>
        <w:rPr>
          <w:rFonts w:hint="cs"/>
          <w:rtl/>
        </w:rPr>
        <w:t>מעשהו, לרבות</w:t>
      </w:r>
      <w:r>
        <w:rPr>
          <w:rFonts w:hint="cs"/>
        </w:rPr>
        <w:t xml:space="preserve"> </w:t>
      </w:r>
      <w:r>
        <w:rPr>
          <w:rFonts w:hint="cs"/>
          <w:rtl/>
        </w:rPr>
        <w:t>בשל</w:t>
      </w:r>
      <w:r>
        <w:rPr>
          <w:rFonts w:hint="cs"/>
        </w:rPr>
        <w:t xml:space="preserve"> </w:t>
      </w:r>
      <w:r>
        <w:rPr>
          <w:rFonts w:hint="cs"/>
          <w:rtl/>
        </w:rPr>
        <w:t xml:space="preserve">גילו" – ולעתים גם לפי </w:t>
      </w:r>
      <w:hyperlink r:id="rId36" w:history="1">
        <w:r w:rsidR="00021F81" w:rsidRPr="00021F81">
          <w:rPr>
            <w:color w:val="0000FF"/>
            <w:u w:val="single"/>
            <w:rtl/>
          </w:rPr>
          <w:t>סעיף 40ט(א)(7)</w:t>
        </w:r>
      </w:hyperlink>
      <w:r>
        <w:rPr>
          <w:rFonts w:hint="cs"/>
          <w:rtl/>
        </w:rPr>
        <w:t xml:space="preserve"> הדן במידת יכולתו של הנאשם להימנע ממעשה ובמידת השליטה שלו על מעשהו (עניין </w:t>
      </w:r>
      <w:r>
        <w:rPr>
          <w:rFonts w:hint="cs"/>
          <w:b/>
          <w:bCs/>
          <w:rtl/>
        </w:rPr>
        <w:t>אברהם</w:t>
      </w:r>
      <w:r>
        <w:rPr>
          <w:rFonts w:hint="cs"/>
          <w:rtl/>
        </w:rPr>
        <w:t xml:space="preserve">, פסקה 21; עניין </w:t>
      </w:r>
      <w:r>
        <w:rPr>
          <w:rFonts w:hint="cs"/>
          <w:b/>
          <w:bCs/>
          <w:rtl/>
        </w:rPr>
        <w:t>דבוש</w:t>
      </w:r>
      <w:r>
        <w:rPr>
          <w:rFonts w:hint="cs"/>
          <w:rtl/>
        </w:rPr>
        <w:t xml:space="preserve">, פסקה 4 לדברי הש' סולברג; עניין </w:t>
      </w:r>
      <w:r>
        <w:rPr>
          <w:rFonts w:hint="cs"/>
          <w:b/>
          <w:bCs/>
          <w:rtl/>
        </w:rPr>
        <w:t>רוש</w:t>
      </w:r>
      <w:r>
        <w:rPr>
          <w:rFonts w:hint="cs"/>
          <w:rtl/>
        </w:rPr>
        <w:t>, פסקה י"ט);</w:t>
      </w:r>
    </w:p>
    <w:p w14:paraId="391B2AD4" w14:textId="77777777" w:rsidR="00F15736" w:rsidRDefault="00F15736" w:rsidP="00F15736">
      <w:pPr>
        <w:pStyle w:val="ListParagraph"/>
        <w:numPr>
          <w:ilvl w:val="1"/>
          <w:numId w:val="2"/>
        </w:numPr>
        <w:spacing w:line="360" w:lineRule="auto"/>
        <w:jc w:val="both"/>
      </w:pPr>
      <w:r>
        <w:rPr>
          <w:rFonts w:hint="cs"/>
          <w:rtl/>
        </w:rPr>
        <w:t xml:space="preserve">בבדיקה הקונקרטית והפרטנית הנדרשת יבדוק בית המשפט נתונים מרכזיים אלו: "קרבתו [של הנאשם] לגיל 18, ההשפעה האפשרית של מאסר בפועל על שיקומו ומצבו הנפשי, ובגרותו. הכול כעולה מתסקיר המבחן שיוגש בפניו בטרם גזירת העונש" (עניין </w:t>
      </w:r>
      <w:r>
        <w:rPr>
          <w:rFonts w:hint="cs"/>
          <w:b/>
          <w:bCs/>
          <w:rtl/>
        </w:rPr>
        <w:t>פלוני</w:t>
      </w:r>
      <w:r>
        <w:rPr>
          <w:rFonts w:hint="cs"/>
          <w:rtl/>
        </w:rPr>
        <w:t xml:space="preserve">, פסקה 58; עניין </w:t>
      </w:r>
      <w:r>
        <w:rPr>
          <w:rFonts w:hint="cs"/>
          <w:b/>
          <w:bCs/>
          <w:rtl/>
        </w:rPr>
        <w:t>אברהם</w:t>
      </w:r>
      <w:r>
        <w:rPr>
          <w:rFonts w:hint="cs"/>
          <w:rtl/>
        </w:rPr>
        <w:t>, פסקה 20);</w:t>
      </w:r>
    </w:p>
    <w:p w14:paraId="6246EB1E" w14:textId="77777777" w:rsidR="00F15736" w:rsidRDefault="00F15736" w:rsidP="00F15736">
      <w:pPr>
        <w:pStyle w:val="ListParagraph"/>
        <w:numPr>
          <w:ilvl w:val="1"/>
          <w:numId w:val="2"/>
        </w:numPr>
        <w:spacing w:line="360" w:lineRule="auto"/>
        <w:jc w:val="both"/>
      </w:pPr>
      <w:r>
        <w:rPr>
          <w:rFonts w:hint="cs"/>
          <w:rtl/>
        </w:rPr>
        <w:t>הנאשם הוא יליד 18.9.1995, וכלל המעשים בוצעו בטווח זמן של כחודשיים וחצי, כשהנאשם היה כבן 18 ושלושה – חמישה חודשים בלבד, סמוך מאוד לתקופת קטינותו המשפטית;</w:t>
      </w:r>
    </w:p>
    <w:p w14:paraId="55B6D183" w14:textId="77777777" w:rsidR="00F15736" w:rsidRDefault="00F15736" w:rsidP="00F15736">
      <w:pPr>
        <w:pStyle w:val="ListParagraph"/>
        <w:numPr>
          <w:ilvl w:val="1"/>
          <w:numId w:val="2"/>
        </w:numPr>
        <w:spacing w:line="360" w:lineRule="auto"/>
        <w:jc w:val="both"/>
      </w:pPr>
      <w:r>
        <w:rPr>
          <w:rFonts w:hint="cs"/>
          <w:rtl/>
        </w:rPr>
        <w:t>מתסקירי שירות המבחן עולה באופן ברור תמונה מדאיגה מאוד של צעיר בלתי-מגובש ונטול כוחות משמעותיים. משפחתו של הנאשם לא היוותה עבורו מקור לתמיכה או להדרכה, וכבר מגיל 15 התערה בחברה שולית והתדרדר לשימוש בקנאביס ולביצוע עבירות, עליהן נדון בבית המשפט לנוער;</w:t>
      </w:r>
    </w:p>
    <w:p w14:paraId="619072D8" w14:textId="77777777" w:rsidR="00F15736" w:rsidRDefault="00F15736" w:rsidP="00F15736">
      <w:pPr>
        <w:pStyle w:val="ListParagraph"/>
        <w:numPr>
          <w:ilvl w:val="1"/>
          <w:numId w:val="2"/>
        </w:numPr>
        <w:spacing w:line="360" w:lineRule="auto"/>
        <w:jc w:val="both"/>
      </w:pPr>
      <w:r>
        <w:rPr>
          <w:rFonts w:hint="cs"/>
          <w:rtl/>
        </w:rPr>
        <w:t>בתחילת האבחון מצא שירות המבחן את הנאשם "ילדותי, חסר בשלות, אימפולסיבי, מתקשה להציב לעצמו גבולות ולדחות סיפוקים, כשהינו מונע משיקולי רווח והפסד קונקרטיים, ללא יכולת לשיקול דעת, חסר מסוגלות להתייחס באופן אחראי להתנהלותו ולחזרתיות על דפוסיו הבעייתיים". בתסקיר אחרון, שהוגש לאחר שכבר הופנה הנאשם לממונה על עבודות השירות, הובהר כי חלה הדרדרות מהירה במצבו של הנאשם – נמצאו אצלו שרידי סם, הוא התקשה לשתף פעולה עם גורמי הטיפול, והורחק מהיחידה העירונית בה טופל. הנאשם ביטא עייפות מהטיפול ומההליך המשפטי וסרב להמשך טיפול. אין תמה, שהשירות נואש מהנאשם ונמנע מהמלצה טיפולית (או-אף המליץ על ענישה קשוחה – "סמכותית, בעלת גבולות ברורים" – חלף המלצתו הקודמת לעבודות שירות). ואבהיר, כי לא ה"מעידה" בלבד היא החמורה, אלא עמדתו של הנאשם, היא שאינה מאפשרת הזדמנויות נוספות;</w:t>
      </w:r>
    </w:p>
    <w:p w14:paraId="7D92A3A7" w14:textId="77777777" w:rsidR="00F15736" w:rsidRDefault="00F15736" w:rsidP="00F15736">
      <w:pPr>
        <w:pStyle w:val="ListParagraph"/>
        <w:numPr>
          <w:ilvl w:val="1"/>
          <w:numId w:val="2"/>
        </w:numPr>
        <w:spacing w:line="360" w:lineRule="auto"/>
        <w:jc w:val="both"/>
      </w:pPr>
      <w:r>
        <w:rPr>
          <w:rFonts w:hint="cs"/>
          <w:rtl/>
        </w:rPr>
        <w:t>על אלו יש להוסיף את התנהגות הנאשם אצל הממונה על עבודות השירות, שהתאפיינה בפריצת גבולות ובחשד ממשי לשימוש בסם, כמתואר בחוות הדעת;</w:t>
      </w:r>
    </w:p>
    <w:p w14:paraId="7D9D400A" w14:textId="77777777" w:rsidR="00F15736" w:rsidRDefault="00F15736" w:rsidP="00F15736">
      <w:pPr>
        <w:pStyle w:val="ListParagraph"/>
        <w:numPr>
          <w:ilvl w:val="1"/>
          <w:numId w:val="2"/>
        </w:numPr>
        <w:spacing w:line="360" w:lineRule="auto"/>
        <w:jc w:val="both"/>
      </w:pPr>
      <w:r>
        <w:rPr>
          <w:rFonts w:hint="cs"/>
          <w:rtl/>
        </w:rPr>
        <w:t>למרבה הצער, מוכיחות התנהגות הנאשם ודרכי חשיבתו כי אותם מאפיינים מכשילים הם חלק מקובע ומגובש באישיותו, ולא תוצאה של איוולת-נעורים;</w:t>
      </w:r>
    </w:p>
    <w:p w14:paraId="14AEC1F0" w14:textId="77777777" w:rsidR="00F15736" w:rsidRDefault="00F15736" w:rsidP="00F15736">
      <w:pPr>
        <w:pStyle w:val="ListParagraph"/>
        <w:numPr>
          <w:ilvl w:val="1"/>
          <w:numId w:val="2"/>
        </w:numPr>
        <w:spacing w:line="360" w:lineRule="auto"/>
        <w:jc w:val="both"/>
      </w:pPr>
      <w:r>
        <w:rPr>
          <w:rFonts w:hint="cs"/>
          <w:rtl/>
        </w:rPr>
        <w:t>הבחינה הפרטנית של עניינו של הנאשם דנן בהתאם להנחיית הפסיקה מובילה למסקנה, שאין קשר אמתי בין גילו של הנאשם למעשיו ולתפיסותיו, ולא קיים אותו סיכוי מוגבר לשיקום המאפיין קטינים או צעירים-מאוד;</w:t>
      </w:r>
    </w:p>
    <w:p w14:paraId="0F52C2DF" w14:textId="77777777" w:rsidR="00F15736" w:rsidRDefault="00F15736" w:rsidP="00F15736">
      <w:pPr>
        <w:pStyle w:val="ListParagraph"/>
        <w:numPr>
          <w:ilvl w:val="1"/>
          <w:numId w:val="2"/>
        </w:numPr>
        <w:spacing w:line="360" w:lineRule="auto"/>
        <w:jc w:val="both"/>
      </w:pPr>
      <w:r>
        <w:rPr>
          <w:rFonts w:hint="cs"/>
          <w:rtl/>
        </w:rPr>
        <w:t xml:space="preserve">אזכיר, כי "גם לגבי 'בגיר צעיר' אין הגיל פוליסת ביטוח מפני מאסר" (עניין </w:t>
      </w:r>
      <w:r>
        <w:rPr>
          <w:rFonts w:hint="cs"/>
          <w:b/>
          <w:bCs/>
          <w:rtl/>
        </w:rPr>
        <w:t>רוש</w:t>
      </w:r>
      <w:r>
        <w:rPr>
          <w:rFonts w:hint="cs"/>
          <w:rtl/>
        </w:rPr>
        <w:t xml:space="preserve">, פסקאות י"ט-כ'), ועוד אוסיף כי אפילו היה הנאשם דנן נשפט בבית משפט לנוער כקטין – האפשרות של מאסר בפועל לא היתה בגדר שמועה רחוקה, לנוכח צבר העבירות (והשוו </w:t>
      </w:r>
      <w:hyperlink r:id="rId37" w:history="1">
        <w:r w:rsidR="00940ADE" w:rsidRPr="00940ADE">
          <w:rPr>
            <w:color w:val="0000FF"/>
            <w:u w:val="single"/>
            <w:rtl/>
          </w:rPr>
          <w:t>ע"פ 907/14</w:t>
        </w:r>
      </w:hyperlink>
      <w:r>
        <w:rPr>
          <w:rFonts w:hint="cs"/>
          <w:rtl/>
        </w:rPr>
        <w:t xml:space="preserve"> </w:t>
      </w:r>
      <w:r>
        <w:rPr>
          <w:rFonts w:hint="cs"/>
          <w:b/>
          <w:bCs/>
          <w:rtl/>
        </w:rPr>
        <w:t>רחמים נ' מ.י.</w:t>
      </w:r>
      <w:r>
        <w:rPr>
          <w:rFonts w:hint="cs"/>
          <w:rtl/>
        </w:rPr>
        <w:t xml:space="preserve"> (2014), פסקה י"ד);</w:t>
      </w:r>
    </w:p>
    <w:p w14:paraId="750A9EB4" w14:textId="77777777" w:rsidR="00F15736" w:rsidRDefault="00F15736" w:rsidP="00F15736">
      <w:pPr>
        <w:pStyle w:val="ListParagraph"/>
        <w:numPr>
          <w:ilvl w:val="1"/>
          <w:numId w:val="2"/>
        </w:numPr>
        <w:spacing w:line="360" w:lineRule="auto"/>
        <w:jc w:val="both"/>
      </w:pPr>
      <w:r>
        <w:rPr>
          <w:rFonts w:hint="cs"/>
          <w:rtl/>
        </w:rPr>
        <w:t xml:space="preserve">כך או אחרת, לנוכח מסקנתי, ייקבעו בעניינו של הנאשם מתחמי הענישה ההולמים והנהוגים, ללא 'הקלה'; </w:t>
      </w:r>
    </w:p>
    <w:p w14:paraId="33775A59" w14:textId="77777777" w:rsidR="00F15736" w:rsidRDefault="00F15736" w:rsidP="00F15736">
      <w:pPr>
        <w:pStyle w:val="ListParagraph"/>
        <w:numPr>
          <w:ilvl w:val="0"/>
          <w:numId w:val="2"/>
        </w:numPr>
        <w:spacing w:line="360" w:lineRule="auto"/>
        <w:jc w:val="both"/>
      </w:pPr>
      <w:r>
        <w:rPr>
          <w:rFonts w:hint="cs"/>
          <w:b/>
          <w:bCs/>
          <w:rtl/>
        </w:rPr>
        <w:t>עבירות הסחר בחשיש – קביעת מתחמי העונש:</w:t>
      </w:r>
    </w:p>
    <w:p w14:paraId="04D1E506" w14:textId="77777777" w:rsidR="00F15736" w:rsidRDefault="00F15736" w:rsidP="00F15736">
      <w:pPr>
        <w:pStyle w:val="ListParagraph"/>
        <w:numPr>
          <w:ilvl w:val="1"/>
          <w:numId w:val="2"/>
        </w:numPr>
        <w:spacing w:line="360" w:lineRule="auto"/>
        <w:jc w:val="both"/>
        <w:rPr>
          <w:rFonts w:ascii="Arial" w:hAnsi="Arial"/>
        </w:rPr>
      </w:pPr>
      <w:r>
        <w:rPr>
          <w:rFonts w:ascii="Arial" w:hAnsi="Arial" w:hint="cs"/>
          <w:rtl/>
        </w:rPr>
        <w:t>הפסיקה חזרה וקבעה, בכל דרגות בתי המשפט, את כובד משקלם של הערכים החברתיים המוגנים בעבירות הסמים ואת חומרת הפגיעה בהם על ידי עברייני הסמים. מדובר בנגע האוכל בחברה בכל פה, משחית את הגוף ואת הנפש, ושולח גרורות בדמות עבירות אלימות ורכוש חמורות גם לאלו שאינם מעורבים בסחר בסם ובצריכתו. זאת, עוד טרם שנזכיר את האומללות הפוקדת את משפחות הצרכנים ואת השימוש ברווחי הסמים למימונם של ארגוני פשיעה ושל כל סוגי העבריינות הקשה. אלא, שהפגיעה בערכים אלו שונה ופחותה בהרבה כאשר מדובר בסם "קל" מסוג הקנאביס לסוגיו, והפסיקה – הן המנחה והן הנוהגת – מקפידה לאבחן בין הענישה הנלווית לעיסוק בסמים "קשים" לבין הענישה הנלווית לעיסוק בסמים "קלים", שהיא אכן קלה בהרבה;</w:t>
      </w:r>
    </w:p>
    <w:p w14:paraId="034BBEBF" w14:textId="77777777" w:rsidR="00F15736" w:rsidRDefault="00F15736" w:rsidP="00F15736">
      <w:pPr>
        <w:pStyle w:val="ListParagraph"/>
        <w:numPr>
          <w:ilvl w:val="1"/>
          <w:numId w:val="2"/>
        </w:numPr>
        <w:spacing w:line="360" w:lineRule="auto"/>
        <w:jc w:val="both"/>
        <w:rPr>
          <w:rFonts w:ascii="Arial" w:hAnsi="Arial"/>
        </w:rPr>
      </w:pPr>
      <w:r>
        <w:rPr>
          <w:rFonts w:ascii="Arial" w:hAnsi="Arial" w:hint="cs"/>
          <w:rtl/>
        </w:rPr>
        <w:t>הפגיעה בערכים המוגנים והנזק הפוטנציאלי לציבור משמעותיים אפוא, על-אף היות הסם "קל" מסוגו. מדובר בעבירה מתוכננת שנעשתה למטרת רווח קל ומיידי  (כפי שמובא מפי הנאשם  בתסקיר הראשון, מיום 8.9.14);</w:t>
      </w:r>
    </w:p>
    <w:p w14:paraId="0BE15545" w14:textId="77777777" w:rsidR="00F15736" w:rsidRDefault="00F15736" w:rsidP="00F15736">
      <w:pPr>
        <w:pStyle w:val="ListParagraph"/>
        <w:numPr>
          <w:ilvl w:val="1"/>
          <w:numId w:val="2"/>
        </w:numPr>
        <w:spacing w:line="360" w:lineRule="auto"/>
        <w:jc w:val="both"/>
        <w:rPr>
          <w:rFonts w:ascii="Arial" w:hAnsi="Arial"/>
          <w:rtl/>
        </w:rPr>
      </w:pPr>
      <w:r>
        <w:rPr>
          <w:rFonts w:ascii="Arial" w:hAnsi="Arial" w:hint="cs"/>
          <w:rtl/>
        </w:rPr>
        <w:t xml:space="preserve">מדיניות הענישה הנוהגת במקרי סחר בחשיש בכמויות של 100 גרם או אף פחות, מכוונת בעיקרה לעונשי כליאה-ממש למספר חודשים, או למצער – למתחמי ענישה הנעים בין מספר חודשים הניתנים לריצוי בעבודות שירות ועד שמונה או עשרה חודשי מאסר בפועל. לענישה במקרים מסוג זה ראו </w:t>
      </w:r>
      <w:hyperlink r:id="rId38" w:history="1">
        <w:r w:rsidR="00940ADE" w:rsidRPr="00940ADE">
          <w:rPr>
            <w:rFonts w:ascii="Arial" w:hAnsi="Arial"/>
            <w:color w:val="0000FF"/>
            <w:u w:val="single"/>
            <w:rtl/>
          </w:rPr>
          <w:t>רע"פ 1271/13</w:t>
        </w:r>
      </w:hyperlink>
      <w:r>
        <w:rPr>
          <w:rFonts w:ascii="Arial" w:hAnsi="Arial" w:hint="cs"/>
          <w:rtl/>
        </w:rPr>
        <w:t xml:space="preserve"> </w:t>
      </w:r>
      <w:r>
        <w:rPr>
          <w:rFonts w:ascii="Arial" w:hAnsi="Arial" w:hint="cs"/>
          <w:b/>
          <w:bCs/>
          <w:rtl/>
        </w:rPr>
        <w:t>סויסה נ' מ.י.</w:t>
      </w:r>
      <w:r>
        <w:rPr>
          <w:rFonts w:ascii="Arial" w:hAnsi="Arial" w:hint="cs"/>
          <w:rtl/>
        </w:rPr>
        <w:t xml:space="preserve"> (2013); </w:t>
      </w:r>
      <w:hyperlink r:id="rId39" w:history="1">
        <w:r w:rsidR="00940ADE" w:rsidRPr="00940ADE">
          <w:rPr>
            <w:rFonts w:ascii="Arial" w:hAnsi="Arial"/>
            <w:color w:val="0000FF"/>
            <w:u w:val="single"/>
            <w:rtl/>
          </w:rPr>
          <w:t>רע"פ 7996/12</w:t>
        </w:r>
      </w:hyperlink>
      <w:r>
        <w:rPr>
          <w:rFonts w:ascii="Arial" w:hAnsi="Arial" w:hint="cs"/>
          <w:rtl/>
        </w:rPr>
        <w:t xml:space="preserve"> </w:t>
      </w:r>
      <w:r>
        <w:rPr>
          <w:rFonts w:ascii="Arial" w:hAnsi="Arial" w:hint="cs"/>
          <w:b/>
          <w:bCs/>
          <w:rtl/>
        </w:rPr>
        <w:t>יוסף נ' מ.י.</w:t>
      </w:r>
      <w:r>
        <w:rPr>
          <w:rFonts w:ascii="Arial" w:hAnsi="Arial" w:hint="cs"/>
          <w:rtl/>
        </w:rPr>
        <w:t xml:space="preserve"> (2013) – שם נמצא התייחסות מפורשת לצורך בענישה מחמירה גם כשמדובר על כמויות קטנות של חשיש; </w:t>
      </w:r>
      <w:hyperlink r:id="rId40" w:history="1">
        <w:r w:rsidR="00940ADE" w:rsidRPr="00940ADE">
          <w:rPr>
            <w:rFonts w:ascii="Arial" w:hAnsi="Arial"/>
            <w:color w:val="0000FF"/>
            <w:u w:val="single"/>
            <w:rtl/>
          </w:rPr>
          <w:t>רע"פ 545/09</w:t>
        </w:r>
      </w:hyperlink>
      <w:r>
        <w:rPr>
          <w:rFonts w:ascii="Arial" w:hAnsi="Arial" w:hint="cs"/>
          <w:rtl/>
        </w:rPr>
        <w:t xml:space="preserve"> </w:t>
      </w:r>
      <w:r>
        <w:rPr>
          <w:rFonts w:ascii="Arial" w:hAnsi="Arial" w:hint="cs"/>
          <w:b/>
          <w:bCs/>
          <w:rtl/>
        </w:rPr>
        <w:t>פינגל נ' מ.י.</w:t>
      </w:r>
      <w:r>
        <w:rPr>
          <w:rFonts w:ascii="Arial" w:hAnsi="Arial" w:hint="cs"/>
          <w:rtl/>
        </w:rPr>
        <w:t xml:space="preserve"> (2009); מתחמים שנקבעו ב</w:t>
      </w:r>
      <w:hyperlink r:id="rId41" w:history="1">
        <w:r w:rsidR="00940ADE" w:rsidRPr="00940ADE">
          <w:rPr>
            <w:rFonts w:ascii="Arial" w:hAnsi="Arial"/>
            <w:color w:val="0000FF"/>
            <w:u w:val="single"/>
            <w:rtl/>
          </w:rPr>
          <w:t>ת"פ 16723-07-14</w:t>
        </w:r>
      </w:hyperlink>
      <w:r>
        <w:rPr>
          <w:rFonts w:ascii="Arial" w:hAnsi="Arial" w:hint="cs"/>
          <w:rtl/>
        </w:rPr>
        <w:t xml:space="preserve"> </w:t>
      </w:r>
      <w:r>
        <w:rPr>
          <w:rFonts w:ascii="Arial" w:hAnsi="Arial" w:hint="cs"/>
          <w:b/>
          <w:bCs/>
          <w:rtl/>
        </w:rPr>
        <w:t xml:space="preserve">מ.י. נ' אדסון </w:t>
      </w:r>
      <w:r>
        <w:rPr>
          <w:rFonts w:ascii="Arial" w:hAnsi="Arial" w:hint="cs"/>
          <w:rtl/>
        </w:rPr>
        <w:t>(2014); מתחמים שנקבעו ב</w:t>
      </w:r>
      <w:hyperlink r:id="rId42" w:history="1">
        <w:r w:rsidR="00940ADE" w:rsidRPr="00940ADE">
          <w:rPr>
            <w:rFonts w:ascii="Arial" w:hAnsi="Arial"/>
            <w:color w:val="0000FF"/>
            <w:u w:val="single"/>
            <w:rtl/>
          </w:rPr>
          <w:t>ת"פ 34974-01-12</w:t>
        </w:r>
      </w:hyperlink>
      <w:r>
        <w:rPr>
          <w:rFonts w:ascii="Arial" w:hAnsi="Arial" w:hint="cs"/>
          <w:rtl/>
        </w:rPr>
        <w:t xml:space="preserve"> </w:t>
      </w:r>
      <w:r>
        <w:rPr>
          <w:rFonts w:ascii="Arial" w:hAnsi="Arial" w:hint="cs"/>
          <w:b/>
          <w:bCs/>
          <w:rtl/>
        </w:rPr>
        <w:t>מ.י. נ' מזרחי</w:t>
      </w:r>
      <w:r>
        <w:rPr>
          <w:rFonts w:ascii="Arial" w:hAnsi="Arial" w:hint="cs"/>
          <w:rtl/>
        </w:rPr>
        <w:t xml:space="preserve"> (2013); </w:t>
      </w:r>
      <w:hyperlink r:id="rId43" w:history="1">
        <w:r w:rsidR="00940ADE" w:rsidRPr="00940ADE">
          <w:rPr>
            <w:rFonts w:ascii="Arial" w:hAnsi="Arial"/>
            <w:color w:val="0000FF"/>
            <w:u w:val="single"/>
            <w:rtl/>
          </w:rPr>
          <w:t>ת"פ 33125-01-14</w:t>
        </w:r>
      </w:hyperlink>
      <w:r>
        <w:rPr>
          <w:rFonts w:ascii="Arial" w:hAnsi="Arial" w:hint="cs"/>
          <w:rtl/>
        </w:rPr>
        <w:t xml:space="preserve"> </w:t>
      </w:r>
      <w:r>
        <w:rPr>
          <w:rFonts w:ascii="Arial" w:hAnsi="Arial" w:hint="cs"/>
          <w:b/>
          <w:bCs/>
          <w:rtl/>
        </w:rPr>
        <w:t>מ.י. נ' אבו לבן</w:t>
      </w:r>
      <w:r>
        <w:rPr>
          <w:rFonts w:ascii="Arial" w:hAnsi="Arial" w:hint="cs"/>
          <w:rtl/>
        </w:rPr>
        <w:t xml:space="preserve"> (2014), מתחם שנקבע וסקירת עונשים בכמויות דומות; </w:t>
      </w:r>
      <w:hyperlink r:id="rId44" w:history="1">
        <w:r w:rsidR="00940ADE" w:rsidRPr="00940ADE">
          <w:rPr>
            <w:rFonts w:ascii="Arial" w:hAnsi="Arial"/>
            <w:color w:val="0000FF"/>
            <w:u w:val="single"/>
            <w:rtl/>
          </w:rPr>
          <w:t>ת"פ 4413-05-13</w:t>
        </w:r>
      </w:hyperlink>
      <w:r>
        <w:rPr>
          <w:rFonts w:ascii="Arial" w:hAnsi="Arial" w:hint="cs"/>
          <w:rtl/>
        </w:rPr>
        <w:t xml:space="preserve"> </w:t>
      </w:r>
      <w:r>
        <w:rPr>
          <w:rFonts w:ascii="Arial" w:hAnsi="Arial" w:hint="cs"/>
          <w:b/>
          <w:bCs/>
          <w:rtl/>
        </w:rPr>
        <w:t>מ.י. נ' יעקוביאן</w:t>
      </w:r>
      <w:r>
        <w:rPr>
          <w:rFonts w:ascii="Arial" w:hAnsi="Arial" w:hint="cs"/>
          <w:rtl/>
        </w:rPr>
        <w:t xml:space="preserve"> (2015); מקל וחומר, ראו מתחם שנקבע בגין החזקת 92 גרם חשיש ב</w:t>
      </w:r>
      <w:hyperlink r:id="rId45" w:history="1">
        <w:r w:rsidR="00940ADE" w:rsidRPr="00940ADE">
          <w:rPr>
            <w:rFonts w:ascii="Arial" w:hAnsi="Arial"/>
            <w:color w:val="0000FF"/>
            <w:u w:val="single"/>
            <w:rtl/>
          </w:rPr>
          <w:t>ת"פ 48198-02-13</w:t>
        </w:r>
      </w:hyperlink>
      <w:r>
        <w:rPr>
          <w:rFonts w:ascii="Arial" w:hAnsi="Arial" w:hint="cs"/>
          <w:rtl/>
        </w:rPr>
        <w:t xml:space="preserve"> </w:t>
      </w:r>
      <w:r>
        <w:rPr>
          <w:rFonts w:ascii="Arial" w:hAnsi="Arial" w:hint="cs"/>
          <w:b/>
          <w:bCs/>
          <w:rtl/>
        </w:rPr>
        <w:t>מ.י. נ' כהן</w:t>
      </w:r>
      <w:r>
        <w:rPr>
          <w:rFonts w:ascii="Arial" w:hAnsi="Arial" w:hint="cs"/>
          <w:rtl/>
        </w:rPr>
        <w:t xml:space="preserve"> (2014) ואושר ב</w:t>
      </w:r>
      <w:hyperlink r:id="rId46" w:history="1">
        <w:r w:rsidR="00940ADE" w:rsidRPr="00940ADE">
          <w:rPr>
            <w:rFonts w:ascii="Arial" w:hAnsi="Arial"/>
            <w:color w:val="0000FF"/>
            <w:u w:val="single"/>
            <w:rtl/>
          </w:rPr>
          <w:t>עפ"ג 53148-07-14</w:t>
        </w:r>
      </w:hyperlink>
      <w:r>
        <w:rPr>
          <w:rFonts w:ascii="Arial" w:hAnsi="Arial" w:hint="cs"/>
          <w:rtl/>
        </w:rPr>
        <w:t xml:space="preserve"> </w:t>
      </w:r>
      <w:r>
        <w:rPr>
          <w:rFonts w:ascii="Arial" w:hAnsi="Arial" w:hint="cs"/>
          <w:b/>
          <w:bCs/>
          <w:rtl/>
        </w:rPr>
        <w:t>כהן נ' מ.י.</w:t>
      </w:r>
      <w:r>
        <w:rPr>
          <w:rFonts w:ascii="Arial" w:hAnsi="Arial" w:hint="cs"/>
          <w:rtl/>
        </w:rPr>
        <w:t xml:space="preserve"> (2014) וב</w:t>
      </w:r>
      <w:hyperlink r:id="rId47" w:history="1">
        <w:r w:rsidR="00940ADE" w:rsidRPr="00940ADE">
          <w:rPr>
            <w:rFonts w:ascii="Arial" w:hAnsi="Arial"/>
            <w:color w:val="0000FF"/>
            <w:u w:val="single"/>
            <w:rtl/>
          </w:rPr>
          <w:t>רע"פ 189/15</w:t>
        </w:r>
      </w:hyperlink>
      <w:r>
        <w:rPr>
          <w:rFonts w:ascii="Arial" w:hAnsi="Arial" w:hint="cs"/>
          <w:rtl/>
        </w:rPr>
        <w:t xml:space="preserve"> </w:t>
      </w:r>
      <w:r>
        <w:rPr>
          <w:rFonts w:ascii="Arial" w:hAnsi="Arial" w:hint="cs"/>
          <w:b/>
          <w:bCs/>
          <w:rtl/>
        </w:rPr>
        <w:t>כהן נ' מ.י.</w:t>
      </w:r>
      <w:r>
        <w:rPr>
          <w:rFonts w:ascii="Arial" w:hAnsi="Arial" w:hint="cs"/>
          <w:rtl/>
        </w:rPr>
        <w:t xml:space="preserve"> (2015);</w:t>
      </w:r>
    </w:p>
    <w:p w14:paraId="5E90EE2A" w14:textId="77777777" w:rsidR="00F15736" w:rsidRDefault="00F15736" w:rsidP="00F15736">
      <w:pPr>
        <w:pStyle w:val="ListParagraph"/>
        <w:numPr>
          <w:ilvl w:val="1"/>
          <w:numId w:val="2"/>
        </w:numPr>
        <w:spacing w:line="360" w:lineRule="auto"/>
        <w:jc w:val="both"/>
      </w:pPr>
      <w:r>
        <w:rPr>
          <w:rFonts w:hint="cs"/>
          <w:rtl/>
        </w:rPr>
        <w:t xml:space="preserve">ברגיל, המתחם שנקבע לאירוע אחד של סחר בחשיש בכמות הקרובה ל-100 גרם נע (כטענת התביעה) </w:t>
      </w:r>
      <w:r>
        <w:rPr>
          <w:rFonts w:ascii="Arial" w:hAnsi="Arial" w:hint="cs"/>
          <w:rtl/>
        </w:rPr>
        <w:t>בין חמישה לבין 12 חודשי מאסר; המתחם הרגיל שנקבע למכירת כמות קטנה של חשיש נע בין מאסר מותנה למספר חודשי מאסר שניתן לרצותם גם בעבודות שירות;</w:t>
      </w:r>
      <w:r>
        <w:rPr>
          <w:rFonts w:hint="cs"/>
          <w:rtl/>
        </w:rPr>
        <w:t xml:space="preserve"> אין מקום לסטות ממתחמים אלו.</w:t>
      </w:r>
    </w:p>
    <w:p w14:paraId="790DB7A2" w14:textId="77777777" w:rsidR="00F15736" w:rsidRDefault="00F15736" w:rsidP="00F15736">
      <w:pPr>
        <w:pStyle w:val="ListParagraph"/>
        <w:numPr>
          <w:ilvl w:val="0"/>
          <w:numId w:val="2"/>
        </w:numPr>
        <w:spacing w:line="360" w:lineRule="auto"/>
        <w:jc w:val="both"/>
      </w:pPr>
      <w:r>
        <w:rPr>
          <w:rFonts w:hint="cs"/>
          <w:b/>
          <w:bCs/>
          <w:rtl/>
        </w:rPr>
        <w:t>עבירת הפריצה לדירה:</w:t>
      </w:r>
    </w:p>
    <w:p w14:paraId="1E4AB279" w14:textId="77777777" w:rsidR="00F15736" w:rsidRDefault="00F15736" w:rsidP="00F15736">
      <w:pPr>
        <w:pStyle w:val="ListParagraph"/>
        <w:numPr>
          <w:ilvl w:val="1"/>
          <w:numId w:val="2"/>
        </w:numPr>
        <w:spacing w:line="360" w:lineRule="auto"/>
        <w:jc w:val="both"/>
      </w:pPr>
      <w:r>
        <w:rPr>
          <w:rFonts w:hint="cs"/>
          <w:rtl/>
        </w:rPr>
        <w:t xml:space="preserve">הערכים החברתיים הנפגעים בעבירות פריצה לדירת מגורים אינם מתמצים בערך ההגנה על הרכוש. כפי שנפסק לא פעם, חומרתה היתירה של עבירת הפריצה מוציאה אותה מגדר עבירת רכוש 'בלבד', שכן פגיעתה רעה וקשה בתחושת הביטחון של הציבור והפרט, ובפרטיותו של אדם. אין לשכוח, כי תמיד אף קיימת הסכנה הגדולה של התלקחות אלימה, אם חו"ח יימצא אדם בדירה הנפרצת או ישוב לביתו בעוד הפורץ בוזז אותה (וראו  בין היתר </w:t>
      </w:r>
      <w:hyperlink r:id="rId48" w:history="1">
        <w:r w:rsidR="00940ADE" w:rsidRPr="00940ADE">
          <w:rPr>
            <w:color w:val="0000FF"/>
            <w:u w:val="single"/>
            <w:rtl/>
          </w:rPr>
          <w:t>ע"פ 7453/08</w:t>
        </w:r>
      </w:hyperlink>
      <w:r>
        <w:rPr>
          <w:rFonts w:hint="cs"/>
          <w:rtl/>
        </w:rPr>
        <w:t xml:space="preserve"> </w:t>
      </w:r>
      <w:r>
        <w:rPr>
          <w:rFonts w:hint="cs"/>
          <w:b/>
          <w:bCs/>
          <w:rtl/>
        </w:rPr>
        <w:t>מ.י. נ'  אואזנה</w:t>
      </w:r>
      <w:r>
        <w:rPr>
          <w:rFonts w:hint="cs"/>
          <w:rtl/>
        </w:rPr>
        <w:t xml:space="preserve"> (2008) ו</w:t>
      </w:r>
      <w:hyperlink r:id="rId49" w:history="1">
        <w:r w:rsidR="00940ADE" w:rsidRPr="00940ADE">
          <w:rPr>
            <w:color w:val="0000FF"/>
            <w:u w:val="single"/>
            <w:rtl/>
          </w:rPr>
          <w:t>ע"פ 6480/11</w:t>
        </w:r>
      </w:hyperlink>
      <w:r>
        <w:rPr>
          <w:rFonts w:hint="cs"/>
          <w:rtl/>
        </w:rPr>
        <w:t xml:space="preserve"> </w:t>
      </w:r>
      <w:r>
        <w:rPr>
          <w:rFonts w:hint="cs"/>
          <w:b/>
          <w:bCs/>
          <w:rtl/>
        </w:rPr>
        <w:t>סמארה נ' מ.י.</w:t>
      </w:r>
      <w:r>
        <w:rPr>
          <w:rFonts w:hint="cs"/>
          <w:rtl/>
        </w:rPr>
        <w:t xml:space="preserve"> (2011))</w:t>
      </w:r>
    </w:p>
    <w:p w14:paraId="32AD7FBC" w14:textId="77777777" w:rsidR="00F15736" w:rsidRDefault="00F15736" w:rsidP="00F15736">
      <w:pPr>
        <w:pStyle w:val="ListParagraph"/>
        <w:numPr>
          <w:ilvl w:val="1"/>
          <w:numId w:val="2"/>
        </w:numPr>
        <w:spacing w:line="360" w:lineRule="auto"/>
        <w:jc w:val="both"/>
      </w:pPr>
      <w:r>
        <w:rPr>
          <w:rFonts w:hint="cs"/>
          <w:rtl/>
        </w:rPr>
        <w:t>במקרה דנן נפגעו ערכים אלו במידה קשה, אף שלא נגנב דבר (לפי כתב האישום המתוקן). הנזק שנגרם הינו ממשי, אך הנזק הפוטנציאלי לא מוצה. העבירה בוצעה לאחר תכנון, וכדי לממן את צריכת הסם (לדברי הנאשם);</w:t>
      </w:r>
    </w:p>
    <w:p w14:paraId="450A167B" w14:textId="77777777" w:rsidR="00F15736" w:rsidRDefault="00F15736" w:rsidP="00F15736">
      <w:pPr>
        <w:pStyle w:val="ListParagraph"/>
        <w:numPr>
          <w:ilvl w:val="1"/>
          <w:numId w:val="2"/>
        </w:numPr>
        <w:spacing w:line="360" w:lineRule="auto"/>
        <w:jc w:val="both"/>
      </w:pPr>
      <w:r>
        <w:rPr>
          <w:rFonts w:hint="cs"/>
          <w:rtl/>
        </w:rPr>
        <w:t xml:space="preserve">מדיניות הענישה הנוהגת יציבה ומושרשת, וברגיל נקבע מתחם עונשי הנע בין 12 לבין 24 חודשי מאסר (וראו למשל </w:t>
      </w:r>
      <w:hyperlink r:id="rId50" w:history="1">
        <w:r w:rsidR="00940ADE" w:rsidRPr="00940ADE">
          <w:rPr>
            <w:color w:val="0000FF"/>
            <w:u w:val="single"/>
            <w:rtl/>
          </w:rPr>
          <w:t>עפ"ג 56440-06-14</w:t>
        </w:r>
      </w:hyperlink>
      <w:r>
        <w:rPr>
          <w:rFonts w:hint="cs"/>
          <w:rtl/>
        </w:rPr>
        <w:t xml:space="preserve"> </w:t>
      </w:r>
      <w:r>
        <w:rPr>
          <w:rFonts w:hint="cs"/>
          <w:b/>
          <w:bCs/>
          <w:rtl/>
        </w:rPr>
        <w:t>מ.י. נ' אלברז</w:t>
      </w:r>
      <w:r>
        <w:rPr>
          <w:rFonts w:hint="cs"/>
          <w:rtl/>
        </w:rPr>
        <w:t xml:space="preserve"> (2014)); </w:t>
      </w:r>
    </w:p>
    <w:p w14:paraId="2F0D3597" w14:textId="77777777" w:rsidR="00F15736" w:rsidRDefault="00F15736" w:rsidP="00F15736">
      <w:pPr>
        <w:pStyle w:val="ListParagraph"/>
        <w:numPr>
          <w:ilvl w:val="1"/>
          <w:numId w:val="2"/>
        </w:numPr>
        <w:spacing w:line="360" w:lineRule="auto"/>
        <w:jc w:val="both"/>
      </w:pPr>
      <w:r>
        <w:rPr>
          <w:rFonts w:hint="cs"/>
          <w:rtl/>
        </w:rPr>
        <w:t>אין מקום לחריגה מהמתחם הנוהג;</w:t>
      </w:r>
    </w:p>
    <w:p w14:paraId="28CDB195" w14:textId="77777777" w:rsidR="00F15736" w:rsidRDefault="00F15736" w:rsidP="00F15736">
      <w:pPr>
        <w:pStyle w:val="ListParagraph"/>
        <w:numPr>
          <w:ilvl w:val="0"/>
          <w:numId w:val="2"/>
        </w:numPr>
        <w:spacing w:line="360" w:lineRule="auto"/>
        <w:jc w:val="both"/>
      </w:pPr>
      <w:r>
        <w:rPr>
          <w:rFonts w:hint="cs"/>
          <w:b/>
          <w:bCs/>
          <w:rtl/>
        </w:rPr>
        <w:t>עבירות הפרת הוראה חוקית</w:t>
      </w:r>
      <w:r>
        <w:rPr>
          <w:rFonts w:hint="cs"/>
          <w:rtl/>
        </w:rPr>
        <w:t>:</w:t>
      </w:r>
    </w:p>
    <w:p w14:paraId="76225ECB" w14:textId="77777777" w:rsidR="00F15736" w:rsidRDefault="00F15736" w:rsidP="00F15736">
      <w:pPr>
        <w:spacing w:line="360" w:lineRule="auto"/>
        <w:ind w:left="360"/>
        <w:jc w:val="both"/>
      </w:pPr>
      <w:r>
        <w:rPr>
          <w:rFonts w:hint="cs"/>
          <w:rtl/>
        </w:rPr>
        <w:t>משענייננו בהפרות "שאינן מהותיות", ייקבע מתחם עונשי מקובל שעיקרו מאסר מותנה, עם או ללא עיצום כספי – קנס או התחייבות.</w:t>
      </w:r>
    </w:p>
    <w:p w14:paraId="1F9B7E65" w14:textId="77777777" w:rsidR="00F15736" w:rsidRDefault="00F15736" w:rsidP="00F15736">
      <w:pPr>
        <w:spacing w:line="360" w:lineRule="auto"/>
        <w:jc w:val="both"/>
      </w:pPr>
    </w:p>
    <w:p w14:paraId="2B4CAADB" w14:textId="77777777" w:rsidR="00F15736" w:rsidRDefault="00F15736" w:rsidP="00F15736">
      <w:pPr>
        <w:spacing w:line="360" w:lineRule="auto"/>
        <w:jc w:val="both"/>
        <w:rPr>
          <w:rtl/>
        </w:rPr>
      </w:pPr>
      <w:r>
        <w:rPr>
          <w:rFonts w:hint="cs"/>
          <w:b/>
          <w:bCs/>
          <w:u w:val="single"/>
          <w:rtl/>
        </w:rPr>
        <w:t>העונש לא יחרוג ממתחמי העונש ההולמים:</w:t>
      </w:r>
    </w:p>
    <w:p w14:paraId="374355F2" w14:textId="77777777" w:rsidR="00F15736" w:rsidRDefault="00F15736" w:rsidP="00F15736">
      <w:pPr>
        <w:spacing w:line="360" w:lineRule="auto"/>
        <w:jc w:val="both"/>
        <w:rPr>
          <w:rtl/>
        </w:rPr>
      </w:pPr>
      <w:r>
        <w:rPr>
          <w:rFonts w:hint="cs"/>
          <w:rtl/>
        </w:rPr>
        <w:t>לנוכח מסקנותיו של שירות המבחן, אין מקום לחריגה מטעמי שיקום מהמתחמים שנקבעו.</w:t>
      </w:r>
    </w:p>
    <w:p w14:paraId="2D44FC35" w14:textId="77777777" w:rsidR="00F15736" w:rsidRDefault="00F15736" w:rsidP="00F15736">
      <w:pPr>
        <w:bidi w:val="0"/>
      </w:pPr>
      <w:r>
        <w:rPr>
          <w:rFonts w:hint="cs"/>
          <w:rtl/>
        </w:rPr>
        <w:br w:type="page"/>
      </w:r>
    </w:p>
    <w:p w14:paraId="4A8C482F" w14:textId="77777777" w:rsidR="00F15736" w:rsidRDefault="00F15736" w:rsidP="00F15736">
      <w:pPr>
        <w:spacing w:line="360" w:lineRule="auto"/>
        <w:jc w:val="both"/>
        <w:rPr>
          <w:b/>
          <w:bCs/>
          <w:u w:val="single"/>
          <w:rtl/>
        </w:rPr>
      </w:pPr>
      <w:r>
        <w:rPr>
          <w:rFonts w:hint="cs"/>
          <w:b/>
          <w:bCs/>
          <w:u w:val="single"/>
          <w:rtl/>
        </w:rPr>
        <w:t>מיקום העונש במתחמים ואופן גזירת הדין:</w:t>
      </w:r>
    </w:p>
    <w:p w14:paraId="02B9FF21" w14:textId="77777777" w:rsidR="00F15736" w:rsidRDefault="00F15736" w:rsidP="00F15736">
      <w:pPr>
        <w:pStyle w:val="ListParagraph"/>
        <w:numPr>
          <w:ilvl w:val="0"/>
          <w:numId w:val="3"/>
        </w:numPr>
        <w:spacing w:line="360" w:lineRule="auto"/>
        <w:jc w:val="both"/>
        <w:rPr>
          <w:rtl/>
        </w:rPr>
      </w:pPr>
      <w:r>
        <w:rPr>
          <w:rFonts w:hint="cs"/>
          <w:rtl/>
        </w:rPr>
        <w:t>הנאשם הוא כיום כבן 21, רווק המתגורר בבית הוריו, ועובד מזה תקופה קצרה כעובד מטבח. בעבר לא התמיד הנאשם במקומות עבודה.</w:t>
      </w:r>
    </w:p>
    <w:p w14:paraId="347D567A" w14:textId="77777777" w:rsidR="00F15736" w:rsidRDefault="00F15736" w:rsidP="00F15736">
      <w:pPr>
        <w:pStyle w:val="ListParagraph"/>
        <w:numPr>
          <w:ilvl w:val="0"/>
          <w:numId w:val="3"/>
        </w:numPr>
        <w:spacing w:line="360" w:lineRule="auto"/>
        <w:jc w:val="both"/>
      </w:pPr>
      <w:r>
        <w:rPr>
          <w:rFonts w:hint="cs"/>
          <w:rtl/>
        </w:rPr>
        <w:t xml:space="preserve">לחובת הנאשם עבר פלילי ואף מאסר מותנה שיש להפעילו (מוצג תע/1): </w:t>
      </w:r>
    </w:p>
    <w:p w14:paraId="476B56B8" w14:textId="77777777" w:rsidR="00F15736" w:rsidRDefault="00F15736" w:rsidP="00F15736">
      <w:pPr>
        <w:pStyle w:val="ListParagraph"/>
        <w:numPr>
          <w:ilvl w:val="1"/>
          <w:numId w:val="3"/>
        </w:numPr>
        <w:spacing w:line="360" w:lineRule="auto"/>
        <w:jc w:val="both"/>
      </w:pPr>
      <w:r>
        <w:rPr>
          <w:rFonts w:hint="cs"/>
          <w:rtl/>
        </w:rPr>
        <w:t xml:space="preserve">עבירה ראשונה, של היזק לרכוש, עבר הנאשם ב-2011; </w:t>
      </w:r>
    </w:p>
    <w:p w14:paraId="7BEABDDC" w14:textId="77777777" w:rsidR="00F15736" w:rsidRDefault="00F15736" w:rsidP="00F15736">
      <w:pPr>
        <w:pStyle w:val="ListParagraph"/>
        <w:numPr>
          <w:ilvl w:val="1"/>
          <w:numId w:val="3"/>
        </w:numPr>
        <w:spacing w:line="360" w:lineRule="auto"/>
        <w:jc w:val="both"/>
        <w:rPr>
          <w:rtl/>
        </w:rPr>
      </w:pPr>
      <w:r>
        <w:rPr>
          <w:rFonts w:hint="cs"/>
          <w:rtl/>
        </w:rPr>
        <w:t xml:space="preserve">בשנת 2012 עבר הנאשם עבירות של העלבת עובד ציבור, החזקת סם לצריכה עצמית ועבירת תעבורה: ניסיונות טיפוליים כשלו מחוסר שתוף-פעולה של הנאשם, שלא גילה תובנה לחומרת מצבו ולא מצא פסול בשימוש בסמים, ולכן הורשע הנאשם ונדון למאסר מותנה בן שלושה חודשים למשך שנתיים, שלא יעבור עבירה לפי </w:t>
      </w:r>
      <w:hyperlink r:id="rId51" w:history="1">
        <w:r w:rsidR="00940ADE" w:rsidRPr="00940ADE">
          <w:rPr>
            <w:color w:val="0000FF"/>
            <w:u w:val="single"/>
            <w:rtl/>
          </w:rPr>
          <w:t>פקודת הסמים המסוכנים</w:t>
        </w:r>
      </w:hyperlink>
      <w:r>
        <w:rPr>
          <w:rFonts w:hint="cs"/>
          <w:rtl/>
        </w:rPr>
        <w:t>, בנוסף לרכיבי ענישה ותנאי נוספים (</w:t>
      </w:r>
      <w:hyperlink r:id="rId52" w:history="1">
        <w:r w:rsidR="00940ADE" w:rsidRPr="00940ADE">
          <w:rPr>
            <w:color w:val="0000FF"/>
            <w:u w:val="single"/>
            <w:rtl/>
          </w:rPr>
          <w:t>ת"פ 24685-11-12</w:t>
        </w:r>
      </w:hyperlink>
      <w:r>
        <w:rPr>
          <w:rFonts w:hint="cs"/>
          <w:rtl/>
        </w:rPr>
        <w:t xml:space="preserve"> מיום 2.1.14 – מוצג תע/2);</w:t>
      </w:r>
    </w:p>
    <w:p w14:paraId="7782AC23" w14:textId="77777777" w:rsidR="00F15736" w:rsidRDefault="00F15736" w:rsidP="00F15736">
      <w:pPr>
        <w:pStyle w:val="ListParagraph"/>
        <w:numPr>
          <w:ilvl w:val="1"/>
          <w:numId w:val="3"/>
        </w:numPr>
        <w:spacing w:line="360" w:lineRule="auto"/>
        <w:jc w:val="both"/>
        <w:rPr>
          <w:rtl/>
        </w:rPr>
      </w:pPr>
      <w:r>
        <w:rPr>
          <w:rFonts w:hint="cs"/>
          <w:rtl/>
        </w:rPr>
        <w:t>בשנת 2012 עבר הנאשם עבירה נוספת של  העלבת עובד ציבור ובאפריל 2013 עבר עבירות של נטילת נכסים לשם סחיטה וסיוע לגניבה. בגין אלו נדון ביום 26.2.15 למאסר מותנה, התחייבות ופיצוי;</w:t>
      </w:r>
    </w:p>
    <w:p w14:paraId="6B12A76F" w14:textId="77777777" w:rsidR="00F15736" w:rsidRDefault="00F15736" w:rsidP="00F15736">
      <w:pPr>
        <w:pStyle w:val="ListParagraph"/>
        <w:numPr>
          <w:ilvl w:val="1"/>
          <w:numId w:val="3"/>
        </w:numPr>
        <w:spacing w:line="360" w:lineRule="auto"/>
        <w:jc w:val="both"/>
        <w:rPr>
          <w:rtl/>
        </w:rPr>
      </w:pPr>
      <w:r>
        <w:rPr>
          <w:rFonts w:hint="cs"/>
          <w:rtl/>
        </w:rPr>
        <w:t>לא זו בלבד שלחובת הנאשם עבר פלילי מכביד-לגילו ורלוונטי, יש לציין לחומרה-יתירה את העובדה שעבר את עבירות הסם כחודש לאחר שנשפט והוטל עליו מאסר מותנה;</w:t>
      </w:r>
      <w:r>
        <w:rPr>
          <w:rFonts w:hint="cs"/>
        </w:rPr>
        <w:t xml:space="preserve"> </w:t>
      </w:r>
    </w:p>
    <w:p w14:paraId="45AE3CBE" w14:textId="77777777" w:rsidR="00F15736" w:rsidRDefault="00F15736" w:rsidP="00F15736">
      <w:pPr>
        <w:pStyle w:val="ListParagraph"/>
        <w:numPr>
          <w:ilvl w:val="0"/>
          <w:numId w:val="3"/>
        </w:numPr>
        <w:spacing w:line="360" w:lineRule="auto"/>
        <w:jc w:val="both"/>
      </w:pPr>
      <w:r>
        <w:rPr>
          <w:rFonts w:hint="cs"/>
          <w:rtl/>
        </w:rPr>
        <w:t>מתסקירי שירות המבחן עולה תמונה מצערת של התקדמות ונסיגה, ולבסוף - כישלון:</w:t>
      </w:r>
    </w:p>
    <w:p w14:paraId="485D22C2" w14:textId="77777777" w:rsidR="00F15736" w:rsidRDefault="00F15736" w:rsidP="00F15736">
      <w:pPr>
        <w:pStyle w:val="ListParagraph"/>
        <w:numPr>
          <w:ilvl w:val="1"/>
          <w:numId w:val="3"/>
        </w:numPr>
        <w:spacing w:line="360" w:lineRule="auto"/>
        <w:jc w:val="both"/>
      </w:pPr>
      <w:r>
        <w:rPr>
          <w:rFonts w:hint="cs"/>
          <w:rtl/>
        </w:rPr>
        <w:t>מוצא הנאשם במשפחה חרדית, כשהוא-עצמו איננו דתי, והמשפחה לא הצליחה לכוון ולחנך את הנאשם</w:t>
      </w:r>
      <w:r>
        <w:rPr>
          <w:rStyle w:val="a9"/>
          <w:rtl/>
        </w:rPr>
        <w:footnoteReference w:id="3"/>
      </w:r>
      <w:r>
        <w:rPr>
          <w:rFonts w:hint="cs"/>
          <w:rtl/>
        </w:rPr>
        <w:t>. בגיל 15 נשר הנאשם מבית הספר, התערה בחברה שולית, החל לצרוך סמים ולבצע עבירות, ולא גילה תובנה למצבו או רצון בטיפול ובהכוונה. שירות המבחן התרשם שהנאשם "ילדותי, חסר בשלות, אימפולסיבי, מתקשה להציב לעצמו גבולות ולדחות סיפוקים, כשהינו מונע משיקולי רווח והפסד קונקרטיים, ללא יכולת לשיקול דעת חסר מסוגלות להתייחס באופן אחראי להתנהלותו ולחזרתיות על דפוסיו הבעייתיים" (תסקיר ראשון, 8.9.14);</w:t>
      </w:r>
    </w:p>
    <w:p w14:paraId="380B4F3C" w14:textId="77777777" w:rsidR="00F15736" w:rsidRDefault="00F15736" w:rsidP="00F15736">
      <w:pPr>
        <w:pStyle w:val="ListParagraph"/>
        <w:numPr>
          <w:ilvl w:val="1"/>
          <w:numId w:val="3"/>
        </w:numPr>
        <w:spacing w:line="360" w:lineRule="auto"/>
        <w:jc w:val="both"/>
      </w:pPr>
      <w:r>
        <w:rPr>
          <w:rFonts w:hint="cs"/>
          <w:rtl/>
        </w:rPr>
        <w:t xml:space="preserve">בתחילת הקשר עם שירות המבחן בתיק דנן לא גילה הנאשם תובנה למצבו והשליך את האחריות למעשיו ממנו והלאה. הנאשם סרב לטיפול ושירות המבחן נמנע מהמלצה טיפולית בעניינו (תסקיר ראשון, 8.9.14). </w:t>
      </w:r>
    </w:p>
    <w:p w14:paraId="24EB73B6" w14:textId="77777777" w:rsidR="00F15736" w:rsidRDefault="00F15736" w:rsidP="00F15736">
      <w:pPr>
        <w:spacing w:line="360" w:lineRule="auto"/>
        <w:ind w:left="1080"/>
        <w:jc w:val="both"/>
      </w:pPr>
      <w:r>
        <w:rPr>
          <w:rFonts w:hint="cs"/>
          <w:rtl/>
        </w:rPr>
        <w:t>מחמת חששו מתוצאת ההליך</w:t>
      </w:r>
      <w:r>
        <w:rPr>
          <w:rStyle w:val="a9"/>
          <w:rtl/>
        </w:rPr>
        <w:footnoteReference w:id="4"/>
      </w:r>
      <w:r>
        <w:rPr>
          <w:rFonts w:hint="cs"/>
          <w:rtl/>
        </w:rPr>
        <w:t xml:space="preserve">, פנה הנאשם ליחידה העירונית לטיפול בהתמכרויות. על-אף המניע החיצוני ומציאות חשיש בבדיקת שתן ראשונה, השתלב הנאשם בטיפול באוקטובר 2014 ושירות המבחן נאות להמשיך במעקב (תסקיר שני, 24.12.14). </w:t>
      </w:r>
    </w:p>
    <w:p w14:paraId="77C2C875" w14:textId="77777777" w:rsidR="00F15736" w:rsidRDefault="00F15736" w:rsidP="00F15736">
      <w:pPr>
        <w:spacing w:line="360" w:lineRule="auto"/>
        <w:ind w:left="1080"/>
        <w:jc w:val="both"/>
        <w:rPr>
          <w:rtl/>
        </w:rPr>
      </w:pPr>
      <w:r>
        <w:rPr>
          <w:rFonts w:hint="cs"/>
          <w:rtl/>
        </w:rPr>
        <w:t>בדיקות שתן תכופות הראו כי הנאשם הפסיק את השימוש בסמים, והנאשם התמיד בהגעה לפגישות הטיפוליות ובשיתוף פעולה עם מטפליו ביחידה העירונית. השירות והמטפלים העריכו כי הנאשם מגלה מודעות ראשונית לבעייתיות אצלו (תסקיר שלישי, 18.3.15).</w:t>
      </w:r>
    </w:p>
    <w:p w14:paraId="06912B51" w14:textId="77777777" w:rsidR="00F15736" w:rsidRDefault="00F15736" w:rsidP="00F15736">
      <w:pPr>
        <w:spacing w:line="360" w:lineRule="auto"/>
        <w:ind w:left="1080"/>
        <w:jc w:val="both"/>
        <w:rPr>
          <w:rtl/>
        </w:rPr>
      </w:pPr>
      <w:r>
        <w:rPr>
          <w:rFonts w:hint="cs"/>
          <w:rtl/>
        </w:rPr>
        <w:t>גורמי הטיפול סברו כי הנאשם נזקק לתכנית טיפולית אינטנסיבית יותר, וביוני 2015 שולב הנאשם במרכז יום, בנוסף להמשך הטיפול ביחידה העירונית. הנאשם מעד פעמיים – בשימוש בחשיש ובשימוש באלכוהול – אך ההתרשמות היתה שהנאשם מתאמץ לעמוד בכללי המסגרת, לשתף פעולה ולהיתרם מהטיפול. מחמת היעדר תמיכה סביבתית הוצע לנאשם להשתלב בקהילה טיפולית סגורה אך הוא סרב. ככלל, התרשם השירות שהמוטיבציה של הנאשם נעשית פנימית וכנה, והוא מוצא בעצמו כוחות להתקדם על-אף מכשלות משפחתו וסביבתו. לנוכח זאת, המליץ השירות באוקטובר 2015 לסיים את ההליך ללא מאסר ולו בעבודות שירות (תסקיר רביעי, 8.10.15).</w:t>
      </w:r>
    </w:p>
    <w:p w14:paraId="0A376AD1" w14:textId="77777777" w:rsidR="00F15736" w:rsidRDefault="00F15736" w:rsidP="00F15736">
      <w:pPr>
        <w:spacing w:line="360" w:lineRule="auto"/>
        <w:ind w:left="1080"/>
        <w:jc w:val="both"/>
        <w:rPr>
          <w:rtl/>
        </w:rPr>
      </w:pPr>
      <w:r>
        <w:rPr>
          <w:rFonts w:hint="cs"/>
          <w:rtl/>
        </w:rPr>
        <w:t>בדצמבר 2015 הפר הנאשם שוב את כלליו של מרכז היום בשתיית אלכוהול, והורחק לצמיתות. הנאשם התקשה להתמיד בתעסוקה יציבה וגם לא התמיד בהגעה לפגישות ביחידה העירונית, על-אף הקשר הטיפולי הטוב שנוצר. הנאשם סרב שוב להשתלב בקהילה טיפולית, אך ביקש להמשיך בטיפול ביחידה העירונית ולהשתלב בטיפול בדפוסי אלימות והתמכרויות. הנאשם גאה ביכולתו להימנע משימוש בסמים ומהשינויים בתפיסותיו ובהתנהגותו. שירות המבחן ציין כי הנאשם החל במסגרת הליך זה תהליך ממושך של שיקום והכרה עצמית והתרשם שהנאשם "עושה כל שביכולתו על-מנת לקדם עצמו, בהתאם לכוחותיו, לעברו ולסביבת מגוריו". באלו יש "כדי לסייע בקידום מצבו בטווח הארוך". השירות חושש שכליאת הנאשם תוביל לקטיעת הטיפול ולרגרסיה במצבו, ואילו מאסר בעבודות שירות יציב לו גבולות מארגנים ויחזק יסודות מתפקדים באישיותו. המלצת השירות היא אפוא למאסר בעבודות שירות וצו מבחן למשך שנה וחצי (תסקיר חמישי, 14.2.16);</w:t>
      </w:r>
    </w:p>
    <w:p w14:paraId="0B0983BC" w14:textId="77777777" w:rsidR="00F15736" w:rsidRDefault="00F15736" w:rsidP="00F15736">
      <w:pPr>
        <w:pStyle w:val="ListParagraph"/>
        <w:numPr>
          <w:ilvl w:val="1"/>
          <w:numId w:val="3"/>
        </w:numPr>
        <w:spacing w:line="360" w:lineRule="auto"/>
        <w:jc w:val="both"/>
        <w:rPr>
          <w:rtl/>
        </w:rPr>
      </w:pPr>
      <w:r>
        <w:rPr>
          <w:rFonts w:hint="cs"/>
          <w:rtl/>
        </w:rPr>
        <w:t>כל אלה הושמו לאל בהתנהגות הנאשם, שהשתמש בסמים, לא שיתף פעולה כראוי עם גורמי הטיפול, ואף הצהיר על עייפות מהטיפול. על-אף ידיעתו כי מדובר בשלב הקריטי שלקראת גזירת הדין, והתראה חמורה, התנהג הנאשם גם אצל הממונה על עבודות השירות באופן פורץ-גבולות שחיזק את המסקנה בדבר שימוש בסם (הימנעות מביצוע בדיקה). שירות המבחן חזר בו מהמלצתו, אינו מציע עוד טיפול ומבחן, ומציע לבחון ענישה סמכותית ובעלת גבולות ברורים (תסקיר שישי, 12.4.16);</w:t>
      </w:r>
    </w:p>
    <w:p w14:paraId="070F726E" w14:textId="77777777" w:rsidR="00F15736" w:rsidRDefault="00F15736" w:rsidP="00F15736">
      <w:pPr>
        <w:pStyle w:val="ListParagraph"/>
        <w:numPr>
          <w:ilvl w:val="1"/>
          <w:numId w:val="3"/>
        </w:numPr>
        <w:spacing w:line="360" w:lineRule="auto"/>
        <w:jc w:val="both"/>
      </w:pPr>
      <w:r>
        <w:rPr>
          <w:rFonts w:hint="cs"/>
          <w:rtl/>
        </w:rPr>
        <w:t>אף שאין לדבר עוד על שיקום, בשלב זה, אתן משקל נכבד למאמצי השיקום של הנאשם לאורך התקופה הארוכה;</w:t>
      </w:r>
    </w:p>
    <w:p w14:paraId="76A5A319" w14:textId="77777777" w:rsidR="00F15736" w:rsidRDefault="00F15736" w:rsidP="00F15736">
      <w:pPr>
        <w:pStyle w:val="ListParagraph"/>
        <w:numPr>
          <w:ilvl w:val="0"/>
          <w:numId w:val="3"/>
        </w:numPr>
        <w:spacing w:line="360" w:lineRule="auto"/>
        <w:jc w:val="both"/>
      </w:pPr>
      <w:r>
        <w:rPr>
          <w:rFonts w:hint="cs"/>
          <w:rtl/>
        </w:rPr>
        <w:t>שירות המבחן התרשם כי הנאשם מגלה אמפתיה לנפגע, בושה וחרטה כנה.</w:t>
      </w:r>
    </w:p>
    <w:p w14:paraId="4B6EFEAD" w14:textId="77777777" w:rsidR="00F15736" w:rsidRDefault="00F15736" w:rsidP="00F15736">
      <w:pPr>
        <w:pStyle w:val="ListParagraph"/>
        <w:numPr>
          <w:ilvl w:val="0"/>
          <w:numId w:val="3"/>
        </w:numPr>
        <w:spacing w:line="360" w:lineRule="auto"/>
        <w:jc w:val="both"/>
      </w:pPr>
      <w:r>
        <w:rPr>
          <w:rFonts w:hint="cs"/>
          <w:rtl/>
        </w:rPr>
        <w:t>הגיל הצעיר-מאוד; ההירתמות לטיפול ממושך; החדילה מביצוע עבירות רכוש וסמים; וכל-זאת בהיבחנם בזמן ממושך של כשנתיים; ההודיה; התובנה וההפנמה של הפסול במעשים, תוך גילוי חרטה כנה על הפגיעה בזולת; הפגיעה החמורה הצפויה מעונש של כליאה – מאסר ראשון, של אדם צעיר מאוד; כל-אלה בהצטרפם יצדיקו את קביעת עונשו של הנאשם בתחתית מתחמי העונש, על-אף קיומו של עבר פלילי רלוונטי ועל-אף כישלון הטיפול בנאשם.</w:t>
      </w:r>
    </w:p>
    <w:p w14:paraId="7C2D11C7" w14:textId="77777777" w:rsidR="00F15736" w:rsidRDefault="00F15736" w:rsidP="00F15736">
      <w:pPr>
        <w:pStyle w:val="ListParagraph"/>
        <w:numPr>
          <w:ilvl w:val="0"/>
          <w:numId w:val="3"/>
        </w:numPr>
        <w:spacing w:line="360" w:lineRule="auto"/>
        <w:jc w:val="both"/>
      </w:pPr>
      <w:r>
        <w:rPr>
          <w:rFonts w:hint="cs"/>
          <w:rtl/>
        </w:rPr>
        <w:t>נתונים אלו יובילו להקלה-רבתי נוספת, שבהטלת העונש כאחד תוך חפיפת כלל העונשים והמאסר המותנה שיופעל.</w:t>
      </w:r>
    </w:p>
    <w:p w14:paraId="681004D0" w14:textId="77777777" w:rsidR="00F15736" w:rsidRDefault="00F15736" w:rsidP="00F15736">
      <w:pPr>
        <w:pStyle w:val="ListParagraph"/>
        <w:numPr>
          <w:ilvl w:val="0"/>
          <w:numId w:val="3"/>
        </w:numPr>
        <w:spacing w:line="360" w:lineRule="auto"/>
        <w:jc w:val="both"/>
      </w:pPr>
      <w:r>
        <w:rPr>
          <w:rFonts w:hint="cs"/>
          <w:rtl/>
        </w:rPr>
        <w:t xml:space="preserve">לא אחייב את הנאשם בקנס, לנוכח מצבו הכלכלי ועונש המאסר, אך אין מנוס מהפעלת ההתחייבות אותה הפר. בנוסף, יפצה הנאשם את נפגע הפריצה בגין נזק לא-ממוני, ולו בסך סמלי (התביעה לא עתרה לפיצוי, אך אין זה תנאי לחיוב בפיצוי, וראו </w:t>
      </w:r>
      <w:hyperlink r:id="rId53" w:history="1">
        <w:r w:rsidR="00940ADE" w:rsidRPr="00940ADE">
          <w:rPr>
            <w:color w:val="0000FF"/>
            <w:u w:val="single"/>
            <w:rtl/>
          </w:rPr>
          <w:t>ע"פ 5860/14</w:t>
        </w:r>
      </w:hyperlink>
      <w:r>
        <w:rPr>
          <w:rFonts w:hint="cs"/>
          <w:rtl/>
        </w:rPr>
        <w:t xml:space="preserve"> </w:t>
      </w:r>
      <w:r>
        <w:rPr>
          <w:rFonts w:hint="cs"/>
          <w:b/>
          <w:bCs/>
          <w:rtl/>
        </w:rPr>
        <w:t xml:space="preserve">לביא נ' מ.י. </w:t>
      </w:r>
      <w:r>
        <w:rPr>
          <w:rFonts w:hint="cs"/>
          <w:rtl/>
        </w:rPr>
        <w:t>(2016), סעיפים 16-17).</w:t>
      </w:r>
    </w:p>
    <w:p w14:paraId="499593C7" w14:textId="77777777" w:rsidR="00F15736" w:rsidRDefault="00F15736" w:rsidP="00F15736">
      <w:pPr>
        <w:pStyle w:val="ListParagraph"/>
        <w:numPr>
          <w:ilvl w:val="0"/>
          <w:numId w:val="3"/>
        </w:numPr>
        <w:spacing w:line="360" w:lineRule="auto"/>
        <w:jc w:val="both"/>
      </w:pPr>
      <w:r>
        <w:rPr>
          <w:rFonts w:hint="cs"/>
          <w:rtl/>
        </w:rPr>
        <w:t>לא מצאתי טעם טוב לחרוג מהכלל המחייב פסילת רישיון, מה-גם שיש להפעיל פסילה מותנית.</w:t>
      </w:r>
    </w:p>
    <w:p w14:paraId="0A530892" w14:textId="77777777" w:rsidR="00F15736" w:rsidRDefault="00F15736" w:rsidP="00F15736">
      <w:pPr>
        <w:spacing w:line="360" w:lineRule="auto"/>
        <w:jc w:val="both"/>
      </w:pPr>
    </w:p>
    <w:p w14:paraId="2E7C8342" w14:textId="77777777" w:rsidR="00F15736" w:rsidRDefault="00F15736" w:rsidP="00F15736">
      <w:pPr>
        <w:spacing w:line="360" w:lineRule="auto"/>
        <w:jc w:val="both"/>
        <w:rPr>
          <w:rtl/>
        </w:rPr>
      </w:pPr>
      <w:r>
        <w:rPr>
          <w:rFonts w:hint="cs"/>
          <w:b/>
          <w:bCs/>
          <w:u w:val="single"/>
          <w:rtl/>
        </w:rPr>
        <w:t>סוף-דבר, אני גוזר על הנאשם את העונשים הבאים:</w:t>
      </w:r>
      <w:r>
        <w:rPr>
          <w:rFonts w:hint="cs"/>
          <w:rtl/>
        </w:rPr>
        <w:t xml:space="preserve"> </w:t>
      </w:r>
    </w:p>
    <w:p w14:paraId="79C459FC" w14:textId="77777777" w:rsidR="00F15736" w:rsidRDefault="00F15736" w:rsidP="00F15736">
      <w:pPr>
        <w:spacing w:line="360" w:lineRule="auto"/>
        <w:jc w:val="both"/>
        <w:rPr>
          <w:rtl/>
        </w:rPr>
      </w:pPr>
    </w:p>
    <w:p w14:paraId="7CBCFEAC" w14:textId="77777777" w:rsidR="00F15736" w:rsidRDefault="00F15736" w:rsidP="00F15736">
      <w:pPr>
        <w:spacing w:line="360" w:lineRule="auto"/>
        <w:ind w:left="720" w:hanging="720"/>
        <w:jc w:val="both"/>
      </w:pPr>
      <w:r>
        <w:rPr>
          <w:rFonts w:hint="cs"/>
          <w:rtl/>
        </w:rPr>
        <w:t>א.</w:t>
      </w:r>
      <w:r>
        <w:rPr>
          <w:rFonts w:hint="cs"/>
          <w:rtl/>
        </w:rPr>
        <w:tab/>
        <w:t>12 חודשי מאסר, בניכוי ימי מעצרו מיום 3.2.14 ועד ליום 26.3.14 (ואפילו יראו רישומי שב"ס אחרת);</w:t>
      </w:r>
    </w:p>
    <w:p w14:paraId="7982FC80" w14:textId="77777777" w:rsidR="00F15736" w:rsidRDefault="00F15736" w:rsidP="00F15736">
      <w:pPr>
        <w:spacing w:line="360" w:lineRule="auto"/>
        <w:ind w:left="720" w:hanging="720"/>
        <w:jc w:val="both"/>
        <w:rPr>
          <w:rtl/>
        </w:rPr>
      </w:pPr>
    </w:p>
    <w:p w14:paraId="311DA99F" w14:textId="77777777" w:rsidR="00F15736" w:rsidRDefault="00F15736" w:rsidP="00F15736">
      <w:pPr>
        <w:spacing w:line="360" w:lineRule="auto"/>
        <w:ind w:left="720" w:hanging="720"/>
        <w:jc w:val="both"/>
        <w:rPr>
          <w:rtl/>
        </w:rPr>
      </w:pPr>
      <w:r>
        <w:rPr>
          <w:rFonts w:hint="cs"/>
          <w:rtl/>
        </w:rPr>
        <w:t>ב.</w:t>
      </w:r>
      <w:r>
        <w:rPr>
          <w:rFonts w:hint="cs"/>
          <w:rtl/>
        </w:rPr>
        <w:tab/>
        <w:t>אני מפעיל, בחפיפה שלמה לעונש אותו הטלתי, את המאסר המותנה בן 3 חודשים שהוטל על הנאשם ביום 2.1.14 ב</w:t>
      </w:r>
      <w:hyperlink r:id="rId54" w:history="1">
        <w:r w:rsidR="00940ADE" w:rsidRPr="00940ADE">
          <w:rPr>
            <w:color w:val="0000FF"/>
            <w:u w:val="single"/>
            <w:rtl/>
          </w:rPr>
          <w:t>ת"פ 24685-11-12</w:t>
        </w:r>
      </w:hyperlink>
      <w:r>
        <w:rPr>
          <w:rFonts w:hint="cs"/>
          <w:rtl/>
        </w:rPr>
        <w:t>;</w:t>
      </w:r>
    </w:p>
    <w:p w14:paraId="5A00FA9F" w14:textId="77777777" w:rsidR="00F15736" w:rsidRDefault="00F15736" w:rsidP="00F15736">
      <w:pPr>
        <w:spacing w:line="360" w:lineRule="auto"/>
        <w:ind w:left="720" w:hanging="720"/>
        <w:jc w:val="both"/>
        <w:rPr>
          <w:rtl/>
        </w:rPr>
      </w:pPr>
    </w:p>
    <w:p w14:paraId="729B9900" w14:textId="77777777" w:rsidR="00F15736" w:rsidRDefault="00F15736" w:rsidP="00F15736">
      <w:pPr>
        <w:spacing w:line="360" w:lineRule="auto"/>
        <w:ind w:left="720" w:hanging="720"/>
        <w:jc w:val="both"/>
        <w:rPr>
          <w:rtl/>
        </w:rPr>
      </w:pPr>
      <w:r>
        <w:rPr>
          <w:rFonts w:hint="cs"/>
          <w:rtl/>
        </w:rPr>
        <w:t>ג.</w:t>
      </w:r>
      <w:r>
        <w:rPr>
          <w:rFonts w:hint="cs"/>
          <w:rtl/>
        </w:rPr>
        <w:tab/>
        <w:t>מאסר על-תנאי בן 6 חודשים למשך שנתיים מיום שחרורו, שלא יעבור עבירת סם שהנה פשע או עבירת פריצה לדירה או לבית-עסק;</w:t>
      </w:r>
    </w:p>
    <w:p w14:paraId="56497CC6" w14:textId="77777777" w:rsidR="00F15736" w:rsidRDefault="00F15736" w:rsidP="00F15736">
      <w:pPr>
        <w:spacing w:line="360" w:lineRule="auto"/>
        <w:ind w:left="720" w:hanging="720"/>
        <w:jc w:val="both"/>
        <w:rPr>
          <w:rtl/>
        </w:rPr>
      </w:pPr>
    </w:p>
    <w:p w14:paraId="5C44A7CC" w14:textId="77777777" w:rsidR="00F15736" w:rsidRDefault="00F15736" w:rsidP="00F15736">
      <w:pPr>
        <w:spacing w:line="360" w:lineRule="auto"/>
        <w:ind w:left="720" w:hanging="720"/>
        <w:jc w:val="both"/>
        <w:rPr>
          <w:rtl/>
        </w:rPr>
      </w:pPr>
      <w:r>
        <w:rPr>
          <w:rFonts w:hint="cs"/>
          <w:rtl/>
        </w:rPr>
        <w:t>ד.</w:t>
      </w:r>
      <w:r>
        <w:rPr>
          <w:rFonts w:hint="cs"/>
          <w:rtl/>
        </w:rPr>
        <w:tab/>
        <w:t>מאסר על-תנאי בן 3 חודשים למשך שנתיים מיום שחרורו, שלא יעבור עבירת סם שהנה עוון, או עבירת רכוש שאיננה פריצה לדירה או לבית-עסק, או עבירה של הפרת הוראה חוקית;</w:t>
      </w:r>
    </w:p>
    <w:p w14:paraId="50E61E37" w14:textId="77777777" w:rsidR="00F15736" w:rsidRDefault="00F15736" w:rsidP="00F15736">
      <w:pPr>
        <w:spacing w:line="360" w:lineRule="auto"/>
        <w:ind w:left="720" w:hanging="720"/>
        <w:jc w:val="both"/>
        <w:rPr>
          <w:rtl/>
        </w:rPr>
      </w:pPr>
    </w:p>
    <w:p w14:paraId="27220D68" w14:textId="77777777" w:rsidR="00F15736" w:rsidRDefault="00F15736" w:rsidP="00F15736">
      <w:pPr>
        <w:spacing w:line="360" w:lineRule="auto"/>
        <w:ind w:left="720" w:hanging="720"/>
        <w:jc w:val="both"/>
        <w:rPr>
          <w:rtl/>
        </w:rPr>
      </w:pPr>
      <w:r>
        <w:rPr>
          <w:rFonts w:hint="cs"/>
          <w:rtl/>
        </w:rPr>
        <w:t>ה.</w:t>
      </w:r>
      <w:r>
        <w:rPr>
          <w:rFonts w:hint="cs"/>
          <w:rtl/>
        </w:rPr>
        <w:tab/>
        <w:t>אני מפעיל את ההתחייבות בסך 3,000 ₪ בה חויב הנאשם ושנחתמה ביום 2.1.14 ב</w:t>
      </w:r>
      <w:hyperlink r:id="rId55" w:history="1">
        <w:r w:rsidR="00940ADE" w:rsidRPr="00940ADE">
          <w:rPr>
            <w:color w:val="0000FF"/>
            <w:u w:val="single"/>
            <w:rtl/>
          </w:rPr>
          <w:t>ת"פ 24685-11-12</w:t>
        </w:r>
      </w:hyperlink>
      <w:r>
        <w:rPr>
          <w:rFonts w:hint="cs"/>
          <w:rtl/>
        </w:rPr>
        <w:t>. לא ישולם סך ההתחייבות, ייאסר הנאשם למשך שלושה ימים נוספים (לפי תנאי ההתחייבות);</w:t>
      </w:r>
    </w:p>
    <w:p w14:paraId="6069180F" w14:textId="77777777" w:rsidR="00F15736" w:rsidRDefault="00F15736" w:rsidP="00F15736">
      <w:pPr>
        <w:spacing w:line="360" w:lineRule="auto"/>
        <w:ind w:left="720" w:hanging="720"/>
        <w:jc w:val="both"/>
        <w:rPr>
          <w:rtl/>
        </w:rPr>
      </w:pPr>
    </w:p>
    <w:p w14:paraId="3ACCEA04" w14:textId="77777777" w:rsidR="00F15736" w:rsidRDefault="00F15736" w:rsidP="00F15736">
      <w:pPr>
        <w:spacing w:line="360" w:lineRule="auto"/>
        <w:ind w:left="720" w:hanging="720"/>
        <w:jc w:val="both"/>
        <w:rPr>
          <w:rtl/>
        </w:rPr>
      </w:pPr>
      <w:r>
        <w:rPr>
          <w:rFonts w:hint="cs"/>
          <w:rtl/>
        </w:rPr>
        <w:t>ו.</w:t>
      </w:r>
      <w:r>
        <w:rPr>
          <w:rFonts w:hint="cs"/>
          <w:rtl/>
        </w:rPr>
        <w:tab/>
        <w:t>פסילה מלנהוג או לקבל רישיון נהיגה למשך שלושה חודשים מיום שחרורו, במצטבר לפסילה מותנית בת חודשיים שהוטלה על הנאשם ביום 2.1.14 ב</w:t>
      </w:r>
      <w:hyperlink r:id="rId56" w:history="1">
        <w:r w:rsidR="00940ADE" w:rsidRPr="00940ADE">
          <w:rPr>
            <w:color w:val="0000FF"/>
            <w:u w:val="single"/>
            <w:rtl/>
          </w:rPr>
          <w:t>ת"פ 24685-11-12</w:t>
        </w:r>
      </w:hyperlink>
      <w:r>
        <w:rPr>
          <w:rFonts w:hint="cs"/>
          <w:rtl/>
        </w:rPr>
        <w:t xml:space="preserve"> ושתופעל עתה, כך שסה"כ ייפסל הנאשם כאמור למשך חמישה חודשים מיום שחרורו;</w:t>
      </w:r>
    </w:p>
    <w:p w14:paraId="623A6AE0" w14:textId="77777777" w:rsidR="00F15736" w:rsidRDefault="00F15736" w:rsidP="00F15736">
      <w:pPr>
        <w:spacing w:line="360" w:lineRule="auto"/>
        <w:ind w:left="720" w:hanging="720"/>
        <w:jc w:val="both"/>
        <w:rPr>
          <w:rtl/>
        </w:rPr>
      </w:pPr>
    </w:p>
    <w:p w14:paraId="762301E4" w14:textId="77777777" w:rsidR="00F15736" w:rsidRDefault="00F15736" w:rsidP="00F15736">
      <w:pPr>
        <w:spacing w:line="360" w:lineRule="auto"/>
        <w:ind w:left="720" w:hanging="720"/>
        <w:jc w:val="both"/>
        <w:rPr>
          <w:rtl/>
        </w:rPr>
      </w:pPr>
      <w:r>
        <w:rPr>
          <w:rFonts w:hint="cs"/>
          <w:rtl/>
        </w:rPr>
        <w:t>ז.</w:t>
      </w:r>
      <w:r>
        <w:rPr>
          <w:rFonts w:hint="cs"/>
          <w:rtl/>
        </w:rPr>
        <w:tab/>
        <w:t>פיצוי לנפגע בפ.א. 573209/13 בסך 800 ₪;</w:t>
      </w:r>
    </w:p>
    <w:p w14:paraId="380C84F6" w14:textId="77777777" w:rsidR="00F15736" w:rsidRDefault="00F15736" w:rsidP="00F15736">
      <w:pPr>
        <w:spacing w:line="360" w:lineRule="auto"/>
        <w:ind w:left="720" w:hanging="720"/>
        <w:jc w:val="both"/>
        <w:rPr>
          <w:rtl/>
        </w:rPr>
      </w:pPr>
    </w:p>
    <w:p w14:paraId="53559208" w14:textId="77777777" w:rsidR="00F15736" w:rsidRDefault="00F15736" w:rsidP="00F15736">
      <w:pPr>
        <w:spacing w:line="360" w:lineRule="auto"/>
        <w:ind w:left="720" w:hanging="720"/>
        <w:jc w:val="both"/>
        <w:rPr>
          <w:b/>
          <w:bCs/>
          <w:u w:val="single"/>
          <w:rtl/>
        </w:rPr>
      </w:pPr>
      <w:r>
        <w:rPr>
          <w:rFonts w:hint="cs"/>
          <w:b/>
          <w:bCs/>
          <w:u w:val="single"/>
          <w:rtl/>
        </w:rPr>
        <w:t>הוראות נלוות:</w:t>
      </w:r>
    </w:p>
    <w:p w14:paraId="14D00D62" w14:textId="77777777" w:rsidR="00F15736" w:rsidRDefault="00F15736" w:rsidP="00F15736">
      <w:pPr>
        <w:spacing w:line="360" w:lineRule="auto"/>
        <w:ind w:left="720" w:hanging="720"/>
        <w:jc w:val="both"/>
        <w:rPr>
          <w:rtl/>
        </w:rPr>
      </w:pPr>
      <w:r>
        <w:rPr>
          <w:rFonts w:hint="cs"/>
          <w:rtl/>
        </w:rPr>
        <w:t>א.</w:t>
      </w:r>
      <w:r>
        <w:rPr>
          <w:rFonts w:hint="cs"/>
          <w:rtl/>
        </w:rPr>
        <w:tab/>
        <w:t>כספי ההתחייבות יועברו לזכות קרן הסמים;</w:t>
      </w:r>
    </w:p>
    <w:p w14:paraId="0C9E1F3A" w14:textId="77777777" w:rsidR="00F15736" w:rsidRDefault="00F15736" w:rsidP="00F15736">
      <w:pPr>
        <w:spacing w:line="360" w:lineRule="auto"/>
        <w:ind w:left="720" w:hanging="720"/>
        <w:jc w:val="both"/>
        <w:rPr>
          <w:rtl/>
        </w:rPr>
      </w:pPr>
      <w:r>
        <w:rPr>
          <w:rFonts w:hint="cs"/>
          <w:rtl/>
        </w:rPr>
        <w:t>ב.</w:t>
      </w:r>
      <w:r>
        <w:rPr>
          <w:rFonts w:hint="cs"/>
          <w:rtl/>
        </w:rPr>
        <w:tab/>
        <w:t>מוצגים: טלפון נייד יושב לנאשם; סמים יושמדו; כל מוצג אחר, פרט לכסף, יועבר להכרעה פרטנית של קצין משטרה;</w:t>
      </w:r>
    </w:p>
    <w:p w14:paraId="2920B782" w14:textId="77777777" w:rsidR="00F15736" w:rsidRDefault="00F15736" w:rsidP="00F15736">
      <w:pPr>
        <w:spacing w:line="360" w:lineRule="auto"/>
        <w:ind w:left="720" w:hanging="720"/>
        <w:jc w:val="both"/>
        <w:rPr>
          <w:rtl/>
        </w:rPr>
      </w:pPr>
      <w:r>
        <w:rPr>
          <w:rFonts w:hint="cs"/>
          <w:rtl/>
        </w:rPr>
        <w:t>ג.</w:t>
      </w:r>
      <w:r>
        <w:rPr>
          <w:rFonts w:hint="cs"/>
          <w:rtl/>
        </w:rPr>
        <w:tab/>
        <w:t>התביעה תעביר בהקדם למזכירות טופס פרטי מתלונן של הנפגע בפ.א. 573209/13;</w:t>
      </w:r>
    </w:p>
    <w:p w14:paraId="672CBBFC" w14:textId="77777777" w:rsidR="00F15736" w:rsidRDefault="00F15736" w:rsidP="00F15736">
      <w:pPr>
        <w:spacing w:line="360" w:lineRule="auto"/>
        <w:ind w:left="720" w:hanging="720"/>
        <w:jc w:val="both"/>
        <w:rPr>
          <w:rtl/>
        </w:rPr>
      </w:pPr>
    </w:p>
    <w:p w14:paraId="3A349082" w14:textId="77777777" w:rsidR="00F15736" w:rsidRDefault="00F15736" w:rsidP="00F15736">
      <w:pPr>
        <w:spacing w:line="360" w:lineRule="auto"/>
        <w:ind w:left="720" w:hanging="720"/>
        <w:jc w:val="both"/>
        <w:rPr>
          <w:rtl/>
        </w:rPr>
      </w:pPr>
      <w:r>
        <w:rPr>
          <w:rFonts w:hint="cs"/>
          <w:rtl/>
        </w:rPr>
        <w:t>זכות ערעור תוך 45 יום מהיום.</w:t>
      </w:r>
    </w:p>
    <w:p w14:paraId="0D989C87" w14:textId="77777777" w:rsidR="00F15736" w:rsidRDefault="00F15736" w:rsidP="00F15736">
      <w:pPr>
        <w:spacing w:line="360" w:lineRule="auto"/>
        <w:ind w:left="720" w:hanging="720"/>
        <w:jc w:val="both"/>
        <w:rPr>
          <w:rtl/>
        </w:rPr>
      </w:pPr>
    </w:p>
    <w:p w14:paraId="32B99D98" w14:textId="77777777" w:rsidR="00F15736" w:rsidRDefault="00940ADE" w:rsidP="00F15736">
      <w:r>
        <w:rPr>
          <w:rFonts w:ascii="Arial" w:hAnsi="Arial"/>
          <w:rtl/>
        </w:rPr>
        <w:t xml:space="preserve">ניתן היום,  ט' ניסן תשע"ו, 17 אפריל 2016, במעמד הצדדים. </w:t>
      </w:r>
    </w:p>
    <w:p w14:paraId="15DF8CB0" w14:textId="77777777" w:rsidR="00F15736" w:rsidRDefault="00F15736" w:rsidP="00F1573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C2505D1" w14:textId="77777777" w:rsidR="00F15736" w:rsidRDefault="00F15736" w:rsidP="00F15736">
      <w:pPr>
        <w:jc w:val="center"/>
        <w:rPr>
          <w:rFonts w:ascii="Arial" w:hAnsi="Arial"/>
          <w:rtl/>
        </w:rPr>
      </w:pPr>
    </w:p>
    <w:p w14:paraId="735D0082" w14:textId="77777777" w:rsidR="00F15736" w:rsidRDefault="00F15736" w:rsidP="00F15736">
      <w:pPr>
        <w:rPr>
          <w:rtl/>
        </w:rPr>
      </w:pPr>
    </w:p>
    <w:p w14:paraId="51E97668" w14:textId="77777777" w:rsidR="00F15736" w:rsidRPr="00940ADE" w:rsidRDefault="00940ADE" w:rsidP="00F15736">
      <w:pPr>
        <w:pStyle w:val="a3"/>
        <w:jc w:val="center"/>
        <w:rPr>
          <w:color w:val="FFFFFF"/>
          <w:sz w:val="2"/>
          <w:szCs w:val="2"/>
          <w:rtl/>
        </w:rPr>
      </w:pPr>
      <w:r w:rsidRPr="00940ADE">
        <w:rPr>
          <w:color w:val="FFFFFF"/>
          <w:sz w:val="2"/>
          <w:szCs w:val="2"/>
          <w:rtl/>
        </w:rPr>
        <w:t>5129371</w:t>
      </w:r>
    </w:p>
    <w:p w14:paraId="0470654D" w14:textId="77777777" w:rsidR="00F15736" w:rsidRPr="00940ADE" w:rsidRDefault="00940ADE" w:rsidP="00F15736">
      <w:pPr>
        <w:rPr>
          <w:rFonts w:ascii="Arial" w:hAnsi="Arial"/>
          <w:color w:val="FFFFFF"/>
          <w:sz w:val="2"/>
          <w:szCs w:val="2"/>
          <w:rtl/>
        </w:rPr>
      </w:pPr>
      <w:r w:rsidRPr="00940ADE">
        <w:rPr>
          <w:rFonts w:ascii="Arial" w:hAnsi="Arial"/>
          <w:color w:val="FFFFFF"/>
          <w:sz w:val="2"/>
          <w:szCs w:val="2"/>
          <w:rtl/>
        </w:rPr>
        <w:t>54678313</w:t>
      </w:r>
    </w:p>
    <w:p w14:paraId="66EAF591" w14:textId="77777777" w:rsidR="00F15736" w:rsidRDefault="00F15736" w:rsidP="00F15736">
      <w:pPr>
        <w:rPr>
          <w:rFonts w:cs="FrankRuehl"/>
          <w:sz w:val="28"/>
          <w:szCs w:val="28"/>
          <w:rtl/>
        </w:rPr>
      </w:pPr>
    </w:p>
    <w:p w14:paraId="5EDB9729" w14:textId="77777777" w:rsidR="00F15736" w:rsidRDefault="00F15736" w:rsidP="00F15736">
      <w:pPr>
        <w:jc w:val="center"/>
        <w:rPr>
          <w:rFonts w:ascii="Arial" w:hAnsi="Arial" w:cs="FrankRuehl"/>
          <w:sz w:val="28"/>
          <w:szCs w:val="28"/>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t>חתימה</w:t>
      </w:r>
    </w:p>
    <w:p w14:paraId="2942F7C8" w14:textId="77777777" w:rsidR="00F15736" w:rsidRDefault="00F15736" w:rsidP="00F15736">
      <w:pPr>
        <w:rPr>
          <w:rFonts w:cs="FrankRuehl"/>
          <w:sz w:val="28"/>
          <w:szCs w:val="28"/>
          <w:rtl/>
        </w:rPr>
      </w:pPr>
    </w:p>
    <w:p w14:paraId="09287F1D" w14:textId="77777777" w:rsidR="00F15736" w:rsidRDefault="00F15736" w:rsidP="00F15736">
      <w:pPr>
        <w:pStyle w:val="a3"/>
        <w:jc w:val="center"/>
        <w:rPr>
          <w:rtl/>
        </w:rPr>
      </w:pPr>
    </w:p>
    <w:p w14:paraId="71A12BA3" w14:textId="77777777" w:rsidR="00940ADE" w:rsidRPr="00940ADE" w:rsidRDefault="00940ADE" w:rsidP="00940ADE">
      <w:pPr>
        <w:keepNext/>
        <w:rPr>
          <w:rFonts w:ascii="David" w:hAnsi="David"/>
          <w:color w:val="000000"/>
          <w:sz w:val="22"/>
          <w:szCs w:val="22"/>
          <w:rtl/>
        </w:rPr>
      </w:pPr>
    </w:p>
    <w:p w14:paraId="4F13FD95" w14:textId="77777777" w:rsidR="00940ADE" w:rsidRPr="00940ADE" w:rsidRDefault="00940ADE" w:rsidP="00940ADE">
      <w:pPr>
        <w:keepNext/>
        <w:rPr>
          <w:rFonts w:ascii="David" w:hAnsi="David"/>
          <w:color w:val="000000"/>
          <w:sz w:val="22"/>
          <w:szCs w:val="22"/>
          <w:rtl/>
        </w:rPr>
      </w:pPr>
      <w:r w:rsidRPr="00940ADE">
        <w:rPr>
          <w:rFonts w:ascii="David" w:hAnsi="David"/>
          <w:color w:val="000000"/>
          <w:sz w:val="22"/>
          <w:szCs w:val="22"/>
          <w:rtl/>
        </w:rPr>
        <w:t>עידו דרויאן 54678313</w:t>
      </w:r>
    </w:p>
    <w:p w14:paraId="4CF41039" w14:textId="77777777" w:rsidR="00940ADE" w:rsidRDefault="00940ADE" w:rsidP="00940ADE">
      <w:r w:rsidRPr="00940ADE">
        <w:rPr>
          <w:color w:val="000000"/>
          <w:rtl/>
        </w:rPr>
        <w:t>נוסח מסמך זה כפוף לשינויי ניסוח ועריכה</w:t>
      </w:r>
    </w:p>
    <w:p w14:paraId="4A1F4568" w14:textId="77777777" w:rsidR="00940ADE" w:rsidRDefault="00940ADE" w:rsidP="00940ADE">
      <w:pPr>
        <w:rPr>
          <w:rtl/>
        </w:rPr>
      </w:pPr>
    </w:p>
    <w:p w14:paraId="2CB6736F" w14:textId="77777777" w:rsidR="00940ADE" w:rsidRDefault="00940ADE" w:rsidP="00940ADE">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r w:rsidR="00CE32B2">
        <w:rPr>
          <w:rFonts w:hint="cs"/>
          <w:color w:val="0000FF"/>
          <w:u w:val="single"/>
          <w:rtl/>
        </w:rPr>
        <w:t xml:space="preserve"> </w:t>
      </w:r>
    </w:p>
    <w:p w14:paraId="6E773C31" w14:textId="77777777" w:rsidR="00B1215F" w:rsidRPr="00940ADE" w:rsidRDefault="00B1215F" w:rsidP="00940ADE">
      <w:pPr>
        <w:jc w:val="center"/>
        <w:rPr>
          <w:color w:val="0000FF"/>
          <w:u w:val="single"/>
        </w:rPr>
      </w:pPr>
    </w:p>
    <w:sectPr w:rsidR="00B1215F" w:rsidRPr="00940ADE" w:rsidSect="00940ADE">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67A71" w14:textId="77777777" w:rsidR="007F76EF" w:rsidRPr="00173317" w:rsidRDefault="007F76EF">
      <w:pPr>
        <w:rPr>
          <w:rFonts w:cs="Arial"/>
          <w:szCs w:val="20"/>
        </w:rPr>
      </w:pPr>
      <w:r>
        <w:separator/>
      </w:r>
    </w:p>
  </w:endnote>
  <w:endnote w:type="continuationSeparator" w:id="0">
    <w:p w14:paraId="67ADD138" w14:textId="77777777" w:rsidR="007F76EF" w:rsidRPr="00173317" w:rsidRDefault="007F76E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218E4" w14:textId="77777777" w:rsidR="00621100" w:rsidRDefault="00621100" w:rsidP="00940A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521C9A1" w14:textId="77777777" w:rsidR="00621100" w:rsidRPr="00940ADE" w:rsidRDefault="00621100" w:rsidP="00940ADE">
    <w:pPr>
      <w:pStyle w:val="a5"/>
      <w:pBdr>
        <w:top w:val="single" w:sz="4" w:space="1" w:color="auto"/>
        <w:between w:val="single" w:sz="4" w:space="0" w:color="auto"/>
      </w:pBdr>
      <w:spacing w:after="60"/>
      <w:jc w:val="center"/>
      <w:rPr>
        <w:rFonts w:ascii="FrankRuehl" w:hAnsi="FrankRuehl" w:cs="FrankRuehl"/>
        <w:color w:val="000000"/>
      </w:rPr>
    </w:pPr>
    <w:r w:rsidRPr="00940A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67D39" w14:textId="77777777" w:rsidR="00621100" w:rsidRDefault="00621100" w:rsidP="00940A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0C4E">
      <w:rPr>
        <w:rFonts w:ascii="FrankRuehl" w:hAnsi="FrankRuehl" w:cs="FrankRuehl"/>
        <w:noProof/>
        <w:rtl/>
      </w:rPr>
      <w:t>1</w:t>
    </w:r>
    <w:r>
      <w:rPr>
        <w:rFonts w:ascii="FrankRuehl" w:hAnsi="FrankRuehl" w:cs="FrankRuehl"/>
        <w:rtl/>
      </w:rPr>
      <w:fldChar w:fldCharType="end"/>
    </w:r>
  </w:p>
  <w:p w14:paraId="4ABEB605" w14:textId="77777777" w:rsidR="00621100" w:rsidRPr="00940ADE" w:rsidRDefault="00621100" w:rsidP="00940ADE">
    <w:pPr>
      <w:pStyle w:val="a5"/>
      <w:pBdr>
        <w:top w:val="single" w:sz="4" w:space="1" w:color="auto"/>
        <w:between w:val="single" w:sz="4" w:space="0" w:color="auto"/>
      </w:pBdr>
      <w:spacing w:after="60"/>
      <w:jc w:val="center"/>
      <w:rPr>
        <w:rFonts w:ascii="FrankRuehl" w:hAnsi="FrankRuehl" w:cs="FrankRuehl"/>
        <w:color w:val="000000"/>
      </w:rPr>
    </w:pPr>
    <w:r w:rsidRPr="00940ADE">
      <w:rPr>
        <w:rFonts w:ascii="FrankRuehl" w:hAnsi="FrankRuehl" w:cs="FrankRuehl"/>
        <w:color w:val="000000"/>
      </w:rPr>
      <w:pict w14:anchorId="4B463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FD317" w14:textId="77777777" w:rsidR="007F76EF" w:rsidRPr="00173317" w:rsidRDefault="007F76EF">
      <w:pPr>
        <w:rPr>
          <w:rFonts w:cs="Arial"/>
          <w:szCs w:val="20"/>
        </w:rPr>
      </w:pPr>
      <w:r>
        <w:separator/>
      </w:r>
    </w:p>
  </w:footnote>
  <w:footnote w:type="continuationSeparator" w:id="0">
    <w:p w14:paraId="3BD31682" w14:textId="77777777" w:rsidR="007F76EF" w:rsidRPr="00173317" w:rsidRDefault="007F76EF">
      <w:pPr>
        <w:rPr>
          <w:rFonts w:cs="Arial"/>
          <w:szCs w:val="20"/>
        </w:rPr>
      </w:pPr>
      <w:r>
        <w:continuationSeparator/>
      </w:r>
    </w:p>
  </w:footnote>
  <w:footnote w:id="1">
    <w:p w14:paraId="61054821" w14:textId="77777777" w:rsidR="00621100" w:rsidRDefault="00621100" w:rsidP="00F15736">
      <w:pPr>
        <w:pStyle w:val="a7"/>
        <w:rPr>
          <w:rtl/>
        </w:rPr>
      </w:pPr>
      <w:r>
        <w:rPr>
          <w:rStyle w:val="a9"/>
        </w:rPr>
        <w:footnoteRef/>
      </w:r>
      <w:r>
        <w:rPr>
          <w:rFonts w:hint="cs"/>
          <w:rtl/>
        </w:rPr>
        <w:t xml:space="preserve"> </w:t>
      </w:r>
      <w:r>
        <w:rPr>
          <w:rFonts w:hint="cs"/>
          <w:rtl/>
        </w:rPr>
        <w:tab/>
        <w:t xml:space="preserve">ובדומה, גם </w:t>
      </w:r>
      <w:hyperlink r:id="rId1" w:history="1">
        <w:r w:rsidRPr="00940ADE">
          <w:rPr>
            <w:color w:val="0000FF"/>
            <w:u w:val="single"/>
            <w:rtl/>
          </w:rPr>
          <w:t>ע"פ 4641/12</w:t>
        </w:r>
      </w:hyperlink>
      <w:r>
        <w:rPr>
          <w:rFonts w:hint="cs"/>
          <w:rtl/>
        </w:rPr>
        <w:t xml:space="preserve"> </w:t>
      </w:r>
      <w:r>
        <w:rPr>
          <w:rFonts w:hint="cs"/>
          <w:b/>
          <w:bCs/>
          <w:rtl/>
        </w:rPr>
        <w:t>פלוני נ' מ.י.</w:t>
      </w:r>
      <w:r>
        <w:rPr>
          <w:rFonts w:hint="cs"/>
          <w:rtl/>
        </w:rPr>
        <w:t xml:space="preserve"> (2013), מפי הש' ג'ובראן ובהסכמת הש' פוגלמן וסולברג;</w:t>
      </w:r>
    </w:p>
  </w:footnote>
  <w:footnote w:id="2">
    <w:p w14:paraId="22ACFEFE" w14:textId="77777777" w:rsidR="00621100" w:rsidRDefault="00621100" w:rsidP="00F15736">
      <w:pPr>
        <w:autoSpaceDE w:val="0"/>
        <w:autoSpaceDN w:val="0"/>
        <w:bidi w:val="0"/>
        <w:adjustRightInd w:val="0"/>
        <w:spacing w:before="100" w:after="100"/>
        <w:ind w:left="720" w:hanging="720"/>
        <w:jc w:val="both"/>
        <w:rPr>
          <w:rFonts w:cs="Times New Roman"/>
          <w:rtl/>
        </w:rPr>
      </w:pPr>
      <w:r>
        <w:rPr>
          <w:rStyle w:val="a9"/>
        </w:rPr>
        <w:footnoteRef/>
      </w:r>
      <w:r>
        <w:rPr>
          <w:rFonts w:hint="cs"/>
          <w:rtl/>
        </w:rPr>
        <w:t xml:space="preserve"> </w:t>
      </w:r>
      <w:r>
        <w:tab/>
      </w:r>
      <w:r>
        <w:rPr>
          <w:rFonts w:cs="Times New Roman"/>
        </w:rPr>
        <w:t xml:space="preserve">W. Shakespeare, </w:t>
      </w:r>
      <w:r>
        <w:rPr>
          <w:rFonts w:cs="Times New Roman"/>
          <w:b/>
          <w:bCs/>
        </w:rPr>
        <w:t>Romeo and Juliet</w:t>
      </w:r>
      <w:r>
        <w:rPr>
          <w:rFonts w:cs="Times New Roman"/>
        </w:rPr>
        <w:t>, act II scene I: "What's in a name? that which we call a rose, by any other name would smell as sweet";</w:t>
      </w:r>
    </w:p>
    <w:p w14:paraId="61BF2A6B" w14:textId="77777777" w:rsidR="00621100" w:rsidRDefault="00621100" w:rsidP="00F15736">
      <w:pPr>
        <w:pStyle w:val="a7"/>
        <w:bidi w:val="0"/>
      </w:pPr>
    </w:p>
  </w:footnote>
  <w:footnote w:id="3">
    <w:p w14:paraId="7DCB2408" w14:textId="77777777" w:rsidR="00621100" w:rsidRDefault="00621100" w:rsidP="00F15736">
      <w:pPr>
        <w:pStyle w:val="a7"/>
      </w:pPr>
      <w:r>
        <w:rPr>
          <w:rStyle w:val="a9"/>
        </w:rPr>
        <w:footnoteRef/>
      </w:r>
      <w:r>
        <w:rPr>
          <w:rFonts w:hint="cs"/>
          <w:rtl/>
        </w:rPr>
        <w:t xml:space="preserve"> </w:t>
      </w:r>
      <w:r>
        <w:rPr>
          <w:rFonts w:hint="cs"/>
          <w:rtl/>
        </w:rPr>
        <w:tab/>
        <w:t>ואולי גם ההיפך, וראו תסקיר מיום 14.2.16, ע' 3 פסקה ראשונה;</w:t>
      </w:r>
    </w:p>
  </w:footnote>
  <w:footnote w:id="4">
    <w:p w14:paraId="75324CF3" w14:textId="77777777" w:rsidR="00621100" w:rsidRDefault="00621100" w:rsidP="00F15736">
      <w:pPr>
        <w:pStyle w:val="a7"/>
        <w:rPr>
          <w:rtl/>
        </w:rPr>
      </w:pPr>
      <w:r>
        <w:rPr>
          <w:rStyle w:val="a9"/>
        </w:rPr>
        <w:footnoteRef/>
      </w:r>
      <w:r>
        <w:rPr>
          <w:rFonts w:hint="cs"/>
          <w:rtl/>
        </w:rPr>
        <w:t xml:space="preserve"> </w:t>
      </w:r>
      <w:r>
        <w:rPr>
          <w:rFonts w:hint="cs"/>
          <w:rtl/>
        </w:rPr>
        <w:tab/>
        <w:t>וראו פרוטוקול 16.9.14;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58626" w14:textId="77777777" w:rsidR="00621100" w:rsidRPr="00940ADE" w:rsidRDefault="00621100" w:rsidP="00940A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14846-02-14</w:t>
    </w:r>
    <w:r>
      <w:rPr>
        <w:rFonts w:ascii="David" w:hAnsi="David"/>
        <w:color w:val="000000"/>
        <w:sz w:val="22"/>
        <w:szCs w:val="22"/>
        <w:rtl/>
      </w:rPr>
      <w:tab/>
      <w:t xml:space="preserve"> מדינת ישראל נ' מישאל צפיה פרטוש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01D61" w14:textId="77777777" w:rsidR="00621100" w:rsidRPr="00940ADE" w:rsidRDefault="00621100" w:rsidP="00940A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14846-02-14</w:t>
    </w:r>
    <w:r>
      <w:rPr>
        <w:rFonts w:ascii="David" w:hAnsi="David"/>
        <w:color w:val="000000"/>
        <w:sz w:val="22"/>
        <w:szCs w:val="22"/>
        <w:rtl/>
      </w:rPr>
      <w:tab/>
      <w:t xml:space="preserve"> מדינת ישראל נ' מישאל צפיה פרטוש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F591E"/>
    <w:multiLevelType w:val="hybridMultilevel"/>
    <w:tmpl w:val="26E8DD52"/>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B8F0212"/>
    <w:multiLevelType w:val="hybridMultilevel"/>
    <w:tmpl w:val="592454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B566195"/>
    <w:multiLevelType w:val="hybridMultilevel"/>
    <w:tmpl w:val="022CAA06"/>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26545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7663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17819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5736"/>
    <w:rsid w:val="00021F81"/>
    <w:rsid w:val="00110C4E"/>
    <w:rsid w:val="00174FB2"/>
    <w:rsid w:val="00621100"/>
    <w:rsid w:val="006E35DE"/>
    <w:rsid w:val="007D76E6"/>
    <w:rsid w:val="007F76EF"/>
    <w:rsid w:val="007F79F0"/>
    <w:rsid w:val="00877373"/>
    <w:rsid w:val="00940ADE"/>
    <w:rsid w:val="00967216"/>
    <w:rsid w:val="00B1215F"/>
    <w:rsid w:val="00CB2C1E"/>
    <w:rsid w:val="00CE32B2"/>
    <w:rsid w:val="00F157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5438B9"/>
  <w15:chartTrackingRefBased/>
  <w15:docId w15:val="{25718FFE-8C79-4892-B5FE-9AA037F9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573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F15736"/>
    <w:pPr>
      <w:tabs>
        <w:tab w:val="center" w:pos="4153"/>
        <w:tab w:val="right" w:pos="8306"/>
      </w:tabs>
    </w:pPr>
  </w:style>
  <w:style w:type="paragraph" w:styleId="a5">
    <w:name w:val="footer"/>
    <w:basedOn w:val="a"/>
    <w:rsid w:val="00F15736"/>
    <w:pPr>
      <w:tabs>
        <w:tab w:val="center" w:pos="4153"/>
        <w:tab w:val="right" w:pos="8306"/>
      </w:tabs>
    </w:pPr>
  </w:style>
  <w:style w:type="character" w:styleId="a6">
    <w:name w:val="page number"/>
    <w:basedOn w:val="a0"/>
    <w:rsid w:val="00F15736"/>
  </w:style>
  <w:style w:type="paragraph" w:styleId="a7">
    <w:name w:val="footnote text"/>
    <w:basedOn w:val="a"/>
    <w:link w:val="a8"/>
    <w:rsid w:val="00F15736"/>
    <w:rPr>
      <w:sz w:val="20"/>
      <w:szCs w:val="20"/>
    </w:rPr>
  </w:style>
  <w:style w:type="character" w:customStyle="1" w:styleId="a8">
    <w:name w:val="טקסט הערת שוליים תו"/>
    <w:link w:val="a7"/>
    <w:rsid w:val="00F15736"/>
    <w:rPr>
      <w:rFonts w:cs="David"/>
      <w:lang w:val="en-US" w:eastAsia="en-US" w:bidi="he-IL"/>
    </w:rPr>
  </w:style>
  <w:style w:type="character" w:customStyle="1" w:styleId="a4">
    <w:name w:val="כותרת עליונה תו"/>
    <w:link w:val="a3"/>
    <w:rsid w:val="00F15736"/>
    <w:rPr>
      <w:rFonts w:cs="David"/>
      <w:sz w:val="24"/>
      <w:szCs w:val="24"/>
      <w:lang w:val="en-US" w:eastAsia="en-US" w:bidi="he-IL"/>
    </w:rPr>
  </w:style>
  <w:style w:type="paragraph" w:customStyle="1" w:styleId="ListParagraph">
    <w:name w:val="List Paragraph"/>
    <w:basedOn w:val="a"/>
    <w:rsid w:val="00F15736"/>
    <w:pPr>
      <w:ind w:left="720"/>
      <w:contextualSpacing/>
    </w:pPr>
  </w:style>
  <w:style w:type="character" w:styleId="a9">
    <w:name w:val="footnote reference"/>
    <w:rsid w:val="00F15736"/>
    <w:rPr>
      <w:vertAlign w:val="superscript"/>
    </w:rPr>
  </w:style>
  <w:style w:type="character" w:styleId="Hyperlink">
    <w:name w:val="Hyperlink"/>
    <w:rsid w:val="00F15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6"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0665982" TargetMode="External"/><Relationship Id="rId39" Type="http://schemas.openxmlformats.org/officeDocument/2006/relationships/hyperlink" Target="http://www.nevo.co.il/case/5605484" TargetMode="External"/><Relationship Id="rId21" Type="http://schemas.openxmlformats.org/officeDocument/2006/relationships/hyperlink" Target="http://www.nevo.co.il/case/13106523"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5411596" TargetMode="External"/><Relationship Id="rId47" Type="http://schemas.openxmlformats.org/officeDocument/2006/relationships/hyperlink" Target="http://www.nevo.co.il/case/19994719" TargetMode="External"/><Relationship Id="rId50" Type="http://schemas.openxmlformats.org/officeDocument/2006/relationships/hyperlink" Target="http://www.nevo.co.il/case/18698651" TargetMode="External"/><Relationship Id="rId55" Type="http://schemas.openxmlformats.org/officeDocument/2006/relationships/hyperlink" Target="http://www.nevo.co.il/case/4040143"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6.b" TargetMode="External"/><Relationship Id="rId29" Type="http://schemas.openxmlformats.org/officeDocument/2006/relationships/hyperlink" Target="http://www.nevo.co.il/case/2015796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406.b" TargetMode="External"/><Relationship Id="rId32" Type="http://schemas.openxmlformats.org/officeDocument/2006/relationships/hyperlink" Target="http://www.nevo.co.il/case/6862360" TargetMode="External"/><Relationship Id="rId37" Type="http://schemas.openxmlformats.org/officeDocument/2006/relationships/hyperlink" Target="http://www.nevo.co.il/case/11309013" TargetMode="External"/><Relationship Id="rId40" Type="http://schemas.openxmlformats.org/officeDocument/2006/relationships/hyperlink" Target="http://www.nevo.co.il/case/5709285" TargetMode="External"/><Relationship Id="rId45" Type="http://schemas.openxmlformats.org/officeDocument/2006/relationships/hyperlink" Target="http://www.nevo.co.il/case/6603275" TargetMode="External"/><Relationship Id="rId53" Type="http://schemas.openxmlformats.org/officeDocument/2006/relationships/hyperlink" Target="http://www.nevo.co.il/case/17948122"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4216/19a" TargetMode="External"/><Relationship Id="rId14" Type="http://schemas.openxmlformats.org/officeDocument/2006/relationships/hyperlink" Target="http://www.nevo.co.il/law/70301/40i.a.7"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287.a" TargetMode="External"/><Relationship Id="rId30" Type="http://schemas.openxmlformats.org/officeDocument/2006/relationships/hyperlink" Target="http://www.nevo.co.il/case/11206432" TargetMode="External"/><Relationship Id="rId35" Type="http://schemas.openxmlformats.org/officeDocument/2006/relationships/hyperlink" Target="http://www.nevo.co.il/law/70301/40i.a.6" TargetMode="External"/><Relationship Id="rId43" Type="http://schemas.openxmlformats.org/officeDocument/2006/relationships/hyperlink" Target="http://www.nevo.co.il/case/11252981" TargetMode="External"/><Relationship Id="rId48" Type="http://schemas.openxmlformats.org/officeDocument/2006/relationships/hyperlink" Target="http://www.nevo.co.il/case/5701236" TargetMode="External"/><Relationship Id="rId56" Type="http://schemas.openxmlformats.org/officeDocument/2006/relationships/hyperlink" Target="http://www.nevo.co.il/case/4040143" TargetMode="External"/><Relationship Id="rId8" Type="http://schemas.openxmlformats.org/officeDocument/2006/relationships/hyperlink" Target="http://www.nevo.co.il/law/4216/7.a"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a.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ja.1" TargetMode="External"/><Relationship Id="rId38" Type="http://schemas.openxmlformats.org/officeDocument/2006/relationships/hyperlink" Target="http://www.nevo.co.il/case/6361099" TargetMode="External"/><Relationship Id="rId46" Type="http://schemas.openxmlformats.org/officeDocument/2006/relationships/hyperlink" Target="http://www.nevo.co.il/case/17093198" TargetMode="External"/><Relationship Id="rId59" Type="http://schemas.openxmlformats.org/officeDocument/2006/relationships/header" Target="header2.xml"/><Relationship Id="rId20" Type="http://schemas.openxmlformats.org/officeDocument/2006/relationships/hyperlink" Target="http://www.nevo.co.il/law/4216" TargetMode="External"/><Relationship Id="rId41" Type="http://schemas.openxmlformats.org/officeDocument/2006/relationships/hyperlink" Target="http://www.nevo.co.il/case/17036260" TargetMode="External"/><Relationship Id="rId54" Type="http://schemas.openxmlformats.org/officeDocument/2006/relationships/hyperlink" Target="http://www.nevo.co.il/case/4040143"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87.a"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i.a.7" TargetMode="External"/><Relationship Id="rId49" Type="http://schemas.openxmlformats.org/officeDocument/2006/relationships/hyperlink" Target="http://www.nevo.co.il/case/5594726"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10459124" TargetMode="External"/><Relationship Id="rId44" Type="http://schemas.openxmlformats.org/officeDocument/2006/relationships/hyperlink" Target="http://www.nevo.co.il/case/6989316" TargetMode="External"/><Relationship Id="rId52" Type="http://schemas.openxmlformats.org/officeDocument/2006/relationships/hyperlink" Target="http://www.nevo.co.il/case/4040143"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case/624578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2985</Words>
  <Characters>14930</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17880</CharactersWithSpaces>
  <SharedDoc>false</SharedDoc>
  <HLinks>
    <vt:vector size="318" baseType="variant">
      <vt:variant>
        <vt:i4>393283</vt:i4>
      </vt:variant>
      <vt:variant>
        <vt:i4>153</vt:i4>
      </vt:variant>
      <vt:variant>
        <vt:i4>0</vt:i4>
      </vt:variant>
      <vt:variant>
        <vt:i4>5</vt:i4>
      </vt:variant>
      <vt:variant>
        <vt:lpwstr>http://www.nevo.co.il/advertisements/nevo-100.doc</vt:lpwstr>
      </vt:variant>
      <vt:variant>
        <vt:lpwstr/>
      </vt:variant>
      <vt:variant>
        <vt:i4>3276912</vt:i4>
      </vt:variant>
      <vt:variant>
        <vt:i4>150</vt:i4>
      </vt:variant>
      <vt:variant>
        <vt:i4>0</vt:i4>
      </vt:variant>
      <vt:variant>
        <vt:i4>5</vt:i4>
      </vt:variant>
      <vt:variant>
        <vt:lpwstr>http://www.nevo.co.il/case/4040143</vt:lpwstr>
      </vt:variant>
      <vt:variant>
        <vt:lpwstr/>
      </vt:variant>
      <vt:variant>
        <vt:i4>3276912</vt:i4>
      </vt:variant>
      <vt:variant>
        <vt:i4>147</vt:i4>
      </vt:variant>
      <vt:variant>
        <vt:i4>0</vt:i4>
      </vt:variant>
      <vt:variant>
        <vt:i4>5</vt:i4>
      </vt:variant>
      <vt:variant>
        <vt:lpwstr>http://www.nevo.co.il/case/4040143</vt:lpwstr>
      </vt:variant>
      <vt:variant>
        <vt:lpwstr/>
      </vt:variant>
      <vt:variant>
        <vt:i4>3276912</vt:i4>
      </vt:variant>
      <vt:variant>
        <vt:i4>144</vt:i4>
      </vt:variant>
      <vt:variant>
        <vt:i4>0</vt:i4>
      </vt:variant>
      <vt:variant>
        <vt:i4>5</vt:i4>
      </vt:variant>
      <vt:variant>
        <vt:lpwstr>http://www.nevo.co.il/case/4040143</vt:lpwstr>
      </vt:variant>
      <vt:variant>
        <vt:lpwstr/>
      </vt:variant>
      <vt:variant>
        <vt:i4>3276918</vt:i4>
      </vt:variant>
      <vt:variant>
        <vt:i4>141</vt:i4>
      </vt:variant>
      <vt:variant>
        <vt:i4>0</vt:i4>
      </vt:variant>
      <vt:variant>
        <vt:i4>5</vt:i4>
      </vt:variant>
      <vt:variant>
        <vt:lpwstr>http://www.nevo.co.il/case/17948122</vt:lpwstr>
      </vt:variant>
      <vt:variant>
        <vt:lpwstr/>
      </vt:variant>
      <vt:variant>
        <vt:i4>3276912</vt:i4>
      </vt:variant>
      <vt:variant>
        <vt:i4>138</vt:i4>
      </vt:variant>
      <vt:variant>
        <vt:i4>0</vt:i4>
      </vt:variant>
      <vt:variant>
        <vt:i4>5</vt:i4>
      </vt:variant>
      <vt:variant>
        <vt:lpwstr>http://www.nevo.co.il/case/4040143</vt:lpwstr>
      </vt:variant>
      <vt:variant>
        <vt:lpwstr/>
      </vt:variant>
      <vt:variant>
        <vt:i4>8257637</vt:i4>
      </vt:variant>
      <vt:variant>
        <vt:i4>135</vt:i4>
      </vt:variant>
      <vt:variant>
        <vt:i4>0</vt:i4>
      </vt:variant>
      <vt:variant>
        <vt:i4>5</vt:i4>
      </vt:variant>
      <vt:variant>
        <vt:lpwstr>http://www.nevo.co.il/law/4216</vt:lpwstr>
      </vt:variant>
      <vt:variant>
        <vt:lpwstr/>
      </vt:variant>
      <vt:variant>
        <vt:i4>3801203</vt:i4>
      </vt:variant>
      <vt:variant>
        <vt:i4>132</vt:i4>
      </vt:variant>
      <vt:variant>
        <vt:i4>0</vt:i4>
      </vt:variant>
      <vt:variant>
        <vt:i4>5</vt:i4>
      </vt:variant>
      <vt:variant>
        <vt:lpwstr>http://www.nevo.co.il/case/18698651</vt:lpwstr>
      </vt:variant>
      <vt:variant>
        <vt:lpwstr/>
      </vt:variant>
      <vt:variant>
        <vt:i4>3997815</vt:i4>
      </vt:variant>
      <vt:variant>
        <vt:i4>129</vt:i4>
      </vt:variant>
      <vt:variant>
        <vt:i4>0</vt:i4>
      </vt:variant>
      <vt:variant>
        <vt:i4>5</vt:i4>
      </vt:variant>
      <vt:variant>
        <vt:lpwstr>http://www.nevo.co.il/case/5594726</vt:lpwstr>
      </vt:variant>
      <vt:variant>
        <vt:lpwstr/>
      </vt:variant>
      <vt:variant>
        <vt:i4>3211377</vt:i4>
      </vt:variant>
      <vt:variant>
        <vt:i4>126</vt:i4>
      </vt:variant>
      <vt:variant>
        <vt:i4>0</vt:i4>
      </vt:variant>
      <vt:variant>
        <vt:i4>5</vt:i4>
      </vt:variant>
      <vt:variant>
        <vt:lpwstr>http://www.nevo.co.il/case/5701236</vt:lpwstr>
      </vt:variant>
      <vt:variant>
        <vt:lpwstr/>
      </vt:variant>
      <vt:variant>
        <vt:i4>3997811</vt:i4>
      </vt:variant>
      <vt:variant>
        <vt:i4>123</vt:i4>
      </vt:variant>
      <vt:variant>
        <vt:i4>0</vt:i4>
      </vt:variant>
      <vt:variant>
        <vt:i4>5</vt:i4>
      </vt:variant>
      <vt:variant>
        <vt:lpwstr>http://www.nevo.co.il/case/19994719</vt:lpwstr>
      </vt:variant>
      <vt:variant>
        <vt:lpwstr/>
      </vt:variant>
      <vt:variant>
        <vt:i4>3866747</vt:i4>
      </vt:variant>
      <vt:variant>
        <vt:i4>120</vt:i4>
      </vt:variant>
      <vt:variant>
        <vt:i4>0</vt:i4>
      </vt:variant>
      <vt:variant>
        <vt:i4>5</vt:i4>
      </vt:variant>
      <vt:variant>
        <vt:lpwstr>http://www.nevo.co.il/case/17093198</vt:lpwstr>
      </vt:variant>
      <vt:variant>
        <vt:lpwstr/>
      </vt:variant>
      <vt:variant>
        <vt:i4>3211382</vt:i4>
      </vt:variant>
      <vt:variant>
        <vt:i4>117</vt:i4>
      </vt:variant>
      <vt:variant>
        <vt:i4>0</vt:i4>
      </vt:variant>
      <vt:variant>
        <vt:i4>5</vt:i4>
      </vt:variant>
      <vt:variant>
        <vt:lpwstr>http://www.nevo.co.il/case/6603275</vt:lpwstr>
      </vt:variant>
      <vt:variant>
        <vt:lpwstr/>
      </vt:variant>
      <vt:variant>
        <vt:i4>3866741</vt:i4>
      </vt:variant>
      <vt:variant>
        <vt:i4>114</vt:i4>
      </vt:variant>
      <vt:variant>
        <vt:i4>0</vt:i4>
      </vt:variant>
      <vt:variant>
        <vt:i4>5</vt:i4>
      </vt:variant>
      <vt:variant>
        <vt:lpwstr>http://www.nevo.co.il/case/6989316</vt:lpwstr>
      </vt:variant>
      <vt:variant>
        <vt:lpwstr/>
      </vt:variant>
      <vt:variant>
        <vt:i4>3735673</vt:i4>
      </vt:variant>
      <vt:variant>
        <vt:i4>111</vt:i4>
      </vt:variant>
      <vt:variant>
        <vt:i4>0</vt:i4>
      </vt:variant>
      <vt:variant>
        <vt:i4>5</vt:i4>
      </vt:variant>
      <vt:variant>
        <vt:lpwstr>http://www.nevo.co.il/case/11252981</vt:lpwstr>
      </vt:variant>
      <vt:variant>
        <vt:lpwstr/>
      </vt:variant>
      <vt:variant>
        <vt:i4>3604600</vt:i4>
      </vt:variant>
      <vt:variant>
        <vt:i4>108</vt:i4>
      </vt:variant>
      <vt:variant>
        <vt:i4>0</vt:i4>
      </vt:variant>
      <vt:variant>
        <vt:i4>5</vt:i4>
      </vt:variant>
      <vt:variant>
        <vt:lpwstr>http://www.nevo.co.il/case/5411596</vt:lpwstr>
      </vt:variant>
      <vt:variant>
        <vt:lpwstr/>
      </vt:variant>
      <vt:variant>
        <vt:i4>3211378</vt:i4>
      </vt:variant>
      <vt:variant>
        <vt:i4>105</vt:i4>
      </vt:variant>
      <vt:variant>
        <vt:i4>0</vt:i4>
      </vt:variant>
      <vt:variant>
        <vt:i4>5</vt:i4>
      </vt:variant>
      <vt:variant>
        <vt:lpwstr>http://www.nevo.co.il/case/17036260</vt:lpwstr>
      </vt:variant>
      <vt:variant>
        <vt:lpwstr/>
      </vt:variant>
      <vt:variant>
        <vt:i4>3276914</vt:i4>
      </vt:variant>
      <vt:variant>
        <vt:i4>102</vt:i4>
      </vt:variant>
      <vt:variant>
        <vt:i4>0</vt:i4>
      </vt:variant>
      <vt:variant>
        <vt:i4>5</vt:i4>
      </vt:variant>
      <vt:variant>
        <vt:lpwstr>http://www.nevo.co.il/case/5709285</vt:lpwstr>
      </vt:variant>
      <vt:variant>
        <vt:lpwstr/>
      </vt:variant>
      <vt:variant>
        <vt:i4>3473535</vt:i4>
      </vt:variant>
      <vt:variant>
        <vt:i4>99</vt:i4>
      </vt:variant>
      <vt:variant>
        <vt:i4>0</vt:i4>
      </vt:variant>
      <vt:variant>
        <vt:i4>5</vt:i4>
      </vt:variant>
      <vt:variant>
        <vt:lpwstr>http://www.nevo.co.il/case/5605484</vt:lpwstr>
      </vt:variant>
      <vt:variant>
        <vt:lpwstr/>
      </vt:variant>
      <vt:variant>
        <vt:i4>3735679</vt:i4>
      </vt:variant>
      <vt:variant>
        <vt:i4>96</vt:i4>
      </vt:variant>
      <vt:variant>
        <vt:i4>0</vt:i4>
      </vt:variant>
      <vt:variant>
        <vt:i4>5</vt:i4>
      </vt:variant>
      <vt:variant>
        <vt:lpwstr>http://www.nevo.co.il/case/6361099</vt:lpwstr>
      </vt:variant>
      <vt:variant>
        <vt:lpwstr/>
      </vt:variant>
      <vt:variant>
        <vt:i4>3801205</vt:i4>
      </vt:variant>
      <vt:variant>
        <vt:i4>93</vt:i4>
      </vt:variant>
      <vt:variant>
        <vt:i4>0</vt:i4>
      </vt:variant>
      <vt:variant>
        <vt:i4>5</vt:i4>
      </vt:variant>
      <vt:variant>
        <vt:lpwstr>http://www.nevo.co.il/case/11309013</vt:lpwstr>
      </vt:variant>
      <vt:variant>
        <vt:lpwstr/>
      </vt:variant>
      <vt:variant>
        <vt:i4>6619241</vt:i4>
      </vt:variant>
      <vt:variant>
        <vt:i4>90</vt:i4>
      </vt:variant>
      <vt:variant>
        <vt:i4>0</vt:i4>
      </vt:variant>
      <vt:variant>
        <vt:i4>5</vt:i4>
      </vt:variant>
      <vt:variant>
        <vt:lpwstr>http://www.nevo.co.il/law/70301/40i.a.7</vt:lpwstr>
      </vt:variant>
      <vt:variant>
        <vt:lpwstr/>
      </vt:variant>
      <vt:variant>
        <vt:i4>6619241</vt:i4>
      </vt:variant>
      <vt:variant>
        <vt:i4>87</vt:i4>
      </vt:variant>
      <vt:variant>
        <vt:i4>0</vt:i4>
      </vt:variant>
      <vt:variant>
        <vt:i4>5</vt:i4>
      </vt:variant>
      <vt:variant>
        <vt:lpwstr>http://www.nevo.co.il/law/70301/40i.a.6</vt:lpwstr>
      </vt:variant>
      <vt:variant>
        <vt:lpwstr/>
      </vt:variant>
      <vt:variant>
        <vt:i4>7995492</vt:i4>
      </vt:variant>
      <vt:variant>
        <vt:i4>84</vt:i4>
      </vt:variant>
      <vt:variant>
        <vt:i4>0</vt:i4>
      </vt:variant>
      <vt:variant>
        <vt:i4>5</vt:i4>
      </vt:variant>
      <vt:variant>
        <vt:lpwstr>http://www.nevo.co.il/law/70301</vt:lpwstr>
      </vt:variant>
      <vt:variant>
        <vt:lpwstr/>
      </vt:variant>
      <vt:variant>
        <vt:i4>3473445</vt:i4>
      </vt:variant>
      <vt:variant>
        <vt:i4>81</vt:i4>
      </vt:variant>
      <vt:variant>
        <vt:i4>0</vt:i4>
      </vt:variant>
      <vt:variant>
        <vt:i4>5</vt:i4>
      </vt:variant>
      <vt:variant>
        <vt:lpwstr>http://www.nevo.co.il/law/70301/40ja.1</vt:lpwstr>
      </vt:variant>
      <vt:variant>
        <vt:lpwstr/>
      </vt:variant>
      <vt:variant>
        <vt:i4>3866748</vt:i4>
      </vt:variant>
      <vt:variant>
        <vt:i4>78</vt:i4>
      </vt:variant>
      <vt:variant>
        <vt:i4>0</vt:i4>
      </vt:variant>
      <vt:variant>
        <vt:i4>5</vt:i4>
      </vt:variant>
      <vt:variant>
        <vt:lpwstr>http://www.nevo.co.il/case/6248029</vt:lpwstr>
      </vt:variant>
      <vt:variant>
        <vt:lpwstr/>
      </vt:variant>
      <vt:variant>
        <vt:i4>3342456</vt:i4>
      </vt:variant>
      <vt:variant>
        <vt:i4>75</vt:i4>
      </vt:variant>
      <vt:variant>
        <vt:i4>0</vt:i4>
      </vt:variant>
      <vt:variant>
        <vt:i4>5</vt:i4>
      </vt:variant>
      <vt:variant>
        <vt:lpwstr>http://www.nevo.co.il/case/6862360</vt:lpwstr>
      </vt:variant>
      <vt:variant>
        <vt:lpwstr/>
      </vt:variant>
      <vt:variant>
        <vt:i4>4063344</vt:i4>
      </vt:variant>
      <vt:variant>
        <vt:i4>72</vt:i4>
      </vt:variant>
      <vt:variant>
        <vt:i4>0</vt:i4>
      </vt:variant>
      <vt:variant>
        <vt:i4>5</vt:i4>
      </vt:variant>
      <vt:variant>
        <vt:lpwstr>http://www.nevo.co.il/case/10459124</vt:lpwstr>
      </vt:variant>
      <vt:variant>
        <vt:lpwstr/>
      </vt:variant>
      <vt:variant>
        <vt:i4>3539057</vt:i4>
      </vt:variant>
      <vt:variant>
        <vt:i4>69</vt:i4>
      </vt:variant>
      <vt:variant>
        <vt:i4>0</vt:i4>
      </vt:variant>
      <vt:variant>
        <vt:i4>5</vt:i4>
      </vt:variant>
      <vt:variant>
        <vt:lpwstr>http://www.nevo.co.il/case/11206432</vt:lpwstr>
      </vt:variant>
      <vt:variant>
        <vt:lpwstr/>
      </vt:variant>
      <vt:variant>
        <vt:i4>3276920</vt:i4>
      </vt:variant>
      <vt:variant>
        <vt:i4>66</vt:i4>
      </vt:variant>
      <vt:variant>
        <vt:i4>0</vt:i4>
      </vt:variant>
      <vt:variant>
        <vt:i4>5</vt:i4>
      </vt:variant>
      <vt:variant>
        <vt:lpwstr>http://www.nevo.co.il/case/20157961</vt:lpwstr>
      </vt:variant>
      <vt:variant>
        <vt:lpwstr/>
      </vt:variant>
      <vt:variant>
        <vt:i4>7995492</vt:i4>
      </vt:variant>
      <vt:variant>
        <vt:i4>63</vt:i4>
      </vt:variant>
      <vt:variant>
        <vt:i4>0</vt:i4>
      </vt:variant>
      <vt:variant>
        <vt:i4>5</vt:i4>
      </vt:variant>
      <vt:variant>
        <vt:lpwstr>http://www.nevo.co.il/law/70301</vt:lpwstr>
      </vt:variant>
      <vt:variant>
        <vt:lpwstr/>
      </vt:variant>
      <vt:variant>
        <vt:i4>4390992</vt:i4>
      </vt:variant>
      <vt:variant>
        <vt:i4>60</vt:i4>
      </vt:variant>
      <vt:variant>
        <vt:i4>0</vt:i4>
      </vt:variant>
      <vt:variant>
        <vt:i4>5</vt:i4>
      </vt:variant>
      <vt:variant>
        <vt:lpwstr>http://www.nevo.co.il/law/70301/287.a</vt:lpwstr>
      </vt:variant>
      <vt:variant>
        <vt:lpwstr/>
      </vt:variant>
      <vt:variant>
        <vt:i4>3735675</vt:i4>
      </vt:variant>
      <vt:variant>
        <vt:i4>57</vt:i4>
      </vt:variant>
      <vt:variant>
        <vt:i4>0</vt:i4>
      </vt:variant>
      <vt:variant>
        <vt:i4>5</vt:i4>
      </vt:variant>
      <vt:variant>
        <vt:lpwstr>http://www.nevo.co.il/case/20665982</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4915287</vt:i4>
      </vt:variant>
      <vt:variant>
        <vt:i4>51</vt:i4>
      </vt:variant>
      <vt:variant>
        <vt:i4>0</vt:i4>
      </vt:variant>
      <vt:variant>
        <vt:i4>5</vt:i4>
      </vt:variant>
      <vt:variant>
        <vt:lpwstr>http://www.nevo.co.il/law/70301/406.b</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3407986</vt:i4>
      </vt:variant>
      <vt:variant>
        <vt:i4>42</vt:i4>
      </vt:variant>
      <vt:variant>
        <vt:i4>0</vt:i4>
      </vt:variant>
      <vt:variant>
        <vt:i4>5</vt:i4>
      </vt:variant>
      <vt:variant>
        <vt:lpwstr>http://www.nevo.co.il/case/13106523</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3473445</vt:i4>
      </vt:variant>
      <vt:variant>
        <vt:i4>30</vt:i4>
      </vt:variant>
      <vt:variant>
        <vt:i4>0</vt:i4>
      </vt:variant>
      <vt:variant>
        <vt:i4>5</vt:i4>
      </vt:variant>
      <vt:variant>
        <vt:lpwstr>http://www.nevo.co.il/law/70301/40ja.1</vt:lpwstr>
      </vt:variant>
      <vt:variant>
        <vt:lpwstr/>
      </vt:variant>
      <vt:variant>
        <vt:i4>4915287</vt:i4>
      </vt:variant>
      <vt:variant>
        <vt:i4>27</vt:i4>
      </vt:variant>
      <vt:variant>
        <vt:i4>0</vt:i4>
      </vt:variant>
      <vt:variant>
        <vt:i4>5</vt:i4>
      </vt:variant>
      <vt:variant>
        <vt:lpwstr>http://www.nevo.co.il/law/70301/406.b</vt:lpwstr>
      </vt:variant>
      <vt:variant>
        <vt:lpwstr/>
      </vt:variant>
      <vt:variant>
        <vt:i4>4390992</vt:i4>
      </vt:variant>
      <vt:variant>
        <vt:i4>24</vt:i4>
      </vt:variant>
      <vt:variant>
        <vt:i4>0</vt:i4>
      </vt:variant>
      <vt:variant>
        <vt:i4>5</vt:i4>
      </vt:variant>
      <vt:variant>
        <vt:lpwstr>http://www.nevo.co.il/law/70301/287.a</vt:lpwstr>
      </vt:variant>
      <vt:variant>
        <vt:lpwstr/>
      </vt:variant>
      <vt:variant>
        <vt:i4>6619241</vt:i4>
      </vt:variant>
      <vt:variant>
        <vt:i4>21</vt:i4>
      </vt:variant>
      <vt:variant>
        <vt:i4>0</vt:i4>
      </vt:variant>
      <vt:variant>
        <vt:i4>5</vt:i4>
      </vt:variant>
      <vt:variant>
        <vt:lpwstr>http://www.nevo.co.il/law/70301/40i.a.7</vt:lpwstr>
      </vt:variant>
      <vt:variant>
        <vt:lpwstr/>
      </vt:variant>
      <vt:variant>
        <vt:i4>6619241</vt:i4>
      </vt:variant>
      <vt:variant>
        <vt:i4>18</vt:i4>
      </vt:variant>
      <vt:variant>
        <vt:i4>0</vt:i4>
      </vt:variant>
      <vt:variant>
        <vt:i4>5</vt:i4>
      </vt:variant>
      <vt:variant>
        <vt:lpwstr>http://www.nevo.co.il/law/70301/40i.a.6</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ariant>
        <vt:i4>3604603</vt:i4>
      </vt:variant>
      <vt:variant>
        <vt:i4>0</vt:i4>
      </vt:variant>
      <vt:variant>
        <vt:i4>0</vt:i4>
      </vt:variant>
      <vt:variant>
        <vt:i4>5</vt:i4>
      </vt:variant>
      <vt:variant>
        <vt:lpwstr>http://www.nevo.co.il/case/6245782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2025-04-22T22:14:00Z</dcterms:created>
  <dcterms:modified xsi:type="dcterms:W3CDTF">2025-04-22T22:14:00Z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14846</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מישאל צפיה פרטוש</vt:lpwstr>
  </property>
  <property fmtid="{D5CDD505-2E9C-101B-9397-08002B2CF9AE}" pid="10" name="LAWYER">
    <vt:lpwstr>שירלי אקרמן;נעמי כהן</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20160417</vt:lpwstr>
  </property>
  <property fmtid="{D5CDD505-2E9C-101B-9397-08002B2CF9AE}" pid="14" name="TYPE_N_DATE">
    <vt:lpwstr>38020160417</vt:lpwstr>
  </property>
  <property fmtid="{D5CDD505-2E9C-101B-9397-08002B2CF9AE}" pid="15" name="CASESLISTTMP1">
    <vt:lpwstr>13106523;20665982;20157961;11206432;10459124;6862360;6248029;11309013;6361099;5605484;5709285;17036260;5411596;11252981;6989316;6603275;17093198;19994719;5701236;5594726;18698651;4040143:4;17948122;6245782</vt:lpwstr>
  </property>
  <property fmtid="{D5CDD505-2E9C-101B-9397-08002B2CF9AE}" pid="16" name="CASENOTES1">
    <vt:lpwstr>ProcID=279;154;184&amp;PartA=573209&amp;PartC=13</vt:lpwstr>
  </property>
  <property fmtid="{D5CDD505-2E9C-101B-9397-08002B2CF9AE}" pid="17" name="WORDNUMPAGES">
    <vt:lpwstr>10</vt:lpwstr>
  </property>
  <property fmtid="{D5CDD505-2E9C-101B-9397-08002B2CF9AE}" pid="18" name="TYPE_ABS_DATE">
    <vt:lpwstr>380020160417</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4216/013:2;019a:2;007.a:2;007.c:2</vt:lpwstr>
  </property>
  <property fmtid="{D5CDD505-2E9C-101B-9397-08002B2CF9AE}" pid="38" name="LAWLISTTMP2">
    <vt:lpwstr>70301/406.b:2;287.a:2;40ja.1:2;040i.a.6:2;040i.a.7:2</vt:lpwstr>
  </property>
</Properties>
</file>