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76894" w:rsidRPr="00676155" w14:paraId="4B9A9801" w14:textId="77777777">
        <w:trPr>
          <w:trHeight w:hRule="exact" w:val="418"/>
          <w:jc w:val="center"/>
        </w:trPr>
        <w:tc>
          <w:tcPr>
            <w:tcW w:w="8721" w:type="dxa"/>
            <w:gridSpan w:val="2"/>
          </w:tcPr>
          <w:p w14:paraId="3E39D484" w14:textId="77777777" w:rsidR="00076894" w:rsidRPr="00676155" w:rsidRDefault="00676155">
            <w:pPr>
              <w:pStyle w:val="a3"/>
              <w:jc w:val="center"/>
              <w:rPr>
                <w:rFonts w:ascii="Tahoma" w:hAnsi="Tahoma" w:cs="Tahoma"/>
                <w:color w:val="000080"/>
                <w:rtl/>
              </w:rPr>
            </w:pPr>
            <w:bookmarkStart w:id="0" w:name="LastJudge"/>
            <w:r w:rsidRPr="00676155">
              <w:rPr>
                <w:rFonts w:ascii="Tahoma" w:hAnsi="Tahoma" w:cs="Tahoma"/>
                <w:b/>
                <w:bCs/>
                <w:color w:val="000080"/>
                <w:rtl/>
              </w:rPr>
              <w:t>בית משפט השלום בתל אביב - יפו</w:t>
            </w:r>
          </w:p>
        </w:tc>
      </w:tr>
      <w:tr w:rsidR="00076894" w:rsidRPr="00676155" w14:paraId="758F8A88" w14:textId="77777777">
        <w:trPr>
          <w:trHeight w:val="337"/>
          <w:jc w:val="center"/>
        </w:trPr>
        <w:tc>
          <w:tcPr>
            <w:tcW w:w="5054" w:type="dxa"/>
          </w:tcPr>
          <w:p w14:paraId="04C64638" w14:textId="77777777" w:rsidR="00076894" w:rsidRPr="00676155" w:rsidRDefault="00676155">
            <w:pPr>
              <w:rPr>
                <w:rFonts w:cs="FrankRuehl"/>
                <w:sz w:val="28"/>
                <w:szCs w:val="28"/>
                <w:rtl/>
              </w:rPr>
            </w:pPr>
            <w:r w:rsidRPr="00676155">
              <w:rPr>
                <w:rFonts w:cs="FrankRuehl"/>
                <w:sz w:val="28"/>
                <w:szCs w:val="28"/>
                <w:rtl/>
              </w:rPr>
              <w:t>ת"פ</w:t>
            </w:r>
            <w:r w:rsidRPr="00676155">
              <w:rPr>
                <w:rFonts w:cs="FrankRuehl" w:hint="cs"/>
                <w:sz w:val="28"/>
                <w:szCs w:val="28"/>
                <w:rtl/>
              </w:rPr>
              <w:t xml:space="preserve"> </w:t>
            </w:r>
            <w:r w:rsidRPr="00676155">
              <w:rPr>
                <w:rFonts w:cs="FrankRuehl"/>
                <w:sz w:val="28"/>
                <w:szCs w:val="28"/>
                <w:rtl/>
              </w:rPr>
              <w:t>15425-02-14</w:t>
            </w:r>
            <w:r w:rsidRPr="00676155">
              <w:rPr>
                <w:rFonts w:cs="FrankRuehl" w:hint="cs"/>
                <w:sz w:val="28"/>
                <w:szCs w:val="28"/>
                <w:rtl/>
              </w:rPr>
              <w:t xml:space="preserve"> </w:t>
            </w:r>
            <w:r w:rsidRPr="00676155">
              <w:rPr>
                <w:rFonts w:cs="FrankRuehl"/>
                <w:sz w:val="28"/>
                <w:szCs w:val="28"/>
                <w:rtl/>
              </w:rPr>
              <w:t>מדינת ישראל נ' גילוני</w:t>
            </w:r>
          </w:p>
          <w:p w14:paraId="45807C61" w14:textId="77777777" w:rsidR="00076894" w:rsidRPr="00676155" w:rsidRDefault="00076894">
            <w:pPr>
              <w:pStyle w:val="a3"/>
              <w:rPr>
                <w:rFonts w:cs="FrankRuehl"/>
                <w:sz w:val="28"/>
                <w:szCs w:val="28"/>
                <w:rtl/>
              </w:rPr>
            </w:pPr>
          </w:p>
        </w:tc>
        <w:tc>
          <w:tcPr>
            <w:tcW w:w="3667" w:type="dxa"/>
          </w:tcPr>
          <w:p w14:paraId="6D306B41" w14:textId="77777777" w:rsidR="00076894" w:rsidRPr="00676155" w:rsidRDefault="00076894">
            <w:pPr>
              <w:pStyle w:val="a3"/>
              <w:jc w:val="right"/>
              <w:rPr>
                <w:rFonts w:cs="FrankRuehl"/>
                <w:sz w:val="28"/>
                <w:szCs w:val="28"/>
                <w:rtl/>
              </w:rPr>
            </w:pPr>
          </w:p>
        </w:tc>
      </w:tr>
    </w:tbl>
    <w:p w14:paraId="1EC26F3B" w14:textId="77777777" w:rsidR="00076894" w:rsidRPr="00676155" w:rsidRDefault="00676155">
      <w:pPr>
        <w:pStyle w:val="a3"/>
        <w:rPr>
          <w:rtl/>
        </w:rPr>
      </w:pPr>
      <w:r w:rsidRPr="00676155">
        <w:rPr>
          <w:rFonts w:hint="cs"/>
          <w:rtl/>
        </w:rPr>
        <w:t xml:space="preserve"> </w:t>
      </w:r>
    </w:p>
    <w:p w14:paraId="2431EC99" w14:textId="77777777" w:rsidR="00076894" w:rsidRPr="00676155" w:rsidRDefault="0007689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76894" w:rsidRPr="00676155" w14:paraId="6A26BB5F" w14:textId="77777777">
        <w:trPr>
          <w:trHeight w:val="295"/>
          <w:jc w:val="center"/>
        </w:trPr>
        <w:tc>
          <w:tcPr>
            <w:tcW w:w="923" w:type="dxa"/>
            <w:tcBorders>
              <w:top w:val="nil"/>
              <w:left w:val="nil"/>
              <w:bottom w:val="nil"/>
              <w:right w:val="nil"/>
            </w:tcBorders>
            <w:shd w:val="clear" w:color="auto" w:fill="auto"/>
          </w:tcPr>
          <w:p w14:paraId="2A4E6BF8" w14:textId="77777777" w:rsidR="00076894" w:rsidRPr="00676155" w:rsidRDefault="00676155">
            <w:pPr>
              <w:jc w:val="both"/>
              <w:rPr>
                <w:rFonts w:ascii="Arial" w:hAnsi="Arial"/>
              </w:rPr>
            </w:pPr>
            <w:r w:rsidRPr="00676155">
              <w:rPr>
                <w:rFonts w:ascii="Arial" w:hAnsi="Arial" w:hint="cs"/>
                <w:rtl/>
              </w:rPr>
              <w:t>ב</w:t>
            </w:r>
            <w:r w:rsidRPr="00676155">
              <w:rPr>
                <w:rFonts w:ascii="Arial" w:hAnsi="Arial"/>
                <w:rtl/>
              </w:rPr>
              <w:t xml:space="preserve">פני </w:t>
            </w:r>
          </w:p>
        </w:tc>
        <w:tc>
          <w:tcPr>
            <w:tcW w:w="7897" w:type="dxa"/>
            <w:gridSpan w:val="2"/>
            <w:tcBorders>
              <w:top w:val="nil"/>
              <w:left w:val="nil"/>
              <w:bottom w:val="nil"/>
              <w:right w:val="nil"/>
            </w:tcBorders>
            <w:shd w:val="clear" w:color="auto" w:fill="auto"/>
          </w:tcPr>
          <w:p w14:paraId="1D90E063" w14:textId="77777777" w:rsidR="00076894" w:rsidRPr="00676155" w:rsidRDefault="00676155">
            <w:pPr>
              <w:rPr>
                <w:rFonts w:ascii="Arial" w:hAnsi="Arial"/>
                <w:b/>
                <w:bCs/>
                <w:rtl/>
              </w:rPr>
            </w:pPr>
            <w:r w:rsidRPr="00676155">
              <w:rPr>
                <w:rFonts w:ascii="Arial" w:hAnsi="Arial" w:hint="cs"/>
                <w:b/>
                <w:bCs/>
                <w:rtl/>
              </w:rPr>
              <w:t>כב' ה</w:t>
            </w:r>
            <w:r w:rsidRPr="00676155">
              <w:rPr>
                <w:rFonts w:hint="cs"/>
                <w:rtl/>
              </w:rPr>
              <w:t>שופט</w:t>
            </w:r>
            <w:r w:rsidRPr="00676155">
              <w:rPr>
                <w:rFonts w:ascii="Arial" w:hAnsi="Arial" w:hint="cs"/>
                <w:b/>
                <w:bCs/>
                <w:rtl/>
              </w:rPr>
              <w:t xml:space="preserve">  </w:t>
            </w:r>
            <w:r w:rsidRPr="00676155">
              <w:rPr>
                <w:rFonts w:hint="cs"/>
                <w:rtl/>
              </w:rPr>
              <w:t>עידו דרויאן</w:t>
            </w:r>
          </w:p>
          <w:p w14:paraId="59FD00E4" w14:textId="77777777" w:rsidR="00076894" w:rsidRPr="00676155" w:rsidRDefault="00076894">
            <w:pPr>
              <w:rPr>
                <w:rtl/>
              </w:rPr>
            </w:pPr>
          </w:p>
          <w:p w14:paraId="5A181D3E" w14:textId="77777777" w:rsidR="00076894" w:rsidRPr="00676155" w:rsidRDefault="00076894">
            <w:pPr>
              <w:jc w:val="both"/>
              <w:rPr>
                <w:rFonts w:ascii="Arial" w:hAnsi="Arial"/>
              </w:rPr>
            </w:pPr>
          </w:p>
        </w:tc>
      </w:tr>
      <w:tr w:rsidR="00076894" w:rsidRPr="00676155" w14:paraId="434594B3" w14:textId="77777777">
        <w:trPr>
          <w:trHeight w:val="355"/>
          <w:jc w:val="center"/>
        </w:trPr>
        <w:tc>
          <w:tcPr>
            <w:tcW w:w="923" w:type="dxa"/>
            <w:tcBorders>
              <w:top w:val="nil"/>
              <w:left w:val="nil"/>
              <w:bottom w:val="nil"/>
              <w:right w:val="nil"/>
            </w:tcBorders>
            <w:shd w:val="clear" w:color="auto" w:fill="auto"/>
          </w:tcPr>
          <w:p w14:paraId="6AEF2245" w14:textId="77777777" w:rsidR="00076894" w:rsidRPr="00676155" w:rsidRDefault="00676155">
            <w:pPr>
              <w:jc w:val="both"/>
              <w:rPr>
                <w:rFonts w:ascii="Arial" w:hAnsi="Arial"/>
                <w:b/>
                <w:bCs/>
              </w:rPr>
            </w:pPr>
            <w:bookmarkStart w:id="1" w:name="FirstAppellant"/>
            <w:r w:rsidRPr="00676155">
              <w:rPr>
                <w:rFonts w:ascii="Arial" w:hAnsi="Arial" w:hint="cs"/>
                <w:b/>
                <w:bCs/>
                <w:rtl/>
              </w:rPr>
              <w:t>בעניין:</w:t>
            </w:r>
          </w:p>
        </w:tc>
        <w:tc>
          <w:tcPr>
            <w:tcW w:w="4126" w:type="dxa"/>
            <w:tcBorders>
              <w:top w:val="nil"/>
              <w:left w:val="nil"/>
              <w:bottom w:val="nil"/>
              <w:right w:val="nil"/>
            </w:tcBorders>
            <w:shd w:val="clear" w:color="auto" w:fill="auto"/>
          </w:tcPr>
          <w:p w14:paraId="7302AD72" w14:textId="77777777" w:rsidR="00076894" w:rsidRPr="00676155" w:rsidRDefault="00676155">
            <w:pPr>
              <w:rPr>
                <w:b/>
                <w:bCs/>
              </w:rPr>
            </w:pPr>
            <w:r w:rsidRPr="00676155">
              <w:rPr>
                <w:rFonts w:hint="cs"/>
                <w:b/>
                <w:bCs/>
                <w:rtl/>
              </w:rPr>
              <w:t>מדינת ישראל</w:t>
            </w:r>
          </w:p>
        </w:tc>
        <w:tc>
          <w:tcPr>
            <w:tcW w:w="3771" w:type="dxa"/>
            <w:tcBorders>
              <w:top w:val="nil"/>
              <w:left w:val="nil"/>
              <w:bottom w:val="nil"/>
              <w:right w:val="nil"/>
            </w:tcBorders>
            <w:shd w:val="clear" w:color="auto" w:fill="auto"/>
          </w:tcPr>
          <w:p w14:paraId="48C4DC55" w14:textId="77777777" w:rsidR="00076894" w:rsidRPr="00676155" w:rsidRDefault="00076894">
            <w:pPr>
              <w:jc w:val="both"/>
              <w:rPr>
                <w:rFonts w:ascii="Arial" w:hAnsi="Arial"/>
                <w:b/>
                <w:bCs/>
              </w:rPr>
            </w:pPr>
          </w:p>
        </w:tc>
      </w:tr>
      <w:tr w:rsidR="00076894" w:rsidRPr="00676155" w14:paraId="2D75F77A" w14:textId="77777777">
        <w:trPr>
          <w:trHeight w:val="355"/>
          <w:jc w:val="center"/>
        </w:trPr>
        <w:tc>
          <w:tcPr>
            <w:tcW w:w="923" w:type="dxa"/>
            <w:tcBorders>
              <w:top w:val="nil"/>
              <w:left w:val="nil"/>
              <w:bottom w:val="nil"/>
              <w:right w:val="nil"/>
            </w:tcBorders>
            <w:shd w:val="clear" w:color="auto" w:fill="auto"/>
          </w:tcPr>
          <w:p w14:paraId="5F667F7A" w14:textId="77777777" w:rsidR="00076894" w:rsidRPr="00676155" w:rsidRDefault="00076894">
            <w:pPr>
              <w:jc w:val="both"/>
              <w:rPr>
                <w:rFonts w:ascii="Arial" w:hAnsi="Arial"/>
                <w:b/>
                <w:bCs/>
                <w:rtl/>
              </w:rPr>
            </w:pPr>
            <w:bookmarkStart w:id="2" w:name="FirstLawyer"/>
            <w:bookmarkEnd w:id="1"/>
          </w:p>
        </w:tc>
        <w:tc>
          <w:tcPr>
            <w:tcW w:w="4126" w:type="dxa"/>
            <w:tcBorders>
              <w:top w:val="nil"/>
              <w:left w:val="nil"/>
              <w:bottom w:val="nil"/>
              <w:right w:val="nil"/>
            </w:tcBorders>
            <w:shd w:val="clear" w:color="auto" w:fill="auto"/>
          </w:tcPr>
          <w:p w14:paraId="7A354D19" w14:textId="77777777" w:rsidR="00076894" w:rsidRPr="00676155" w:rsidRDefault="00676155">
            <w:pPr>
              <w:jc w:val="both"/>
              <w:rPr>
                <w:rtl/>
              </w:rPr>
            </w:pPr>
            <w:r w:rsidRPr="00676155">
              <w:rPr>
                <w:rFonts w:hint="cs"/>
                <w:rtl/>
              </w:rPr>
              <w:t>ע"י ב"כ עו"ד א' אסולין ונ' זרנגר</w:t>
            </w:r>
          </w:p>
        </w:tc>
        <w:tc>
          <w:tcPr>
            <w:tcW w:w="3771" w:type="dxa"/>
            <w:tcBorders>
              <w:top w:val="nil"/>
              <w:left w:val="nil"/>
              <w:bottom w:val="nil"/>
              <w:right w:val="nil"/>
            </w:tcBorders>
            <w:shd w:val="clear" w:color="auto" w:fill="auto"/>
          </w:tcPr>
          <w:p w14:paraId="69DBB9DB" w14:textId="77777777" w:rsidR="00076894" w:rsidRPr="00676155" w:rsidRDefault="00676155">
            <w:pPr>
              <w:jc w:val="right"/>
              <w:rPr>
                <w:rFonts w:ascii="Arial" w:hAnsi="Arial"/>
                <w:b/>
                <w:bCs/>
                <w:rtl/>
              </w:rPr>
            </w:pPr>
            <w:r w:rsidRPr="00676155">
              <w:rPr>
                <w:rFonts w:ascii="Arial" w:hAnsi="Arial" w:hint="cs"/>
                <w:b/>
                <w:bCs/>
                <w:rtl/>
              </w:rPr>
              <w:t>ה</w:t>
            </w:r>
            <w:r w:rsidRPr="00676155">
              <w:rPr>
                <w:rFonts w:hint="cs"/>
                <w:b/>
                <w:bCs/>
                <w:rtl/>
              </w:rPr>
              <w:t>מאשימה</w:t>
            </w:r>
          </w:p>
        </w:tc>
      </w:tr>
      <w:bookmarkEnd w:id="2"/>
      <w:tr w:rsidR="00076894" w:rsidRPr="00676155" w14:paraId="0AA41A9F" w14:textId="77777777">
        <w:trPr>
          <w:trHeight w:val="355"/>
          <w:jc w:val="center"/>
        </w:trPr>
        <w:tc>
          <w:tcPr>
            <w:tcW w:w="923" w:type="dxa"/>
            <w:tcBorders>
              <w:top w:val="nil"/>
              <w:left w:val="nil"/>
              <w:bottom w:val="nil"/>
              <w:right w:val="nil"/>
            </w:tcBorders>
            <w:shd w:val="clear" w:color="auto" w:fill="auto"/>
          </w:tcPr>
          <w:p w14:paraId="21A3D2E5" w14:textId="77777777" w:rsidR="00076894" w:rsidRPr="00676155" w:rsidRDefault="00076894">
            <w:pPr>
              <w:jc w:val="both"/>
              <w:rPr>
                <w:rFonts w:ascii="Arial" w:hAnsi="Arial"/>
                <w:b/>
                <w:bCs/>
                <w:rtl/>
              </w:rPr>
            </w:pPr>
          </w:p>
        </w:tc>
        <w:tc>
          <w:tcPr>
            <w:tcW w:w="7897" w:type="dxa"/>
            <w:gridSpan w:val="2"/>
            <w:tcBorders>
              <w:top w:val="nil"/>
              <w:left w:val="nil"/>
              <w:bottom w:val="nil"/>
              <w:right w:val="nil"/>
            </w:tcBorders>
            <w:shd w:val="clear" w:color="auto" w:fill="auto"/>
          </w:tcPr>
          <w:p w14:paraId="24DE7149" w14:textId="77777777" w:rsidR="00076894" w:rsidRPr="00676155" w:rsidRDefault="00076894">
            <w:pPr>
              <w:jc w:val="center"/>
              <w:rPr>
                <w:rFonts w:ascii="Arial" w:hAnsi="Arial"/>
                <w:b/>
                <w:bCs/>
                <w:rtl/>
              </w:rPr>
            </w:pPr>
          </w:p>
          <w:p w14:paraId="04ACCC0C" w14:textId="77777777" w:rsidR="00076894" w:rsidRPr="00676155" w:rsidRDefault="00676155">
            <w:pPr>
              <w:jc w:val="center"/>
              <w:rPr>
                <w:rFonts w:ascii="Arial" w:hAnsi="Arial"/>
                <w:b/>
                <w:bCs/>
                <w:rtl/>
              </w:rPr>
            </w:pPr>
            <w:r w:rsidRPr="00676155">
              <w:rPr>
                <w:rFonts w:ascii="Arial" w:hAnsi="Arial"/>
                <w:b/>
                <w:bCs/>
                <w:rtl/>
              </w:rPr>
              <w:t>נגד</w:t>
            </w:r>
          </w:p>
          <w:p w14:paraId="741CA99E" w14:textId="77777777" w:rsidR="00076894" w:rsidRPr="00676155" w:rsidRDefault="00076894">
            <w:pPr>
              <w:jc w:val="both"/>
              <w:rPr>
                <w:rFonts w:ascii="Arial" w:hAnsi="Arial"/>
                <w:b/>
                <w:bCs/>
              </w:rPr>
            </w:pPr>
          </w:p>
        </w:tc>
      </w:tr>
      <w:tr w:rsidR="00076894" w:rsidRPr="00676155" w14:paraId="2FD61950" w14:textId="77777777">
        <w:trPr>
          <w:trHeight w:val="355"/>
          <w:jc w:val="center"/>
        </w:trPr>
        <w:tc>
          <w:tcPr>
            <w:tcW w:w="923" w:type="dxa"/>
            <w:tcBorders>
              <w:top w:val="nil"/>
              <w:left w:val="nil"/>
              <w:bottom w:val="nil"/>
              <w:right w:val="nil"/>
            </w:tcBorders>
            <w:shd w:val="clear" w:color="auto" w:fill="auto"/>
          </w:tcPr>
          <w:p w14:paraId="549E01EE" w14:textId="77777777" w:rsidR="00076894" w:rsidRPr="00676155" w:rsidRDefault="00076894">
            <w:pPr>
              <w:rPr>
                <w:rFonts w:ascii="Arial" w:hAnsi="Arial"/>
                <w:b/>
                <w:bCs/>
                <w:rtl/>
              </w:rPr>
            </w:pPr>
          </w:p>
        </w:tc>
        <w:tc>
          <w:tcPr>
            <w:tcW w:w="4126" w:type="dxa"/>
            <w:tcBorders>
              <w:top w:val="nil"/>
              <w:left w:val="nil"/>
              <w:bottom w:val="nil"/>
              <w:right w:val="nil"/>
            </w:tcBorders>
            <w:shd w:val="clear" w:color="auto" w:fill="auto"/>
          </w:tcPr>
          <w:p w14:paraId="4CBCDBD4" w14:textId="77777777" w:rsidR="00076894" w:rsidRPr="00676155" w:rsidRDefault="00676155">
            <w:pPr>
              <w:rPr>
                <w:b/>
                <w:bCs/>
                <w:rtl/>
              </w:rPr>
            </w:pPr>
            <w:r w:rsidRPr="00676155">
              <w:rPr>
                <w:rFonts w:hint="cs"/>
                <w:b/>
                <w:bCs/>
                <w:rtl/>
              </w:rPr>
              <w:t>ערן יצחק גילוני</w:t>
            </w:r>
          </w:p>
        </w:tc>
        <w:tc>
          <w:tcPr>
            <w:tcW w:w="3771" w:type="dxa"/>
            <w:tcBorders>
              <w:top w:val="nil"/>
              <w:left w:val="nil"/>
              <w:bottom w:val="nil"/>
              <w:right w:val="nil"/>
            </w:tcBorders>
            <w:shd w:val="clear" w:color="auto" w:fill="auto"/>
          </w:tcPr>
          <w:p w14:paraId="044A4217" w14:textId="77777777" w:rsidR="00076894" w:rsidRPr="00676155" w:rsidRDefault="00076894">
            <w:pPr>
              <w:jc w:val="right"/>
              <w:rPr>
                <w:rFonts w:ascii="Arial" w:hAnsi="Arial"/>
                <w:b/>
                <w:bCs/>
              </w:rPr>
            </w:pPr>
          </w:p>
        </w:tc>
      </w:tr>
      <w:tr w:rsidR="00076894" w:rsidRPr="00676155" w14:paraId="7169CD7D" w14:textId="77777777">
        <w:trPr>
          <w:trHeight w:val="355"/>
          <w:jc w:val="center"/>
        </w:trPr>
        <w:tc>
          <w:tcPr>
            <w:tcW w:w="923" w:type="dxa"/>
            <w:tcBorders>
              <w:top w:val="nil"/>
              <w:left w:val="nil"/>
              <w:bottom w:val="nil"/>
              <w:right w:val="nil"/>
            </w:tcBorders>
            <w:shd w:val="clear" w:color="auto" w:fill="auto"/>
          </w:tcPr>
          <w:p w14:paraId="4395EB4D" w14:textId="77777777" w:rsidR="00076894" w:rsidRPr="00676155" w:rsidRDefault="00076894">
            <w:pPr>
              <w:jc w:val="both"/>
              <w:rPr>
                <w:rFonts w:ascii="Arial" w:hAnsi="Arial"/>
                <w:b/>
                <w:bCs/>
                <w:rtl/>
              </w:rPr>
            </w:pPr>
          </w:p>
        </w:tc>
        <w:tc>
          <w:tcPr>
            <w:tcW w:w="4126" w:type="dxa"/>
            <w:tcBorders>
              <w:top w:val="nil"/>
              <w:left w:val="nil"/>
              <w:bottom w:val="nil"/>
              <w:right w:val="nil"/>
            </w:tcBorders>
            <w:shd w:val="clear" w:color="auto" w:fill="auto"/>
          </w:tcPr>
          <w:p w14:paraId="6970CF9F" w14:textId="77777777" w:rsidR="00076894" w:rsidRPr="00676155" w:rsidRDefault="00676155">
            <w:pPr>
              <w:jc w:val="both"/>
              <w:rPr>
                <w:rtl/>
              </w:rPr>
            </w:pPr>
            <w:r w:rsidRPr="00676155">
              <w:rPr>
                <w:rFonts w:hint="cs"/>
                <w:rtl/>
              </w:rPr>
              <w:t>ע"י ב"כ עו"ד נס בן-נתן</w:t>
            </w:r>
          </w:p>
        </w:tc>
        <w:tc>
          <w:tcPr>
            <w:tcW w:w="3771" w:type="dxa"/>
            <w:tcBorders>
              <w:top w:val="nil"/>
              <w:left w:val="nil"/>
              <w:bottom w:val="nil"/>
              <w:right w:val="nil"/>
            </w:tcBorders>
            <w:shd w:val="clear" w:color="auto" w:fill="auto"/>
          </w:tcPr>
          <w:p w14:paraId="27DA011F" w14:textId="77777777" w:rsidR="00076894" w:rsidRPr="00676155" w:rsidRDefault="00676155">
            <w:pPr>
              <w:jc w:val="right"/>
              <w:rPr>
                <w:rFonts w:ascii="Arial" w:hAnsi="Arial"/>
                <w:b/>
                <w:bCs/>
              </w:rPr>
            </w:pPr>
            <w:r w:rsidRPr="00676155">
              <w:rPr>
                <w:rFonts w:ascii="Arial" w:hAnsi="Arial" w:hint="cs"/>
                <w:b/>
                <w:bCs/>
                <w:rtl/>
              </w:rPr>
              <w:t>ה</w:t>
            </w:r>
            <w:r w:rsidRPr="00676155">
              <w:rPr>
                <w:rFonts w:hint="cs"/>
                <w:b/>
                <w:bCs/>
                <w:rtl/>
              </w:rPr>
              <w:t>נאשם</w:t>
            </w:r>
          </w:p>
        </w:tc>
      </w:tr>
    </w:tbl>
    <w:p w14:paraId="02FD1C57" w14:textId="77777777" w:rsidR="00DD6078" w:rsidRDefault="00DD6078">
      <w:pPr>
        <w:rPr>
          <w:rtl/>
        </w:rPr>
      </w:pPr>
      <w:bookmarkStart w:id="3" w:name="LawTable"/>
      <w:bookmarkEnd w:id="3"/>
    </w:p>
    <w:p w14:paraId="4334E6AF" w14:textId="77777777" w:rsidR="00DD6078" w:rsidRPr="00DD6078" w:rsidRDefault="00DD6078" w:rsidP="00DD6078">
      <w:pPr>
        <w:spacing w:after="120" w:line="240" w:lineRule="exact"/>
        <w:ind w:left="283" w:hanging="283"/>
        <w:jc w:val="both"/>
        <w:rPr>
          <w:rFonts w:ascii="FrankRuehl" w:hAnsi="FrankRuehl" w:cs="FrankRuehl"/>
          <w:rtl/>
        </w:rPr>
      </w:pPr>
    </w:p>
    <w:p w14:paraId="5F82A071" w14:textId="77777777" w:rsidR="00DD6078" w:rsidRPr="00DD6078" w:rsidRDefault="00DD6078" w:rsidP="00DD6078">
      <w:pPr>
        <w:spacing w:after="120" w:line="240" w:lineRule="exact"/>
        <w:ind w:left="283" w:hanging="283"/>
        <w:jc w:val="both"/>
        <w:rPr>
          <w:rFonts w:ascii="FrankRuehl" w:hAnsi="FrankRuehl" w:cs="FrankRuehl"/>
          <w:rtl/>
        </w:rPr>
      </w:pPr>
      <w:r w:rsidRPr="00DD6078">
        <w:rPr>
          <w:rFonts w:ascii="FrankRuehl" w:hAnsi="FrankRuehl" w:cs="FrankRuehl"/>
          <w:rtl/>
        </w:rPr>
        <w:t xml:space="preserve">חקיקה שאוזכרה: </w:t>
      </w:r>
    </w:p>
    <w:p w14:paraId="3151E9DD" w14:textId="77777777" w:rsidR="00DD6078" w:rsidRPr="00DD6078" w:rsidRDefault="00DD6078" w:rsidP="00DD6078">
      <w:pPr>
        <w:spacing w:after="120" w:line="240" w:lineRule="exact"/>
        <w:ind w:left="283" w:hanging="283"/>
        <w:jc w:val="both"/>
        <w:rPr>
          <w:rFonts w:ascii="FrankRuehl" w:hAnsi="FrankRuehl" w:cs="FrankRuehl"/>
          <w:rtl/>
        </w:rPr>
      </w:pPr>
      <w:hyperlink r:id="rId7" w:history="1">
        <w:r w:rsidRPr="00DD6078">
          <w:rPr>
            <w:rFonts w:ascii="FrankRuehl" w:hAnsi="FrankRuehl" w:cs="FrankRuehl"/>
            <w:color w:val="0000FF"/>
            <w:u w:val="single"/>
            <w:rtl/>
          </w:rPr>
          <w:t>פקודת הסמים המסוכנים [נוסח חדש], תשל"ג-1973</w:t>
        </w:r>
      </w:hyperlink>
      <w:r w:rsidRPr="00DD6078">
        <w:rPr>
          <w:rFonts w:ascii="FrankRuehl" w:hAnsi="FrankRuehl" w:cs="FrankRuehl"/>
          <w:rtl/>
        </w:rPr>
        <w:t xml:space="preserve">: סע'  </w:t>
      </w:r>
      <w:hyperlink r:id="rId8" w:history="1">
        <w:r w:rsidRPr="00DD6078">
          <w:rPr>
            <w:rFonts w:ascii="FrankRuehl" w:hAnsi="FrankRuehl" w:cs="FrankRuehl"/>
            <w:color w:val="0000FF"/>
            <w:u w:val="single"/>
            <w:rtl/>
          </w:rPr>
          <w:t>6</w:t>
        </w:r>
      </w:hyperlink>
    </w:p>
    <w:p w14:paraId="2E85A2D2" w14:textId="77777777" w:rsidR="00DD6078" w:rsidRPr="00DD6078" w:rsidRDefault="00DD6078" w:rsidP="00DD6078">
      <w:pPr>
        <w:spacing w:after="120" w:line="240" w:lineRule="exact"/>
        <w:ind w:left="283" w:hanging="283"/>
        <w:jc w:val="both"/>
        <w:rPr>
          <w:rFonts w:ascii="FrankRuehl" w:hAnsi="FrankRuehl" w:cs="FrankRuehl"/>
          <w:rtl/>
        </w:rPr>
      </w:pPr>
      <w:hyperlink r:id="rId9" w:history="1">
        <w:r w:rsidRPr="00DD6078">
          <w:rPr>
            <w:rFonts w:ascii="FrankRuehl" w:hAnsi="FrankRuehl" w:cs="FrankRuehl"/>
            <w:color w:val="0000FF"/>
            <w:u w:val="single"/>
            <w:rtl/>
          </w:rPr>
          <w:t>חוק העונשין, תשל"ז-1977</w:t>
        </w:r>
      </w:hyperlink>
      <w:r w:rsidRPr="00DD6078">
        <w:rPr>
          <w:rFonts w:ascii="FrankRuehl" w:hAnsi="FrankRuehl" w:cs="FrankRuehl"/>
          <w:rtl/>
        </w:rPr>
        <w:t xml:space="preserve">: סע'  </w:t>
      </w:r>
      <w:hyperlink r:id="rId10" w:history="1">
        <w:r w:rsidRPr="00DD6078">
          <w:rPr>
            <w:rFonts w:ascii="FrankRuehl" w:hAnsi="FrankRuehl" w:cs="FrankRuehl"/>
            <w:color w:val="0000FF"/>
            <w:u w:val="single"/>
            <w:rtl/>
          </w:rPr>
          <w:t>40ט</w:t>
        </w:r>
      </w:hyperlink>
    </w:p>
    <w:p w14:paraId="57C41C78" w14:textId="77777777" w:rsidR="00DD6078" w:rsidRPr="00DD6078" w:rsidRDefault="00DD6078" w:rsidP="00DD6078">
      <w:pPr>
        <w:spacing w:after="120" w:line="240" w:lineRule="exact"/>
        <w:ind w:left="283" w:hanging="283"/>
        <w:jc w:val="both"/>
        <w:rPr>
          <w:rFonts w:ascii="FrankRuehl" w:hAnsi="FrankRuehl" w:cs="FrankRuehl"/>
          <w:rtl/>
        </w:rPr>
      </w:pPr>
    </w:p>
    <w:p w14:paraId="1984FAB1" w14:textId="77777777" w:rsidR="00DD6078" w:rsidRPr="00DD6078" w:rsidRDefault="00DD6078">
      <w:pPr>
        <w:rPr>
          <w:rtl/>
        </w:rPr>
      </w:pPr>
      <w:bookmarkStart w:id="4" w:name="LawTable_End"/>
      <w:bookmarkEnd w:id="4"/>
    </w:p>
    <w:p w14:paraId="1D921CA3" w14:textId="77777777" w:rsidR="00076894" w:rsidRPr="00676155" w:rsidRDefault="0007689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76894" w14:paraId="72526C1B" w14:textId="77777777">
        <w:trPr>
          <w:trHeight w:val="355"/>
          <w:jc w:val="center"/>
        </w:trPr>
        <w:tc>
          <w:tcPr>
            <w:tcW w:w="8820" w:type="dxa"/>
            <w:tcBorders>
              <w:top w:val="nil"/>
              <w:left w:val="nil"/>
              <w:bottom w:val="nil"/>
              <w:right w:val="nil"/>
            </w:tcBorders>
            <w:shd w:val="clear" w:color="auto" w:fill="auto"/>
          </w:tcPr>
          <w:p w14:paraId="096165DF" w14:textId="77777777" w:rsidR="00676155" w:rsidRPr="00676155" w:rsidRDefault="00676155" w:rsidP="00676155">
            <w:pPr>
              <w:jc w:val="center"/>
              <w:rPr>
                <w:rFonts w:ascii="Arial" w:hAnsi="Arial"/>
                <w:b/>
                <w:bCs/>
                <w:sz w:val="28"/>
                <w:szCs w:val="28"/>
                <w:u w:val="single"/>
                <w:rtl/>
              </w:rPr>
            </w:pPr>
            <w:bookmarkStart w:id="5" w:name="PsakDin" w:colFirst="0" w:colLast="0"/>
            <w:bookmarkEnd w:id="0"/>
            <w:r w:rsidRPr="00676155">
              <w:rPr>
                <w:rFonts w:ascii="Arial" w:hAnsi="Arial"/>
                <w:b/>
                <w:bCs/>
                <w:sz w:val="28"/>
                <w:szCs w:val="28"/>
                <w:u w:val="single"/>
                <w:rtl/>
              </w:rPr>
              <w:t>גזר דין</w:t>
            </w:r>
          </w:p>
          <w:p w14:paraId="788DC884" w14:textId="77777777" w:rsidR="00076894" w:rsidRPr="00676155" w:rsidRDefault="00076894" w:rsidP="00676155">
            <w:pPr>
              <w:jc w:val="center"/>
              <w:rPr>
                <w:rFonts w:ascii="Arial" w:hAnsi="Arial"/>
                <w:bCs/>
                <w:u w:val="single"/>
                <w:rtl/>
              </w:rPr>
            </w:pPr>
          </w:p>
        </w:tc>
      </w:tr>
      <w:bookmarkEnd w:id="5"/>
    </w:tbl>
    <w:p w14:paraId="5F0A4743" w14:textId="77777777" w:rsidR="00076894" w:rsidRDefault="00076894">
      <w:pPr>
        <w:spacing w:line="360" w:lineRule="auto"/>
        <w:jc w:val="both"/>
        <w:rPr>
          <w:rFonts w:ascii="Arial" w:hAnsi="Arial"/>
          <w:rtl/>
        </w:rPr>
      </w:pPr>
    </w:p>
    <w:p w14:paraId="285CAE22" w14:textId="77777777" w:rsidR="00076894" w:rsidRDefault="00676155">
      <w:pPr>
        <w:spacing w:line="360" w:lineRule="auto"/>
        <w:jc w:val="both"/>
        <w:rPr>
          <w:rFonts w:ascii="Arial" w:hAnsi="Arial"/>
          <w:rtl/>
        </w:rPr>
      </w:pPr>
      <w:bookmarkStart w:id="6" w:name="ABSTRACT_START"/>
      <w:bookmarkEnd w:id="6"/>
      <w:r>
        <w:rPr>
          <w:rFonts w:ascii="Arial" w:hAnsi="Arial" w:hint="cs"/>
          <w:rtl/>
        </w:rPr>
        <w:t xml:space="preserve">ביום 18.11.14 הודה הנאשם והורשע בכתב אישום שתוקן לפי הסדר טיעון, בעבירה של גידול סם מסוכן, לפי </w:t>
      </w:r>
      <w:hyperlink r:id="rId11" w:history="1">
        <w:r w:rsidR="002137BD" w:rsidRPr="002137BD">
          <w:rPr>
            <w:rFonts w:ascii="Arial" w:hAnsi="Arial"/>
            <w:color w:val="0000FF"/>
            <w:u w:val="single"/>
            <w:rtl/>
          </w:rPr>
          <w:t>סעיף 6</w:t>
        </w:r>
      </w:hyperlink>
      <w:r>
        <w:rPr>
          <w:rFonts w:ascii="Arial" w:hAnsi="Arial" w:hint="cs"/>
          <w:rtl/>
        </w:rPr>
        <w:t xml:space="preserve"> ל</w:t>
      </w:r>
      <w:hyperlink r:id="rId12" w:history="1">
        <w:r w:rsidRPr="00676155">
          <w:rPr>
            <w:rFonts w:ascii="Arial" w:hAnsi="Arial"/>
            <w:color w:val="0000FF"/>
            <w:u w:val="single"/>
            <w:rtl/>
          </w:rPr>
          <w:t>פקודת הסמים המסוכנים</w:t>
        </w:r>
      </w:hyperlink>
      <w:r>
        <w:rPr>
          <w:rFonts w:ascii="Arial" w:hAnsi="Arial" w:hint="cs"/>
          <w:rtl/>
        </w:rPr>
        <w:t>.</w:t>
      </w:r>
    </w:p>
    <w:p w14:paraId="06910B32" w14:textId="77777777" w:rsidR="00076894" w:rsidRDefault="00676155">
      <w:pPr>
        <w:spacing w:line="360" w:lineRule="auto"/>
        <w:jc w:val="both"/>
        <w:rPr>
          <w:rFonts w:ascii="Arial" w:hAnsi="Arial"/>
          <w:rtl/>
        </w:rPr>
      </w:pPr>
      <w:bookmarkStart w:id="7" w:name="ABSTRACT_END"/>
      <w:bookmarkEnd w:id="7"/>
      <w:r>
        <w:rPr>
          <w:rFonts w:ascii="Arial" w:hAnsi="Arial" w:hint="cs"/>
          <w:rtl/>
        </w:rPr>
        <w:t>בהתאם למוסכם, הופנה הנאשם לעריכת תסקיר שירות מבחן, והצדדים טענו לעונש, איש לעמדתו.</w:t>
      </w:r>
    </w:p>
    <w:p w14:paraId="05674387" w14:textId="77777777" w:rsidR="00076894" w:rsidRDefault="00076894">
      <w:pPr>
        <w:spacing w:line="360" w:lineRule="auto"/>
        <w:jc w:val="both"/>
        <w:rPr>
          <w:rFonts w:ascii="Arial" w:hAnsi="Arial"/>
          <w:rtl/>
        </w:rPr>
      </w:pPr>
    </w:p>
    <w:p w14:paraId="659634A8" w14:textId="77777777" w:rsidR="00076894" w:rsidRDefault="00676155">
      <w:pPr>
        <w:spacing w:line="360" w:lineRule="auto"/>
        <w:jc w:val="both"/>
        <w:rPr>
          <w:rFonts w:ascii="Arial" w:hAnsi="Arial"/>
          <w:rtl/>
        </w:rPr>
      </w:pPr>
      <w:r>
        <w:rPr>
          <w:rFonts w:ascii="Arial" w:hAnsi="Arial" w:hint="cs"/>
          <w:rtl/>
        </w:rPr>
        <w:t>עוד הסכימו הצדדים כי לא ייקבע שהנאשם הוא סוחר סמים והרכב שנתפס במהלך החקירה לא יחולט, והצדדים עתרו שקנס שיוטל יהא על-סך 25,000 ₪.</w:t>
      </w:r>
    </w:p>
    <w:p w14:paraId="4E6F0E16" w14:textId="77777777" w:rsidR="00076894" w:rsidRDefault="00076894">
      <w:pPr>
        <w:spacing w:line="360" w:lineRule="auto"/>
        <w:jc w:val="both"/>
        <w:rPr>
          <w:rFonts w:ascii="Arial" w:hAnsi="Arial"/>
          <w:rtl/>
        </w:rPr>
      </w:pPr>
    </w:p>
    <w:p w14:paraId="157C41E7" w14:textId="77777777" w:rsidR="00076894" w:rsidRDefault="00676155">
      <w:pPr>
        <w:spacing w:line="360" w:lineRule="auto"/>
        <w:jc w:val="both"/>
        <w:rPr>
          <w:rFonts w:ascii="Arial" w:hAnsi="Arial"/>
          <w:rtl/>
        </w:rPr>
      </w:pPr>
      <w:r>
        <w:rPr>
          <w:rFonts w:ascii="Arial" w:hAnsi="Arial" w:hint="cs"/>
          <w:b/>
          <w:bCs/>
          <w:u w:val="single"/>
          <w:rtl/>
        </w:rPr>
        <w:t>מעשי הנאשם:</w:t>
      </w:r>
    </w:p>
    <w:p w14:paraId="5AF90193" w14:textId="77777777" w:rsidR="00076894" w:rsidRDefault="00676155">
      <w:pPr>
        <w:pStyle w:val="ListParagraph"/>
        <w:numPr>
          <w:ilvl w:val="0"/>
          <w:numId w:val="1"/>
        </w:numPr>
        <w:spacing w:line="360" w:lineRule="auto"/>
        <w:jc w:val="both"/>
        <w:rPr>
          <w:rFonts w:ascii="Arial" w:hAnsi="Arial"/>
        </w:rPr>
      </w:pPr>
      <w:r>
        <w:rPr>
          <w:rFonts w:ascii="Arial" w:hAnsi="Arial" w:hint="cs"/>
          <w:rtl/>
        </w:rPr>
        <w:t>בחודש ספטמבר 2013 הקים הנאשם "מעבדה" לגידול קנאביס בדירה שכורה ברחוב מיכאל ברמת-גן, בה התגורר קודם לכן עם משפחתו עד שעברו לבית מגורים אחר: הנאשם התקין במקום ציוד גידול משוכלל ובו מערכת מיזוג אויר, מפוחי אויר, אביזרי תאורה, מדי לחות וחומציות, משאבות השקיה ומיכלי דישון, והכל כדי להפיק סם באיכות גבוהה (תצלומים תע/1).</w:t>
      </w:r>
    </w:p>
    <w:p w14:paraId="1DBE4942" w14:textId="77777777" w:rsidR="00076894" w:rsidRDefault="00676155">
      <w:pPr>
        <w:pStyle w:val="ListParagraph"/>
        <w:numPr>
          <w:ilvl w:val="0"/>
          <w:numId w:val="1"/>
        </w:numPr>
        <w:spacing w:line="360" w:lineRule="auto"/>
        <w:jc w:val="both"/>
        <w:rPr>
          <w:rFonts w:ascii="Arial" w:hAnsi="Arial"/>
          <w:rtl/>
        </w:rPr>
      </w:pPr>
      <w:r>
        <w:rPr>
          <w:rFonts w:ascii="Arial" w:hAnsi="Arial" w:hint="cs"/>
          <w:rtl/>
        </w:rPr>
        <w:lastRenderedPageBreak/>
        <w:t>עד מעצרו ביום 1.2.14 גידל הנאשם במקום שתילי קנאביס, ובעת מעצרו החזיק הנאשם בדירה הנ"ל כ-188 שתילי קנאביס במשקל כולל של כ-23 קילוגרם וכן קנאביס במשקל 194.88 גרם.</w:t>
      </w:r>
    </w:p>
    <w:p w14:paraId="280D2F30" w14:textId="77777777" w:rsidR="00076894" w:rsidRDefault="00076894">
      <w:pPr>
        <w:spacing w:line="360" w:lineRule="auto"/>
        <w:jc w:val="both"/>
        <w:rPr>
          <w:rtl/>
        </w:rPr>
      </w:pPr>
    </w:p>
    <w:p w14:paraId="1CD7FF7C" w14:textId="77777777" w:rsidR="00076894" w:rsidRDefault="00676155">
      <w:pPr>
        <w:spacing w:line="360" w:lineRule="auto"/>
        <w:jc w:val="both"/>
        <w:rPr>
          <w:rtl/>
        </w:rPr>
      </w:pPr>
      <w:r>
        <w:rPr>
          <w:rFonts w:hint="cs"/>
          <w:b/>
          <w:bCs/>
          <w:u w:val="single"/>
          <w:rtl/>
        </w:rPr>
        <w:t xml:space="preserve">הכרעה במחלוקת העובדתית </w:t>
      </w:r>
      <w:r>
        <w:rPr>
          <w:b/>
          <w:bCs/>
          <w:u w:val="single"/>
          <w:rtl/>
        </w:rPr>
        <w:t>–</w:t>
      </w:r>
      <w:r>
        <w:rPr>
          <w:rFonts w:hint="cs"/>
          <w:b/>
          <w:bCs/>
          <w:u w:val="single"/>
          <w:rtl/>
        </w:rPr>
        <w:t xml:space="preserve"> לאיזה צורך גודל הסם?</w:t>
      </w:r>
    </w:p>
    <w:p w14:paraId="2570F09F" w14:textId="77777777" w:rsidR="00076894" w:rsidRDefault="00676155">
      <w:pPr>
        <w:pStyle w:val="ListParagraph"/>
        <w:numPr>
          <w:ilvl w:val="0"/>
          <w:numId w:val="2"/>
        </w:numPr>
        <w:spacing w:line="360" w:lineRule="auto"/>
        <w:jc w:val="both"/>
      </w:pPr>
      <w:r>
        <w:rPr>
          <w:rFonts w:hint="cs"/>
          <w:rtl/>
        </w:rPr>
        <w:t xml:space="preserve">הצדדים נחלקו בשאלה העובדתית, לאיזה צורך גודל הסם. לתשובה לשאלה זו נפקות אפשרית לעניין קביעת מתחם העונש ההולם, לפי הוראות </w:t>
      </w:r>
      <w:hyperlink r:id="rId13" w:history="1">
        <w:r w:rsidR="002137BD" w:rsidRPr="002137BD">
          <w:rPr>
            <w:color w:val="0000FF"/>
            <w:u w:val="single"/>
            <w:rtl/>
          </w:rPr>
          <w:t>סעיף 40ט</w:t>
        </w:r>
      </w:hyperlink>
      <w:r>
        <w:rPr>
          <w:rFonts w:hint="cs"/>
          <w:rtl/>
        </w:rPr>
        <w:t xml:space="preserve"> ל</w:t>
      </w:r>
      <w:hyperlink r:id="rId14" w:history="1">
        <w:r w:rsidRPr="00676155">
          <w:rPr>
            <w:color w:val="0000FF"/>
            <w:u w:val="single"/>
            <w:rtl/>
          </w:rPr>
          <w:t>חוק העונשין</w:t>
        </w:r>
      </w:hyperlink>
      <w:r>
        <w:rPr>
          <w:rFonts w:hint="cs"/>
          <w:rtl/>
        </w:rPr>
        <w:t>, תשל"ז-1977, המונה בין נסיבות העבירה שיש לתת להביאן בחשבון גם את הסיבות שהובילו נאשם לביצוע העבירה וגם את הנזקים הפוטנציאליים מביצוע העבירה. בהסכמה, הובאו אפוא ראיות לעניין זה לאחר הרשעת הנאשם.</w:t>
      </w:r>
    </w:p>
    <w:p w14:paraId="78CBBC8E" w14:textId="77777777" w:rsidR="00076894" w:rsidRDefault="00676155">
      <w:pPr>
        <w:pStyle w:val="ListParagraph"/>
        <w:numPr>
          <w:ilvl w:val="0"/>
          <w:numId w:val="2"/>
        </w:numPr>
        <w:spacing w:line="360" w:lineRule="auto"/>
        <w:jc w:val="both"/>
      </w:pPr>
      <w:r>
        <w:rPr>
          <w:rFonts w:hint="cs"/>
          <w:rtl/>
        </w:rPr>
        <w:t xml:space="preserve">מכתב האישום המתוקן נמחקה העבירה של החזקת סם מסוכן שלא לצריכה עצמית, אך בעצם-זאת שהנאשם הואשם בעבירת הגידול בלבד אין כדי להעיד על הסכמת התביעה לכך שהסם גודל שלא לצורך הפצה, וראו </w:t>
      </w:r>
      <w:hyperlink r:id="rId15" w:history="1">
        <w:r w:rsidRPr="00676155">
          <w:rPr>
            <w:color w:val="0000FF"/>
            <w:u w:val="single"/>
            <w:rtl/>
          </w:rPr>
          <w:t>עפ"ג 31126-05-14</w:t>
        </w:r>
      </w:hyperlink>
      <w:r>
        <w:rPr>
          <w:rFonts w:hint="cs"/>
          <w:rtl/>
        </w:rPr>
        <w:t xml:space="preserve"> </w:t>
      </w:r>
      <w:r>
        <w:rPr>
          <w:rFonts w:hint="cs"/>
          <w:b/>
          <w:bCs/>
          <w:rtl/>
        </w:rPr>
        <w:t>מ.י. נ' חריט</w:t>
      </w:r>
      <w:r>
        <w:rPr>
          <w:rFonts w:hint="cs"/>
          <w:rtl/>
        </w:rPr>
        <w:t xml:space="preserve"> (2015). ואכן, התביעה טוענת כי המשאבים שהושקעו בגידול הסם והכמות שנתפסה מעידים כי הסם גודל שלא לצריכה עצמית בלבד. כיון שכך, טוענת התביעה, אין לאבחן בין עניינו של הנאשם דנן לבין ענייניהם של רבים אחרים שנלכדו כשהם מגדלים כמויות ניכרות של קנאביס לצורך הפצה </w:t>
      </w:r>
      <w:r>
        <w:rPr>
          <w:rtl/>
        </w:rPr>
        <w:t>–</w:t>
      </w:r>
      <w:r>
        <w:rPr>
          <w:rFonts w:hint="cs"/>
          <w:rtl/>
        </w:rPr>
        <w:t xml:space="preserve"> פעילות שיש עמה נזק פוטנציאלי חמור, ושהמניע מאחוריה אינו אלא התקווה לרווח עצום ומהיר.</w:t>
      </w:r>
    </w:p>
    <w:p w14:paraId="3B0D87A7" w14:textId="77777777" w:rsidR="00076894" w:rsidRDefault="00676155">
      <w:pPr>
        <w:pStyle w:val="ListParagraph"/>
        <w:numPr>
          <w:ilvl w:val="0"/>
          <w:numId w:val="2"/>
        </w:numPr>
        <w:spacing w:line="360" w:lineRule="auto"/>
        <w:jc w:val="both"/>
      </w:pPr>
      <w:r>
        <w:rPr>
          <w:rFonts w:hint="cs"/>
          <w:rtl/>
        </w:rPr>
        <w:t>ההגנה טוענת מנגד, שהנאשם גידל את הסם לצורך יחיד של שימוש עצמי, להקלה על כאביו הקשים. לכן יצדיקו סיבת הגידול והנזק הפוטנציאלי הזעום את קביעתו של מתחם עונשי שונה לחלוטין מהמקובל, שלא יחייב כליאתו של הנאשם.</w:t>
      </w:r>
    </w:p>
    <w:p w14:paraId="1119D315" w14:textId="77777777" w:rsidR="00076894" w:rsidRDefault="00676155">
      <w:pPr>
        <w:pStyle w:val="ListParagraph"/>
        <w:numPr>
          <w:ilvl w:val="0"/>
          <w:numId w:val="2"/>
        </w:numPr>
        <w:spacing w:line="360" w:lineRule="auto"/>
        <w:jc w:val="both"/>
      </w:pPr>
      <w:r>
        <w:rPr>
          <w:rFonts w:hint="cs"/>
          <w:b/>
          <w:bCs/>
          <w:u w:val="single"/>
          <w:rtl/>
        </w:rPr>
        <w:t>הראיות שהובאו לעניין זה</w:t>
      </w:r>
      <w:r>
        <w:rPr>
          <w:rFonts w:hint="cs"/>
          <w:rtl/>
        </w:rPr>
        <w:t>:</w:t>
      </w:r>
    </w:p>
    <w:p w14:paraId="26C3960F" w14:textId="77777777" w:rsidR="00076894" w:rsidRDefault="00676155">
      <w:pPr>
        <w:pStyle w:val="ListParagraph"/>
        <w:numPr>
          <w:ilvl w:val="1"/>
          <w:numId w:val="2"/>
        </w:numPr>
        <w:spacing w:line="360" w:lineRule="auto"/>
        <w:jc w:val="both"/>
      </w:pPr>
      <w:r>
        <w:rPr>
          <w:rFonts w:hint="cs"/>
          <w:b/>
          <w:bCs/>
          <w:rtl/>
        </w:rPr>
        <w:t>תיעוד המעבדה</w:t>
      </w:r>
      <w:r>
        <w:rPr>
          <w:rFonts w:hint="cs"/>
          <w:rtl/>
        </w:rPr>
        <w:t xml:space="preserve"> (תצלומים תע/1): מדגים את ההשקעה והתחכום הרבים שהצריך גידול הסם באופן זה; את היות הדירה כולה מוקדשת למשימת הגידול; ואת הכמות הגדולה של השתילים;</w:t>
      </w:r>
    </w:p>
    <w:p w14:paraId="38609797" w14:textId="77777777" w:rsidR="00076894" w:rsidRDefault="00676155">
      <w:pPr>
        <w:pStyle w:val="ListParagraph"/>
        <w:numPr>
          <w:ilvl w:val="1"/>
          <w:numId w:val="2"/>
        </w:numPr>
        <w:spacing w:line="360" w:lineRule="auto"/>
        <w:jc w:val="both"/>
      </w:pPr>
      <w:r>
        <w:rPr>
          <w:rFonts w:hint="cs"/>
          <w:b/>
          <w:bCs/>
          <w:rtl/>
        </w:rPr>
        <w:t xml:space="preserve">גרסת הנאשם </w:t>
      </w:r>
      <w:r>
        <w:rPr>
          <w:rFonts w:hint="cs"/>
          <w:rtl/>
        </w:rPr>
        <w:t xml:space="preserve">הובאה בעדותו ובהודעותיו (נע/2, נע/3, נע/4): כבר בהודעתו הראשונה ביום מעצרו מסר הנאשם גרסתו, בה התמיד. </w:t>
      </w:r>
    </w:p>
    <w:p w14:paraId="6CA44309" w14:textId="77777777" w:rsidR="00076894" w:rsidRDefault="00676155">
      <w:pPr>
        <w:spacing w:line="360" w:lineRule="auto"/>
        <w:ind w:left="1080"/>
        <w:jc w:val="both"/>
      </w:pPr>
      <w:r>
        <w:rPr>
          <w:rFonts w:hint="cs"/>
          <w:rtl/>
        </w:rPr>
        <w:t>הנאשם עבד כמתכנת עד שמצבו הרפואי (להלן) מנע ממנו להמשיך לעבוד, ולמעשה לתפקד. לנאשם בת-זוג ולהם שני ילדים משותפים, וכן ילד מקשר קודם.</w:t>
      </w:r>
    </w:p>
    <w:p w14:paraId="74AC9F89" w14:textId="77777777" w:rsidR="00076894" w:rsidRDefault="00676155">
      <w:pPr>
        <w:spacing w:line="360" w:lineRule="auto"/>
        <w:ind w:left="1080"/>
        <w:jc w:val="both"/>
        <w:rPr>
          <w:rtl/>
        </w:rPr>
      </w:pPr>
      <w:r>
        <w:rPr>
          <w:rFonts w:hint="cs"/>
          <w:rtl/>
        </w:rPr>
        <w:t xml:space="preserve">הסחוס ברגלו הימנית נשחק ונעלם, כך שהוא סובל מכאבים עזים שאינם מופגים אלא בגלולות ממכרות של אופיאטים, שמנעו ממנו כליל לתפקד. לכן צרך הנאשם קנאביס, שפעל היטב בשיכוך הכאב, ואף התמכר לחומר. הנאשם מחזיק אמנם בהיתר לקנאביס רפואי, אך לכמות שאינה מספקת </w:t>
      </w:r>
      <w:r>
        <w:rPr>
          <w:rtl/>
        </w:rPr>
        <w:t>–</w:t>
      </w:r>
      <w:r>
        <w:rPr>
          <w:rFonts w:hint="cs"/>
          <w:rtl/>
        </w:rPr>
        <w:t xml:space="preserve"> ההיתר היה ל-20 גרם לחודש והועלה ל-40 גרם לחודש, אך הנאשם צרך כ-15 גרם ליום שהם כחצי קילו לחודש. הנאשם נאלץ אפוא למצוא פתרון לצריכתו העצומה ולכן נטל הלוואה של 100,000 ₪ מאמו, רכש ציוד, </w:t>
      </w:r>
      <w:r>
        <w:rPr>
          <w:rFonts w:hint="cs"/>
          <w:rtl/>
        </w:rPr>
        <w:lastRenderedPageBreak/>
        <w:t>הקים את המעבדה במחצית חודש ספטמבר (לאחר ניסוי בקנה-מידה מצומצם) והחל לגדל. הנאשם רצה להימנע מרכישות תכופות של הסם מעבריינים.</w:t>
      </w:r>
    </w:p>
    <w:p w14:paraId="1D7140EF" w14:textId="77777777" w:rsidR="00076894" w:rsidRDefault="00676155">
      <w:pPr>
        <w:spacing w:line="360" w:lineRule="auto"/>
        <w:ind w:left="1080"/>
        <w:jc w:val="both"/>
        <w:rPr>
          <w:rtl/>
        </w:rPr>
      </w:pPr>
      <w:r>
        <w:rPr>
          <w:rFonts w:hint="cs"/>
          <w:rtl/>
        </w:rPr>
        <w:t>בהודעתו טען הנאשם שקנה את הציוד בחנות בהרצליה (נע/2) ובעדותו טען שקנה את הציוד משומש דרך אתר "יד 2" (פרוט', ע' 12 ש' 16-17). את הידע וכן ציוד נוסף קיבל מחבר ותיק שאת פרטיו לא מסר ומהאינטרנט (חקירה ראשית) או רק מהאינטרנט (חקירה נגדית).</w:t>
      </w:r>
    </w:p>
    <w:p w14:paraId="1CD4D589" w14:textId="77777777" w:rsidR="00076894" w:rsidRDefault="00676155">
      <w:pPr>
        <w:spacing w:line="360" w:lineRule="auto"/>
        <w:ind w:left="1080"/>
        <w:jc w:val="both"/>
        <w:rPr>
          <w:rtl/>
        </w:rPr>
      </w:pPr>
      <w:r>
        <w:rPr>
          <w:rFonts w:hint="cs"/>
          <w:rtl/>
        </w:rPr>
        <w:t>הנאשם תכנן לגדל מחזור אחד גדול ולהפסיק, ולכן גם הודיע על סיום שכירת הדירה.</w:t>
      </w:r>
    </w:p>
    <w:p w14:paraId="2C10B1E7" w14:textId="77777777" w:rsidR="00076894" w:rsidRDefault="00676155">
      <w:pPr>
        <w:spacing w:line="360" w:lineRule="auto"/>
        <w:ind w:left="1080"/>
        <w:jc w:val="both"/>
        <w:rPr>
          <w:rtl/>
        </w:rPr>
      </w:pPr>
      <w:r>
        <w:rPr>
          <w:rFonts w:hint="cs"/>
          <w:rtl/>
        </w:rPr>
        <w:t>הנאשם נהג לעשן רק את תפרחות הצמחים, שבהן מרוכז החומר הפעיל, וציפה להפיק שניים-שלושה קילוגרם חומר לעישון.</w:t>
      </w:r>
    </w:p>
    <w:p w14:paraId="1785A930" w14:textId="77777777" w:rsidR="00076894" w:rsidRDefault="00676155">
      <w:pPr>
        <w:spacing w:line="360" w:lineRule="auto"/>
        <w:ind w:left="1080"/>
        <w:jc w:val="both"/>
        <w:rPr>
          <w:rtl/>
        </w:rPr>
      </w:pPr>
      <w:r>
        <w:rPr>
          <w:rFonts w:hint="cs"/>
          <w:rtl/>
        </w:rPr>
        <w:t>הוצאות הנאשם בגין הגידול כללו את דמי השכירות בסך של 6,000 ₪ לחודש; חשבונות חשמל (כ-2,000 ₪ לחודשיים) מים (כ-1,000 ₪) וארנונה; רכישת הזרעים והציוד בסך 20,000-30,000 ₪ (לדבריו בחקירה ראשית) או 30,000-40,000 ₪ (לדבריו בחקירה נגדית). הנאשם משלם מזונות בסך 2,000 ₪ לחודש. לנאשם ולמשפחתו לא נותרו חסכונות. לדבריו, מקורות ההכנסה שלו ושל משפחתו הם משכורתה של בת-זוגו, כ-8,000 ₪ לחודש ותמיכה ממשפחתו האמידה. בנוסף, השתכר הנאשם עצמו כ-5,000 ₪ מעבודה שיכול היה לעשות, במשרד תיווך. הוצאות הנאשם על הגידול כוסו כולן באמצעות הסכום שקיבל מאמו.</w:t>
      </w:r>
    </w:p>
    <w:p w14:paraId="7DB847BD" w14:textId="77777777" w:rsidR="00076894" w:rsidRDefault="00676155">
      <w:pPr>
        <w:spacing w:line="360" w:lineRule="auto"/>
        <w:ind w:left="1080"/>
        <w:jc w:val="both"/>
        <w:rPr>
          <w:rtl/>
        </w:rPr>
      </w:pPr>
      <w:r>
        <w:rPr>
          <w:rFonts w:hint="cs"/>
          <w:rtl/>
        </w:rPr>
        <w:t xml:space="preserve">משקל שנמצא בדירה שימש לנאשם, לדבריו, לשקילת כמות הסם שהכניס לסיגריות שהכין לעצמו. </w:t>
      </w:r>
    </w:p>
    <w:p w14:paraId="21A50B6F" w14:textId="77777777" w:rsidR="00076894" w:rsidRDefault="00676155">
      <w:pPr>
        <w:spacing w:line="360" w:lineRule="auto"/>
        <w:ind w:left="1080"/>
        <w:jc w:val="both"/>
      </w:pPr>
      <w:r>
        <w:rPr>
          <w:rFonts w:hint="cs"/>
          <w:rtl/>
        </w:rPr>
        <w:t xml:space="preserve">הנאשם נשאל, מה חשב לעשות לאחר שתגמר כמות הסם שגידל. לדבריו, לא תכנן מעבר למספר חודשים ואף שקל להגר למדינה בה הקנאביס חוקי. </w:t>
      </w:r>
    </w:p>
    <w:p w14:paraId="53B458D8" w14:textId="77777777" w:rsidR="00076894" w:rsidRDefault="00676155">
      <w:pPr>
        <w:pStyle w:val="ListParagraph"/>
        <w:numPr>
          <w:ilvl w:val="1"/>
          <w:numId w:val="2"/>
        </w:numPr>
        <w:spacing w:line="360" w:lineRule="auto"/>
        <w:jc w:val="both"/>
      </w:pPr>
      <w:r>
        <w:rPr>
          <w:rFonts w:hint="cs"/>
          <w:b/>
          <w:bCs/>
          <w:rtl/>
        </w:rPr>
        <w:t xml:space="preserve">הודעת בעלת הדירה </w:t>
      </w:r>
      <w:r>
        <w:rPr>
          <w:rFonts w:hint="cs"/>
          <w:rtl/>
        </w:rPr>
        <w:t>(נע/5): לדבריה, כשנה לפני גביית ההודעה (כלומר, תחילת שנת 2013) החליף הנאשם את מנעול הדירה, בהסכמתה, כך שלא תוכל להיכנס לדירה בלי ידיעתו. כיומיים לפני מעצרו בפברואר 2014, הודיע לה הנאשם שמשפחתו והוא יעזבו את הדירה לקראת חודש מארס 2014 ושיש לו שוכר אחר להציע במקומו;</w:t>
      </w:r>
    </w:p>
    <w:p w14:paraId="48C14729" w14:textId="77777777" w:rsidR="00076894" w:rsidRDefault="00676155">
      <w:pPr>
        <w:pStyle w:val="ListParagraph"/>
        <w:numPr>
          <w:ilvl w:val="1"/>
          <w:numId w:val="2"/>
        </w:numPr>
        <w:spacing w:line="360" w:lineRule="auto"/>
        <w:jc w:val="both"/>
      </w:pPr>
      <w:r>
        <w:rPr>
          <w:rFonts w:hint="cs"/>
          <w:b/>
          <w:bCs/>
          <w:rtl/>
        </w:rPr>
        <w:t>עדות אביו של הנאשם, רופא</w:t>
      </w:r>
      <w:r>
        <w:rPr>
          <w:rFonts w:hint="cs"/>
          <w:rtl/>
        </w:rPr>
        <w:t>: האב העיד על מצבו הבריאותי של הנאשם, שהסחוס בירכו הימנית הולך ונשחק, באופן הגורם לו כאבי תופת בכל תנועה ומגביל אותו מאוד. הכאב לא נשלט בגלולות 'רגילות' וחומרים משככי כאב דוגמת מורפין נושאים סכנת התמכרות. הנאשם קיבל ממשרד הבריאות היתר לקנאביס רפואי, אך אמר לאב שגם כמות מוגדלת של 40 גרם לחודש אינה מספיקה לו ושהוא צורך קנאביס מעבר לכמות זו. שני הוריו (הגרושים) של הנאשם הם אמידים, ומסייעים לו כלכלית באופן שוטף בסכומים משתנים.</w:t>
      </w:r>
    </w:p>
    <w:p w14:paraId="39D3D0ED" w14:textId="77777777" w:rsidR="00076894" w:rsidRDefault="00676155">
      <w:pPr>
        <w:pStyle w:val="ListParagraph"/>
        <w:numPr>
          <w:ilvl w:val="1"/>
          <w:numId w:val="2"/>
        </w:numPr>
        <w:spacing w:line="360" w:lineRule="auto"/>
        <w:jc w:val="both"/>
      </w:pPr>
      <w:r>
        <w:rPr>
          <w:rFonts w:hint="cs"/>
          <w:b/>
          <w:bCs/>
          <w:rtl/>
        </w:rPr>
        <w:t>עדות אמו של הנאשם</w:t>
      </w:r>
      <w:r>
        <w:rPr>
          <w:rFonts w:hint="cs"/>
          <w:rtl/>
        </w:rPr>
        <w:t xml:space="preserve"> </w:t>
      </w:r>
      <w:r>
        <w:rPr>
          <w:rFonts w:hint="cs"/>
          <w:b/>
          <w:bCs/>
          <w:rtl/>
        </w:rPr>
        <w:t>ופירוט תנועות בחשבון הנאשם</w:t>
      </w:r>
      <w:r>
        <w:rPr>
          <w:rFonts w:hint="cs"/>
          <w:rtl/>
        </w:rPr>
        <w:t xml:space="preserve"> (נע/1): האם העבירה לחשבונו של הנאשם סך של כמעט 100,000 ₪ ביום 4.8.13. לדבריה, מדובר היה במתנה שלא על-מנת להחזיר. הנאשם לא הסביר לה את מטרת הסכום והיא הניחה שהוא זקוק לכסף, שכן היה נתון בחובות, ועוד הניחה שהכסף נדרש גם לעסק של בת-זוגו (פרוט', ע' 16 ש' 20-21). העדה ציינה שהיא בעלת-אמצעים והיתה נוהגת לתת לנאשם סכומים של עשרות אלפי ₪. </w:t>
      </w:r>
    </w:p>
    <w:p w14:paraId="0E02F68F" w14:textId="77777777" w:rsidR="00076894" w:rsidRDefault="00676155">
      <w:pPr>
        <w:pStyle w:val="ListParagraph"/>
        <w:numPr>
          <w:ilvl w:val="1"/>
          <w:numId w:val="2"/>
        </w:numPr>
        <w:spacing w:line="360" w:lineRule="auto"/>
        <w:jc w:val="both"/>
      </w:pPr>
      <w:r>
        <w:rPr>
          <w:rFonts w:hint="cs"/>
          <w:b/>
          <w:bCs/>
          <w:rtl/>
        </w:rPr>
        <w:t>עדות בת-זוגו של הנאשם</w:t>
      </w:r>
      <w:r>
        <w:rPr>
          <w:rFonts w:hint="cs"/>
          <w:rtl/>
        </w:rPr>
        <w:t>:</w:t>
      </w:r>
      <w:r>
        <w:rPr>
          <w:rFonts w:hint="cs"/>
          <w:b/>
          <w:bCs/>
          <w:rtl/>
        </w:rPr>
        <w:t xml:space="preserve"> </w:t>
      </w:r>
      <w:r>
        <w:rPr>
          <w:rFonts w:hint="cs"/>
          <w:rtl/>
        </w:rPr>
        <w:t xml:space="preserve">זוגתו של הנאשם מסרה שהמשפחה עזבה את הדירה ברמת-גן בחודש ספטמבר 2013, ושלא היתה מודעת לעיסוקו של בעלה בגידול הסם. בשל הכאבים, הנאשם התקשה לתפקד אך סרב לקחת את משככי הכאבים החזקים והממכרים. לכן היה הנאשם צורך כ-15 גרם קנאביס ליום. בת הזוג עובדת כעצמאית ומשתכרת בחודש בין 7,000 ל-10,000 ₪. בקיץ 2013 עבד הנאשם אצל חברו בתיווך והשתכר. המשפחה נתמכת הן על-ידי הוריו של הנאשם והן על-ידי משפחתה האמידה, שמתגוררת בחו"ל ושולחת כסף. </w:t>
      </w:r>
    </w:p>
    <w:p w14:paraId="22B972FD" w14:textId="77777777" w:rsidR="00076894" w:rsidRDefault="00676155">
      <w:pPr>
        <w:pStyle w:val="ListParagraph"/>
        <w:numPr>
          <w:ilvl w:val="0"/>
          <w:numId w:val="2"/>
        </w:numPr>
        <w:spacing w:line="360" w:lineRule="auto"/>
        <w:jc w:val="both"/>
      </w:pPr>
      <w:r>
        <w:rPr>
          <w:rFonts w:hint="cs"/>
          <w:b/>
          <w:bCs/>
          <w:u w:val="single"/>
          <w:rtl/>
        </w:rPr>
        <w:t>מסקנות וקביעת ממצאים:</w:t>
      </w:r>
    </w:p>
    <w:p w14:paraId="3F7D1FBD" w14:textId="77777777" w:rsidR="00076894" w:rsidRDefault="00676155">
      <w:pPr>
        <w:pStyle w:val="ListParagraph"/>
        <w:numPr>
          <w:ilvl w:val="1"/>
          <w:numId w:val="2"/>
        </w:numPr>
        <w:spacing w:line="360" w:lineRule="auto"/>
        <w:jc w:val="both"/>
      </w:pPr>
      <w:r>
        <w:rPr>
          <w:rFonts w:hint="cs"/>
          <w:rtl/>
        </w:rPr>
        <w:t>לעניין מצבו הבריאותי של הנאשם: לא הוצגו מסמכים רפואיים, אולם העדויות שנשמעו לא אותגרו בחקירה נגדית לעניין זה. בנוסף, מתן ההיתר לקנאביס רפואי על-ידי משרד הבריאות מעיד כשלעצמו על קיומה של בעיה רפואית המצדיקה שימוש בחומר. לפיכך, אקבע כממצא מבורר שהנאשם אכן סבל מכאבים קשים ושהשתמש בְּקנאביס לשם הקלתם;</w:t>
      </w:r>
    </w:p>
    <w:p w14:paraId="3E37689B" w14:textId="77777777" w:rsidR="00076894" w:rsidRDefault="00676155">
      <w:pPr>
        <w:pStyle w:val="ListParagraph"/>
        <w:numPr>
          <w:ilvl w:val="1"/>
          <w:numId w:val="2"/>
        </w:numPr>
        <w:spacing w:line="360" w:lineRule="auto"/>
        <w:jc w:val="both"/>
      </w:pPr>
      <w:r>
        <w:rPr>
          <w:rFonts w:hint="cs"/>
          <w:rtl/>
        </w:rPr>
        <w:t>עוד ייקבע כממצא, לעניין מקורות הכנסה של הנאשם, שמשפחותיהם של הנאשם ושל אשתו תמכו בהן כלכלית בסכומים ניכרים, ושאמו של הנאשם העבירה לחשבונו סך של כ-100,000 ₪ בתחילת חודש אוגוסט 2013;</w:t>
      </w:r>
    </w:p>
    <w:p w14:paraId="6EB4DF11" w14:textId="77777777" w:rsidR="00076894" w:rsidRDefault="00676155">
      <w:pPr>
        <w:pStyle w:val="ListParagraph"/>
        <w:numPr>
          <w:ilvl w:val="1"/>
          <w:numId w:val="2"/>
        </w:numPr>
        <w:spacing w:line="360" w:lineRule="auto"/>
        <w:jc w:val="both"/>
      </w:pPr>
      <w:r>
        <w:rPr>
          <w:rFonts w:hint="cs"/>
          <w:rtl/>
        </w:rPr>
        <w:t>עם-זאת, לא הוסרו תמיהות משמעותיות ביותר, ובמסכת ההגנה חורים ראייתיים המעוררים חשדות כבדים:</w:t>
      </w:r>
    </w:p>
    <w:p w14:paraId="2BDE8A6F" w14:textId="77777777" w:rsidR="00076894" w:rsidRDefault="00676155">
      <w:pPr>
        <w:spacing w:line="360" w:lineRule="auto"/>
        <w:ind w:left="1080"/>
        <w:jc w:val="both"/>
        <w:rPr>
          <w:rtl/>
        </w:rPr>
      </w:pPr>
      <w:r>
        <w:rPr>
          <w:rFonts w:hint="cs"/>
          <w:i/>
          <w:iCs/>
          <w:rtl/>
        </w:rPr>
        <w:t>ראשית</w:t>
      </w:r>
      <w:r>
        <w:rPr>
          <w:rFonts w:hint="cs"/>
          <w:rtl/>
        </w:rPr>
        <w:t>, הדף הבודד שנמסר לבית המשפט מפלט התנועות בחשבונו של הנאשם מלמד אמנם על קבלת הסכום מהאם, אך לא מגלה דבר על דרך הוצאת הסכום, ובוודאי שלא מעיד על שימוש בו לצרכי רכישת הציוד והפעלת ה"מעבדה". מאותו דף בודד שהינו חלק מפלט שלם, שלא הוצג, לא ניתן אפוא ללמוד דבר;</w:t>
      </w:r>
    </w:p>
    <w:p w14:paraId="13719686" w14:textId="77777777" w:rsidR="00076894" w:rsidRDefault="00676155">
      <w:pPr>
        <w:spacing w:line="360" w:lineRule="auto"/>
        <w:ind w:left="1080"/>
        <w:jc w:val="both"/>
        <w:rPr>
          <w:rtl/>
        </w:rPr>
      </w:pPr>
      <w:r>
        <w:rPr>
          <w:rFonts w:hint="cs"/>
          <w:i/>
          <w:iCs/>
          <w:rtl/>
        </w:rPr>
        <w:t>שנית</w:t>
      </w:r>
      <w:r>
        <w:rPr>
          <w:rFonts w:hint="cs"/>
          <w:rtl/>
        </w:rPr>
        <w:t>, אמו של הנאשם העידה כי לנאשם היו חובות, וכי נזקק לסיועה הכספי מדי פעם;</w:t>
      </w:r>
    </w:p>
    <w:p w14:paraId="07A85020" w14:textId="77777777" w:rsidR="00076894" w:rsidRDefault="00676155">
      <w:pPr>
        <w:spacing w:line="360" w:lineRule="auto"/>
        <w:ind w:left="1080"/>
        <w:jc w:val="both"/>
        <w:rPr>
          <w:rtl/>
        </w:rPr>
      </w:pPr>
      <w:r>
        <w:rPr>
          <w:rFonts w:hint="cs"/>
          <w:i/>
          <w:iCs/>
          <w:rtl/>
        </w:rPr>
        <w:t>שלישית</w:t>
      </w:r>
      <w:r>
        <w:rPr>
          <w:rFonts w:hint="cs"/>
          <w:rtl/>
        </w:rPr>
        <w:t xml:space="preserve">, וככלל </w:t>
      </w:r>
      <w:r>
        <w:rPr>
          <w:rtl/>
        </w:rPr>
        <w:t>–</w:t>
      </w:r>
      <w:r>
        <w:rPr>
          <w:rFonts w:hint="cs"/>
          <w:rtl/>
        </w:rPr>
        <w:t xml:space="preserve"> לא הוסרה כלל העמימות לעניין ההכנסות וההוצאות של הנאשם. הנאשם לא טרח, אף שההגנה ידעה היטב את חשיבות הדבר, להציג בפירוט ולהסביר את מקורות ההכנסה של משפחת הנאשם, התומך גם בילד נוסף. ניסיונות לקבל מידע ולהבין עניין זה נתקלו בתשובות מעורפלות ומרחיקות, דווקא היכן שניתן היה להציג תנועות חשבון והעברות מתועדות;</w:t>
      </w:r>
    </w:p>
    <w:p w14:paraId="5F168D00" w14:textId="77777777" w:rsidR="00076894" w:rsidRDefault="00676155">
      <w:pPr>
        <w:spacing w:line="360" w:lineRule="auto"/>
        <w:ind w:left="1080"/>
        <w:jc w:val="both"/>
        <w:rPr>
          <w:rtl/>
        </w:rPr>
      </w:pPr>
      <w:r>
        <w:rPr>
          <w:rFonts w:hint="cs"/>
          <w:i/>
          <w:iCs/>
          <w:rtl/>
        </w:rPr>
        <w:t>רביעית</w:t>
      </w:r>
      <w:r>
        <w:rPr>
          <w:rFonts w:hint="cs"/>
          <w:rtl/>
        </w:rPr>
        <w:t xml:space="preserve">, תשובותיו של הנאשם בעניינים מהותיים היו מערפלות ומטשטשות </w:t>
      </w:r>
      <w:r>
        <w:rPr>
          <w:rtl/>
        </w:rPr>
        <w:t>–</w:t>
      </w:r>
      <w:r>
        <w:rPr>
          <w:rFonts w:hint="cs"/>
          <w:rtl/>
        </w:rPr>
        <w:t xml:space="preserve"> כך לגבי מקור הציוד (חנות בהרצליה? יד שניה דרך אתר באינטרנט?) ומקור הידע (האם היה חבר מעורב או לא?). כמובן, שלא הובאה כל ראיה אובייקטיבית וזמינה-לכאורה כתיעוד בנקאי, תיעוד לתשלום או תכתובת אינטרנטית/ דוא"ל;</w:t>
      </w:r>
    </w:p>
    <w:p w14:paraId="7F2C2DBC" w14:textId="77777777" w:rsidR="00076894" w:rsidRDefault="00676155">
      <w:pPr>
        <w:spacing w:line="360" w:lineRule="auto"/>
        <w:ind w:left="1080"/>
        <w:jc w:val="both"/>
        <w:rPr>
          <w:rtl/>
        </w:rPr>
      </w:pPr>
      <w:r>
        <w:rPr>
          <w:rFonts w:hint="cs"/>
          <w:i/>
          <w:iCs/>
          <w:rtl/>
        </w:rPr>
        <w:t>חמישית</w:t>
      </w:r>
      <w:r>
        <w:rPr>
          <w:rFonts w:hint="cs"/>
          <w:rtl/>
        </w:rPr>
        <w:t>, מציאותו במעבדה של משקל מתאים לשקילת סם מעוררת חשד כבד כשלעצמה. לא ברור כלל, מדוע נדרש הנאשם לדיוק כה-רב בהכנת סיגריות לשימושו העצמי, עד-כדי הזקקות למשקל;</w:t>
      </w:r>
    </w:p>
    <w:p w14:paraId="5CE38559" w14:textId="77777777" w:rsidR="00076894" w:rsidRDefault="00676155">
      <w:pPr>
        <w:spacing w:line="360" w:lineRule="auto"/>
        <w:ind w:left="1080"/>
        <w:jc w:val="both"/>
        <w:rPr>
          <w:rtl/>
        </w:rPr>
      </w:pPr>
      <w:r>
        <w:rPr>
          <w:rFonts w:hint="cs"/>
          <w:i/>
          <w:iCs/>
          <w:rtl/>
        </w:rPr>
        <w:t>שישית</w:t>
      </w:r>
      <w:r>
        <w:rPr>
          <w:rFonts w:hint="cs"/>
          <w:rtl/>
        </w:rPr>
        <w:t>, הנאשם לא הביא ראיה זמינה ואובייקטיבית להוכחת מידת הזדקקותו לכמויות אדירות אלו של סם: לדבריו, הרופאה המטפלת בו שמעה את תלונותיו החוזרות לעניין זה, אך הוא נמנע מלבקש ממנה להעיד או למסור חוות דעת מחמת בושה. למעשה, מסתבר כי לאחר שחרורו ממעצר מסתדר הנאשם ומצליח לשמור על תפקוד יציב גם עם כמות הקנאביס שהותרה לו (דבריו שהובאו בתסקיר, ע' 2). הנאשם העיד כי צרך כמות יומית גדולה פי מאות מונים מזו שנמצאה מתאימה על-ידי גורמים רפואיים והוכחה כיום כמספקת. נטל השכנוע כי אכן נצרכה כמות כזו וכי אכן היה לכך מעין-הצדקה רפואית הינו כבד, ולא הורם;</w:t>
      </w:r>
    </w:p>
    <w:p w14:paraId="1F7F9182" w14:textId="77777777" w:rsidR="00076894" w:rsidRDefault="00676155">
      <w:pPr>
        <w:pStyle w:val="ListParagraph"/>
        <w:numPr>
          <w:ilvl w:val="1"/>
          <w:numId w:val="2"/>
        </w:numPr>
        <w:spacing w:line="360" w:lineRule="auto"/>
        <w:jc w:val="both"/>
      </w:pPr>
      <w:r>
        <w:rPr>
          <w:rFonts w:hint="cs"/>
          <w:rtl/>
        </w:rPr>
        <w:t>לנוכח האמור, אינני נותן אמון בגרסת הנאשם, לפיה גודל הסם אך ורק לשימושו העצמי: כמות הסם, המשאבים שהושקעו, היעדר הסבר ברור למקורות המימון מחד גיסא והציוד מאידך גיסא, ערפול וטשטוש בנקודות מהותיות, הימנעות מהבאת ראיות</w:t>
      </w:r>
      <w:r>
        <w:rPr>
          <w:rStyle w:val="a8"/>
          <w:rtl/>
        </w:rPr>
        <w:footnoteReference w:id="1"/>
      </w:r>
      <w:r>
        <w:rPr>
          <w:rFonts w:hint="cs"/>
          <w:rtl/>
        </w:rPr>
        <w:t xml:space="preserve"> ויתר הנמנה לעיל, מחייבים דחיית גרסה מיתממת זו;</w:t>
      </w:r>
    </w:p>
    <w:p w14:paraId="7BFDEA76" w14:textId="77777777" w:rsidR="00076894" w:rsidRDefault="00676155">
      <w:pPr>
        <w:pStyle w:val="ListParagraph"/>
        <w:numPr>
          <w:ilvl w:val="0"/>
          <w:numId w:val="2"/>
        </w:numPr>
        <w:spacing w:line="360" w:lineRule="auto"/>
        <w:jc w:val="both"/>
      </w:pPr>
      <w:r>
        <w:rPr>
          <w:rFonts w:hint="cs"/>
          <w:rtl/>
        </w:rPr>
        <w:t>אני קובע אפוא כי הסם שגודל לא נועד רק לשימוש עצמי;</w:t>
      </w:r>
    </w:p>
    <w:p w14:paraId="5718A096" w14:textId="77777777" w:rsidR="00076894" w:rsidRDefault="00076894">
      <w:pPr>
        <w:spacing w:line="360" w:lineRule="auto"/>
        <w:jc w:val="both"/>
        <w:rPr>
          <w:rtl/>
        </w:rPr>
      </w:pPr>
    </w:p>
    <w:p w14:paraId="66D56DBC" w14:textId="77777777" w:rsidR="00076894" w:rsidRDefault="00676155">
      <w:pPr>
        <w:spacing w:line="360" w:lineRule="auto"/>
        <w:jc w:val="both"/>
        <w:rPr>
          <w:rtl/>
        </w:rPr>
      </w:pPr>
      <w:r>
        <w:rPr>
          <w:rFonts w:hint="cs"/>
          <w:b/>
          <w:bCs/>
          <w:u w:val="single"/>
          <w:rtl/>
        </w:rPr>
        <w:t xml:space="preserve">נסיבות הקשורות בעבירה </w:t>
      </w:r>
      <w:r>
        <w:rPr>
          <w:b/>
          <w:bCs/>
          <w:u w:val="single"/>
          <w:rtl/>
        </w:rPr>
        <w:t>–</w:t>
      </w:r>
      <w:r>
        <w:rPr>
          <w:rFonts w:hint="cs"/>
          <w:b/>
          <w:bCs/>
          <w:u w:val="single"/>
          <w:rtl/>
        </w:rPr>
        <w:t xml:space="preserve"> קביעת מתחם העונש ההולם:</w:t>
      </w:r>
    </w:p>
    <w:p w14:paraId="24DFBDEF" w14:textId="77777777" w:rsidR="00076894" w:rsidRDefault="00676155">
      <w:pPr>
        <w:numPr>
          <w:ilvl w:val="0"/>
          <w:numId w:val="3"/>
        </w:numPr>
        <w:spacing w:line="360" w:lineRule="auto"/>
        <w:jc w:val="both"/>
        <w:rPr>
          <w:rFonts w:ascii="Arial" w:hAnsi="Arial"/>
          <w:rtl/>
        </w:rPr>
      </w:pPr>
      <w:r>
        <w:rPr>
          <w:rFonts w:ascii="Arial" w:hAnsi="Arial"/>
          <w:rtl/>
        </w:rPr>
        <w:t xml:space="preserve">כידוע, פגיעתם של הסמים בחברה אינה נקודתית, אלא משתרעת על מרחבים וזמנים נרחבים: נפגע הצרכן המתמכר, נפגעת משפחתו, נפגעים אלו הניזוקים מפעילותו הפלילית של הצרכן המבקש לספק את הדחף לסם, ובנוסף – מעגלי היצור והשיווק של הסם מייצרים כשלעצמם פעילות עבריינית הנלווית לעצם העיסוק בסם, והרווחים העצומים מגיעים לעתים קרובות לארגוני פשע וטרור ומאפשרים את פעילותם הפוגענית. </w:t>
      </w:r>
    </w:p>
    <w:p w14:paraId="36863E3C" w14:textId="77777777" w:rsidR="00076894" w:rsidRDefault="00676155">
      <w:pPr>
        <w:numPr>
          <w:ilvl w:val="0"/>
          <w:numId w:val="3"/>
        </w:numPr>
        <w:spacing w:line="360" w:lineRule="auto"/>
        <w:jc w:val="both"/>
        <w:rPr>
          <w:rFonts w:ascii="Arial" w:hAnsi="Arial"/>
          <w:rtl/>
        </w:rPr>
      </w:pPr>
      <w:r>
        <w:rPr>
          <w:rFonts w:ascii="Arial" w:hAnsi="Arial"/>
          <w:rtl/>
        </w:rPr>
        <w:t>במקרה דנן מדובר בגידולו של סם "קל" מסוג קנביס, כך שחלקם של הנזקים המלווים את העיסוק בסמים אחרים אינם רלוונטיים. עם זאת, גם פעילות זו אסורה ומזיקה, ויש אפוא ל</w:t>
      </w:r>
      <w:r>
        <w:rPr>
          <w:rFonts w:ascii="Arial" w:hAnsi="Arial" w:hint="cs"/>
          <w:rtl/>
        </w:rPr>
        <w:t>תת משקל ל</w:t>
      </w:r>
      <w:r>
        <w:rPr>
          <w:rFonts w:ascii="Arial" w:hAnsi="Arial"/>
          <w:rtl/>
        </w:rPr>
        <w:t>היקפיה, הפוטנציאליים והקונקרטיים.</w:t>
      </w:r>
    </w:p>
    <w:p w14:paraId="570E576A" w14:textId="77777777" w:rsidR="00076894" w:rsidRDefault="00676155">
      <w:pPr>
        <w:numPr>
          <w:ilvl w:val="0"/>
          <w:numId w:val="3"/>
        </w:numPr>
        <w:spacing w:line="360" w:lineRule="auto"/>
        <w:jc w:val="both"/>
        <w:rPr>
          <w:rFonts w:ascii="Arial" w:hAnsi="Arial"/>
          <w:rtl/>
        </w:rPr>
      </w:pPr>
      <w:r>
        <w:rPr>
          <w:rFonts w:ascii="Arial" w:hAnsi="Arial"/>
          <w:rtl/>
        </w:rPr>
        <w:t>מדובר בביצוע עבירה מתוכננת, שבוצעה לאורך זמן תוך השקעת מחשבה ומשאבים, כפי שמעידים התצלומים של ה"מעבדה". הכמות בה מדובר היא של שתילים רבים מאוד, וכך גם כמות הסם היא עצומה, ואין כמראה עיניים – תיעוד צילומי של המעבדה ו</w:t>
      </w:r>
      <w:r>
        <w:rPr>
          <w:rFonts w:ascii="Arial" w:hAnsi="Arial" w:hint="cs"/>
          <w:rtl/>
        </w:rPr>
        <w:t>השתילים</w:t>
      </w:r>
      <w:r>
        <w:rPr>
          <w:rFonts w:ascii="Arial" w:hAnsi="Arial"/>
          <w:rtl/>
        </w:rPr>
        <w:t xml:space="preserve"> (תע/1). עם-זאת יש לזכור, כי בעוד שהמחוקק קבע כי כל חלק מצמח הקנביס הוא "סם", נצרכים בפועל רק חלקים מסוימים של הצמח</w:t>
      </w:r>
      <w:r>
        <w:rPr>
          <w:rFonts w:ascii="Arial" w:hAnsi="Arial" w:hint="cs"/>
          <w:rtl/>
        </w:rPr>
        <w:t>.</w:t>
      </w:r>
    </w:p>
    <w:p w14:paraId="5C3C729F" w14:textId="77777777" w:rsidR="00076894" w:rsidRDefault="00676155">
      <w:pPr>
        <w:numPr>
          <w:ilvl w:val="0"/>
          <w:numId w:val="3"/>
        </w:numPr>
        <w:spacing w:line="360" w:lineRule="auto"/>
        <w:jc w:val="both"/>
        <w:rPr>
          <w:rFonts w:ascii="Arial" w:hAnsi="Arial"/>
        </w:rPr>
      </w:pPr>
      <w:r>
        <w:rPr>
          <w:rFonts w:ascii="Arial" w:hAnsi="Arial"/>
          <w:rtl/>
        </w:rPr>
        <w:t>גידול הסם וייצורו נעשו על-ידי הנאשם באופן "</w:t>
      </w:r>
      <w:r>
        <w:rPr>
          <w:rFonts w:ascii="Arial" w:hAnsi="Arial" w:hint="cs"/>
          <w:rtl/>
        </w:rPr>
        <w:t>מתועש</w:t>
      </w:r>
      <w:r>
        <w:rPr>
          <w:rFonts w:ascii="Arial" w:hAnsi="Arial"/>
          <w:rtl/>
        </w:rPr>
        <w:t>"</w:t>
      </w:r>
      <w:r>
        <w:rPr>
          <w:rFonts w:ascii="Arial" w:hAnsi="Arial" w:hint="cs"/>
          <w:rtl/>
        </w:rPr>
        <w:t xml:space="preserve"> (או "חקלאי")</w:t>
      </w:r>
      <w:r>
        <w:rPr>
          <w:rFonts w:ascii="Arial" w:hAnsi="Arial"/>
          <w:rtl/>
        </w:rPr>
        <w:t xml:space="preserve">, </w:t>
      </w:r>
      <w:r>
        <w:rPr>
          <w:rFonts w:ascii="Arial" w:hAnsi="Arial" w:hint="cs"/>
          <w:rtl/>
        </w:rPr>
        <w:t xml:space="preserve">ודחיתי את טענתו כביכול כיוֵן לשימוש עצמי בלבד. אבהיר כי גם אם הייתי נותן אמון בטענתו, לא היה בכך כדי לשנות הרבה לעניין חומרת המעשים והנזק הפוטנציאלי שבהם: </w:t>
      </w:r>
      <w:r>
        <w:rPr>
          <w:rFonts w:ascii="Arial" w:hAnsi="Arial"/>
          <w:rtl/>
        </w:rPr>
        <w:t>אפילו כשמטרת הגידול הנה שימוש עצמי רפואי, אין בכך כדי להקל במשמעות המעשים ואין לקבוע מתחם נמוך מהמקובל, ורא</w:t>
      </w:r>
      <w:r>
        <w:rPr>
          <w:rFonts w:ascii="Arial" w:hAnsi="Arial" w:hint="cs"/>
          <w:rtl/>
        </w:rPr>
        <w:t xml:space="preserve">ו </w:t>
      </w:r>
      <w:hyperlink r:id="rId16" w:history="1">
        <w:r w:rsidRPr="00676155">
          <w:rPr>
            <w:rFonts w:ascii="Arial" w:hAnsi="Arial"/>
            <w:color w:val="0000FF"/>
            <w:u w:val="single"/>
            <w:rtl/>
          </w:rPr>
          <w:t>עפ"ג 39588-03-14</w:t>
        </w:r>
      </w:hyperlink>
      <w:r>
        <w:rPr>
          <w:rFonts w:ascii="Arial" w:hAnsi="Arial" w:hint="cs"/>
          <w:rtl/>
        </w:rPr>
        <w:t xml:space="preserve"> </w:t>
      </w:r>
      <w:r>
        <w:rPr>
          <w:rFonts w:ascii="Arial" w:hAnsi="Arial"/>
          <w:b/>
          <w:bCs/>
          <w:rtl/>
        </w:rPr>
        <w:t>דגן נ' מ.י.</w:t>
      </w:r>
      <w:r>
        <w:rPr>
          <w:sz w:val="22"/>
          <w:rtl/>
        </w:rPr>
        <w:t xml:space="preserve"> </w:t>
      </w:r>
      <w:r>
        <w:rPr>
          <w:rFonts w:ascii="Arial" w:hAnsi="Arial"/>
          <w:rtl/>
        </w:rPr>
        <w:t>(2014)</w:t>
      </w:r>
      <w:r>
        <w:rPr>
          <w:rFonts w:ascii="Arial" w:hAnsi="Arial" w:hint="cs"/>
          <w:rtl/>
        </w:rPr>
        <w:t xml:space="preserve"> ובדומה </w:t>
      </w:r>
      <w:hyperlink r:id="rId17" w:history="1">
        <w:r w:rsidRPr="00676155">
          <w:rPr>
            <w:rFonts w:ascii="Arial" w:hAnsi="Arial"/>
            <w:color w:val="0000FF"/>
            <w:u w:val="single"/>
            <w:rtl/>
          </w:rPr>
          <w:t>ת"פ 5391-02-14</w:t>
        </w:r>
      </w:hyperlink>
      <w:r>
        <w:rPr>
          <w:rFonts w:ascii="Arial" w:hAnsi="Arial" w:hint="cs"/>
          <w:rtl/>
        </w:rPr>
        <w:t xml:space="preserve"> </w:t>
      </w:r>
      <w:r>
        <w:rPr>
          <w:rFonts w:ascii="Arial" w:hAnsi="Arial" w:hint="cs"/>
          <w:b/>
          <w:bCs/>
          <w:rtl/>
        </w:rPr>
        <w:t>מ.י. נ' חנא</w:t>
      </w:r>
      <w:r>
        <w:rPr>
          <w:rFonts w:ascii="Arial" w:hAnsi="Arial" w:hint="cs"/>
          <w:rtl/>
        </w:rPr>
        <w:t xml:space="preserve"> (2015)</w:t>
      </w:r>
      <w:r>
        <w:rPr>
          <w:rStyle w:val="a8"/>
          <w:rFonts w:ascii="Arial" w:hAnsi="Arial"/>
          <w:rtl/>
        </w:rPr>
        <w:footnoteReference w:id="2"/>
      </w:r>
      <w:r>
        <w:rPr>
          <w:rFonts w:ascii="Arial" w:hAnsi="Arial" w:hint="cs"/>
          <w:rtl/>
        </w:rPr>
        <w:t>.</w:t>
      </w:r>
    </w:p>
    <w:p w14:paraId="160613EF" w14:textId="77777777" w:rsidR="00076894" w:rsidRDefault="00676155">
      <w:pPr>
        <w:pStyle w:val="ListParagraph"/>
        <w:numPr>
          <w:ilvl w:val="0"/>
          <w:numId w:val="3"/>
        </w:numPr>
        <w:tabs>
          <w:tab w:val="left" w:pos="2268"/>
        </w:tabs>
        <w:spacing w:line="360" w:lineRule="auto"/>
        <w:jc w:val="both"/>
        <w:rPr>
          <w:rFonts w:ascii="Arial" w:hAnsi="Arial"/>
        </w:rPr>
      </w:pPr>
      <w:r>
        <w:rPr>
          <w:rFonts w:ascii="Arial" w:hAnsi="Arial" w:hint="cs"/>
          <w:rtl/>
        </w:rPr>
        <w:t xml:space="preserve">עיון בפסיקה מלמד כי העונש העיקרי המוטל ברגיל, ובאופן עקיב, בגין החזקת קנביס או גידולו בכמויות בסדרי גודל של קילוגרמים רבים ועד 20 קילוגרם ויותר, הינו של מאסר בפועל, שאינו פחוּת משמונה או עשרה חודשים ועד לשנתיים, וראו למשל </w:t>
      </w:r>
      <w:hyperlink r:id="rId18" w:history="1">
        <w:r w:rsidRPr="00676155">
          <w:rPr>
            <w:rFonts w:ascii="Arial" w:hAnsi="Arial"/>
            <w:color w:val="0000FF"/>
            <w:u w:val="single"/>
            <w:rtl/>
          </w:rPr>
          <w:t>ע"פ (נצ') 1371/05</w:t>
        </w:r>
      </w:hyperlink>
      <w:r>
        <w:rPr>
          <w:rFonts w:ascii="Arial" w:hAnsi="Arial" w:hint="cs"/>
          <w:rtl/>
        </w:rPr>
        <w:t xml:space="preserve"> </w:t>
      </w:r>
      <w:r>
        <w:rPr>
          <w:rFonts w:ascii="Arial" w:hAnsi="Arial" w:hint="cs"/>
          <w:b/>
          <w:bCs/>
          <w:rtl/>
        </w:rPr>
        <w:t>שינגאמונג נגד מ.י.</w:t>
      </w:r>
      <w:r>
        <w:rPr>
          <w:rFonts w:ascii="Arial" w:hAnsi="Arial" w:hint="cs"/>
          <w:rtl/>
        </w:rPr>
        <w:t xml:space="preserve"> (2006), </w:t>
      </w:r>
      <w:hyperlink r:id="rId19" w:history="1">
        <w:r w:rsidR="00DD6078" w:rsidRPr="00DD6078">
          <w:rPr>
            <w:rFonts w:ascii="Arial" w:hAnsi="Arial"/>
            <w:color w:val="0000FF"/>
            <w:u w:val="single"/>
            <w:rtl/>
          </w:rPr>
          <w:t xml:space="preserve">ע"פ 52810-07-10 </w:t>
        </w:r>
      </w:hyperlink>
      <w:r>
        <w:rPr>
          <w:rFonts w:ascii="Arial" w:hAnsi="Arial" w:hint="cs"/>
          <w:rtl/>
        </w:rPr>
        <w:t xml:space="preserve"> </w:t>
      </w:r>
      <w:r>
        <w:rPr>
          <w:rFonts w:ascii="Arial" w:hAnsi="Arial" w:hint="cs"/>
          <w:b/>
          <w:bCs/>
          <w:rtl/>
        </w:rPr>
        <w:t>עזריה נגד מ.י.</w:t>
      </w:r>
      <w:r>
        <w:rPr>
          <w:rFonts w:ascii="Arial" w:hAnsi="Arial" w:hint="cs"/>
          <w:rtl/>
        </w:rPr>
        <w:t xml:space="preserve"> (2010), </w:t>
      </w:r>
      <w:hyperlink r:id="rId20" w:history="1">
        <w:r w:rsidRPr="00676155">
          <w:rPr>
            <w:rFonts w:ascii="Arial" w:hAnsi="Arial"/>
            <w:color w:val="0000FF"/>
            <w:u w:val="single"/>
            <w:rtl/>
          </w:rPr>
          <w:t>ת"פ (מחוזי מרכז) 32746-11-09</w:t>
        </w:r>
      </w:hyperlink>
      <w:r>
        <w:rPr>
          <w:rFonts w:ascii="Arial" w:hAnsi="Arial" w:hint="cs"/>
          <w:rtl/>
        </w:rPr>
        <w:t xml:space="preserve"> </w:t>
      </w:r>
      <w:r>
        <w:rPr>
          <w:rFonts w:ascii="Arial" w:hAnsi="Arial" w:hint="cs"/>
          <w:b/>
          <w:bCs/>
          <w:rtl/>
        </w:rPr>
        <w:t xml:space="preserve">מ.י. נגד ביטון </w:t>
      </w:r>
      <w:r>
        <w:rPr>
          <w:rFonts w:ascii="Arial" w:hAnsi="Arial" w:hint="cs"/>
          <w:rtl/>
        </w:rPr>
        <w:t xml:space="preserve">(2010) – לעניין </w:t>
      </w:r>
      <w:r>
        <w:rPr>
          <w:rFonts w:ascii="Arial" w:hAnsi="Arial" w:hint="cs"/>
          <w:u w:val="single"/>
          <w:rtl/>
        </w:rPr>
        <w:t>90 קילוגרם ויותר</w:t>
      </w:r>
      <w:r>
        <w:rPr>
          <w:rFonts w:ascii="Arial" w:hAnsi="Arial" w:hint="cs"/>
          <w:rtl/>
        </w:rPr>
        <w:t xml:space="preserve">, </w:t>
      </w:r>
      <w:hyperlink r:id="rId21" w:history="1">
        <w:r w:rsidRPr="00676155">
          <w:rPr>
            <w:rFonts w:ascii="Arial" w:hAnsi="Arial"/>
            <w:color w:val="0000FF"/>
            <w:u w:val="single"/>
            <w:rtl/>
          </w:rPr>
          <w:t>ת"פ (מחוזי מרכז) 2456-07-10</w:t>
        </w:r>
      </w:hyperlink>
      <w:r>
        <w:rPr>
          <w:rFonts w:ascii="Arial" w:hAnsi="Arial" w:hint="cs"/>
          <w:rtl/>
        </w:rPr>
        <w:t xml:space="preserve"> </w:t>
      </w:r>
      <w:r>
        <w:rPr>
          <w:rFonts w:ascii="Arial" w:hAnsi="Arial" w:hint="cs"/>
          <w:b/>
          <w:bCs/>
          <w:rtl/>
        </w:rPr>
        <w:t>מ.י. נ' תבל</w:t>
      </w:r>
      <w:r>
        <w:rPr>
          <w:rFonts w:ascii="Arial" w:hAnsi="Arial" w:hint="cs"/>
          <w:rtl/>
        </w:rPr>
        <w:t xml:space="preserve"> (2011), </w:t>
      </w:r>
      <w:hyperlink r:id="rId22" w:history="1">
        <w:r w:rsidRPr="00676155">
          <w:rPr>
            <w:rFonts w:ascii="Arial" w:hAnsi="Arial"/>
            <w:color w:val="0000FF"/>
            <w:u w:val="single"/>
            <w:rtl/>
          </w:rPr>
          <w:t>ת"פ 29401-11-12</w:t>
        </w:r>
      </w:hyperlink>
      <w:r>
        <w:rPr>
          <w:rFonts w:ascii="Arial" w:hAnsi="Arial" w:hint="cs"/>
          <w:rtl/>
        </w:rPr>
        <w:t xml:space="preserve"> </w:t>
      </w:r>
      <w:r>
        <w:rPr>
          <w:rFonts w:ascii="Arial" w:hAnsi="Arial" w:hint="cs"/>
          <w:b/>
          <w:bCs/>
          <w:rtl/>
        </w:rPr>
        <w:t>מ.י. נ' לוי</w:t>
      </w:r>
      <w:r>
        <w:rPr>
          <w:rFonts w:ascii="Arial" w:hAnsi="Arial" w:hint="cs"/>
          <w:rtl/>
        </w:rPr>
        <w:t xml:space="preserve"> (2013), </w:t>
      </w:r>
      <w:hyperlink r:id="rId23" w:history="1">
        <w:r w:rsidRPr="00676155">
          <w:rPr>
            <w:rFonts w:ascii="Arial" w:hAnsi="Arial"/>
            <w:color w:val="0000FF"/>
            <w:u w:val="single"/>
            <w:rtl/>
          </w:rPr>
          <w:t>ת"פ 32887-11-12</w:t>
        </w:r>
      </w:hyperlink>
      <w:r>
        <w:rPr>
          <w:rFonts w:ascii="Arial" w:hAnsi="Arial" w:hint="cs"/>
          <w:rtl/>
        </w:rPr>
        <w:t xml:space="preserve"> </w:t>
      </w:r>
      <w:r>
        <w:rPr>
          <w:rFonts w:ascii="Arial" w:hAnsi="Arial" w:hint="cs"/>
          <w:b/>
          <w:bCs/>
          <w:rtl/>
        </w:rPr>
        <w:t>מ.י. נ' קדשני</w:t>
      </w:r>
      <w:r>
        <w:rPr>
          <w:rFonts w:ascii="Arial" w:hAnsi="Arial" w:hint="cs"/>
          <w:rtl/>
        </w:rPr>
        <w:t xml:space="preserve"> (2013), </w:t>
      </w:r>
      <w:hyperlink r:id="rId24" w:history="1">
        <w:r w:rsidRPr="00676155">
          <w:rPr>
            <w:rFonts w:ascii="Arial" w:hAnsi="Arial"/>
            <w:color w:val="0000FF"/>
            <w:u w:val="single"/>
            <w:rtl/>
          </w:rPr>
          <w:t>ת"פ 31318-06-13</w:t>
        </w:r>
      </w:hyperlink>
      <w:r>
        <w:rPr>
          <w:rFonts w:ascii="Arial" w:hAnsi="Arial" w:hint="cs"/>
          <w:rtl/>
        </w:rPr>
        <w:t xml:space="preserve"> </w:t>
      </w:r>
      <w:r>
        <w:rPr>
          <w:rFonts w:ascii="Arial" w:hAnsi="Arial" w:hint="cs"/>
          <w:b/>
          <w:bCs/>
          <w:rtl/>
        </w:rPr>
        <w:t>מ.י. נגד בוחבוט</w:t>
      </w:r>
      <w:r>
        <w:rPr>
          <w:rFonts w:ascii="Arial" w:hAnsi="Arial" w:hint="cs"/>
          <w:rtl/>
        </w:rPr>
        <w:t xml:space="preserve"> (2013), </w:t>
      </w:r>
      <w:hyperlink r:id="rId25" w:history="1">
        <w:r w:rsidRPr="00676155">
          <w:rPr>
            <w:rFonts w:ascii="Arial" w:hAnsi="Arial"/>
            <w:color w:val="0000FF"/>
            <w:u w:val="single"/>
            <w:rtl/>
          </w:rPr>
          <w:t>ת"פ 16958-01-14</w:t>
        </w:r>
      </w:hyperlink>
      <w:r>
        <w:rPr>
          <w:rFonts w:ascii="Arial" w:hAnsi="Arial" w:hint="cs"/>
          <w:rtl/>
        </w:rPr>
        <w:t xml:space="preserve"> </w:t>
      </w:r>
      <w:r>
        <w:rPr>
          <w:rFonts w:ascii="Arial" w:hAnsi="Arial" w:hint="cs"/>
          <w:b/>
          <w:bCs/>
          <w:rtl/>
        </w:rPr>
        <w:t>מ.י. נ' חייק</w:t>
      </w:r>
      <w:r>
        <w:rPr>
          <w:rFonts w:ascii="Arial" w:hAnsi="Arial" w:hint="cs"/>
          <w:rtl/>
        </w:rPr>
        <w:t xml:space="preserve"> (2014), </w:t>
      </w:r>
      <w:hyperlink r:id="rId26" w:history="1">
        <w:r w:rsidRPr="00676155">
          <w:rPr>
            <w:rFonts w:ascii="Arial" w:hAnsi="Arial"/>
            <w:color w:val="0000FF"/>
            <w:u w:val="single"/>
            <w:rtl/>
          </w:rPr>
          <w:t>ת"פ 6367-02-14</w:t>
        </w:r>
      </w:hyperlink>
      <w:r>
        <w:rPr>
          <w:rFonts w:ascii="Arial" w:hAnsi="Arial" w:hint="cs"/>
          <w:rtl/>
        </w:rPr>
        <w:t xml:space="preserve"> </w:t>
      </w:r>
      <w:r>
        <w:rPr>
          <w:rFonts w:ascii="Arial" w:hAnsi="Arial" w:hint="cs"/>
          <w:b/>
          <w:bCs/>
          <w:rtl/>
        </w:rPr>
        <w:t>מ.י. נגד מזרחי</w:t>
      </w:r>
      <w:r>
        <w:rPr>
          <w:rFonts w:ascii="Arial" w:hAnsi="Arial" w:hint="cs"/>
          <w:rtl/>
        </w:rPr>
        <w:t xml:space="preserve"> (2014), ועניין </w:t>
      </w:r>
      <w:r>
        <w:rPr>
          <w:rFonts w:ascii="Arial" w:hAnsi="Arial" w:hint="cs"/>
          <w:b/>
          <w:bCs/>
          <w:rtl/>
        </w:rPr>
        <w:t>חנא</w:t>
      </w:r>
      <w:r>
        <w:rPr>
          <w:rFonts w:ascii="Arial" w:hAnsi="Arial" w:hint="cs"/>
          <w:rtl/>
        </w:rPr>
        <w:t xml:space="preserve"> הנ"ל. עונשים אלו אכן הולמים את המדיניות הראויה, ויש אפוא לראות בהם מדד כשר של "ענישה נהוגה" לקביעת מתחם העונש ההולם (וראו דברי השופטת ארבל ב</w:t>
      </w:r>
      <w:hyperlink r:id="rId27" w:history="1">
        <w:r w:rsidRPr="00676155">
          <w:rPr>
            <w:rFonts w:ascii="Arial" w:hAnsi="Arial"/>
            <w:color w:val="0000FF"/>
            <w:u w:val="single"/>
            <w:rtl/>
          </w:rPr>
          <w:t>ע"פ 1323/13</w:t>
        </w:r>
      </w:hyperlink>
      <w:r>
        <w:rPr>
          <w:rFonts w:ascii="Arial" w:hAnsi="Arial" w:hint="cs"/>
          <w:rtl/>
        </w:rPr>
        <w:t xml:space="preserve"> </w:t>
      </w:r>
      <w:r>
        <w:rPr>
          <w:rFonts w:ascii="Arial" w:hAnsi="Arial" w:hint="cs"/>
          <w:b/>
          <w:bCs/>
          <w:rtl/>
        </w:rPr>
        <w:t>חסן נ' מ.י.</w:t>
      </w:r>
      <w:r>
        <w:rPr>
          <w:rFonts w:ascii="Arial" w:hAnsi="Arial" w:hint="cs"/>
          <w:rtl/>
        </w:rPr>
        <w:t xml:space="preserve"> (2013))</w:t>
      </w:r>
      <w:r>
        <w:rPr>
          <w:rStyle w:val="a8"/>
          <w:rFonts w:ascii="Arial" w:hAnsi="Arial"/>
          <w:rtl/>
        </w:rPr>
        <w:footnoteReference w:id="3"/>
      </w:r>
      <w:r>
        <w:rPr>
          <w:rFonts w:ascii="Arial" w:hAnsi="Arial" w:hint="cs"/>
          <w:rtl/>
        </w:rPr>
        <w:t xml:space="preserve">. </w:t>
      </w:r>
    </w:p>
    <w:p w14:paraId="023766F5" w14:textId="77777777" w:rsidR="00076894" w:rsidRDefault="00676155">
      <w:pPr>
        <w:numPr>
          <w:ilvl w:val="0"/>
          <w:numId w:val="3"/>
        </w:numPr>
        <w:spacing w:line="360" w:lineRule="auto"/>
        <w:jc w:val="both"/>
        <w:rPr>
          <w:rFonts w:ascii="Arial" w:hAnsi="Arial"/>
          <w:rtl/>
        </w:rPr>
      </w:pPr>
      <w:r>
        <w:rPr>
          <w:rFonts w:ascii="Arial" w:hAnsi="Arial"/>
          <w:rtl/>
        </w:rPr>
        <w:t>מתחם העונש הראוי</w:t>
      </w:r>
      <w:r>
        <w:rPr>
          <w:rFonts w:ascii="Arial" w:hAnsi="Arial" w:hint="cs"/>
          <w:rtl/>
        </w:rPr>
        <w:t xml:space="preserve"> במקרה דנן</w:t>
      </w:r>
      <w:r>
        <w:rPr>
          <w:rFonts w:ascii="Arial" w:hAnsi="Arial"/>
          <w:rtl/>
        </w:rPr>
        <w:t xml:space="preserve">, הינו מאסר בפועל בין </w:t>
      </w:r>
      <w:r>
        <w:rPr>
          <w:rFonts w:ascii="Arial" w:hAnsi="Arial" w:hint="cs"/>
          <w:rtl/>
        </w:rPr>
        <w:t>12</w:t>
      </w:r>
      <w:r>
        <w:rPr>
          <w:rFonts w:ascii="Arial" w:hAnsi="Arial"/>
          <w:rtl/>
        </w:rPr>
        <w:t xml:space="preserve"> לבין </w:t>
      </w:r>
      <w:r>
        <w:rPr>
          <w:rFonts w:ascii="Arial" w:hAnsi="Arial" w:hint="cs"/>
          <w:rtl/>
        </w:rPr>
        <w:t>30</w:t>
      </w:r>
      <w:r>
        <w:rPr>
          <w:rFonts w:ascii="Arial" w:hAnsi="Arial"/>
          <w:rtl/>
        </w:rPr>
        <w:t xml:space="preserve"> חודשי מאסר, כעונש עיקרי.</w:t>
      </w:r>
    </w:p>
    <w:p w14:paraId="22758226" w14:textId="77777777" w:rsidR="00076894" w:rsidRDefault="00076894">
      <w:pPr>
        <w:pStyle w:val="ListParagraph"/>
        <w:spacing w:line="360" w:lineRule="auto"/>
        <w:ind w:left="360"/>
        <w:jc w:val="both"/>
        <w:rPr>
          <w:rtl/>
        </w:rPr>
      </w:pPr>
    </w:p>
    <w:p w14:paraId="110EA7AE" w14:textId="77777777" w:rsidR="00076894" w:rsidRDefault="00676155">
      <w:pPr>
        <w:spacing w:line="360" w:lineRule="auto"/>
        <w:jc w:val="both"/>
        <w:rPr>
          <w:b/>
          <w:bCs/>
          <w:u w:val="single"/>
          <w:rtl/>
        </w:rPr>
      </w:pPr>
      <w:r>
        <w:rPr>
          <w:rFonts w:hint="cs"/>
          <w:b/>
          <w:bCs/>
          <w:u w:val="single"/>
          <w:rtl/>
        </w:rPr>
        <w:t xml:space="preserve">נסיבות אישיות וטיפול </w:t>
      </w:r>
      <w:r>
        <w:rPr>
          <w:b/>
          <w:bCs/>
          <w:u w:val="single"/>
          <w:rtl/>
        </w:rPr>
        <w:t>–</w:t>
      </w:r>
      <w:r>
        <w:rPr>
          <w:rFonts w:hint="cs"/>
          <w:b/>
          <w:bCs/>
          <w:u w:val="single"/>
          <w:rtl/>
        </w:rPr>
        <w:t xml:space="preserve"> העונש לא יחרוג לקולה מהמתחם משיקולי שיקום:</w:t>
      </w:r>
    </w:p>
    <w:p w14:paraId="7A436758" w14:textId="77777777" w:rsidR="00076894" w:rsidRDefault="00676155">
      <w:pPr>
        <w:pStyle w:val="ListParagraph"/>
        <w:numPr>
          <w:ilvl w:val="0"/>
          <w:numId w:val="4"/>
        </w:numPr>
        <w:spacing w:line="360" w:lineRule="auto"/>
        <w:jc w:val="both"/>
      </w:pPr>
      <w:r>
        <w:rPr>
          <w:rFonts w:hint="cs"/>
          <w:rtl/>
        </w:rPr>
        <w:t>הנתונים שלהלן מובאים מתוך תסקיר שירות המבחן ומתוך חוות דעת פסיכולוגית של מר ארז ניסימוב ברוש (נע/6).</w:t>
      </w:r>
    </w:p>
    <w:p w14:paraId="06E09076" w14:textId="77777777" w:rsidR="00076894" w:rsidRDefault="00676155">
      <w:pPr>
        <w:pStyle w:val="ListParagraph"/>
        <w:numPr>
          <w:ilvl w:val="0"/>
          <w:numId w:val="4"/>
        </w:numPr>
        <w:spacing w:line="360" w:lineRule="auto"/>
        <w:jc w:val="both"/>
      </w:pPr>
      <w:r>
        <w:rPr>
          <w:rFonts w:hint="cs"/>
          <w:rtl/>
        </w:rPr>
        <w:t xml:space="preserve">הנאשם, יליד 1977, כבן 37 כיום, חי עם בת-זוגו ושני ילדיהם, ותומך בבן מקשר קודם. הנאשם עובד כיום כנהג ומנהל עבודה בחברה. מוצא הנאשם ממשפחה נורמטיבית, הוריו התגרשו בילדותו, והוא שומר עם שניהם על קשר קרוב ותומך. הנאשם בוגר 12 שנות לימוד אך לא השלים שירות צבאי בשל 'אי התאמה'. </w:t>
      </w:r>
    </w:p>
    <w:p w14:paraId="7012AB26" w14:textId="77777777" w:rsidR="00076894" w:rsidRDefault="00676155">
      <w:pPr>
        <w:pStyle w:val="ListParagraph"/>
        <w:numPr>
          <w:ilvl w:val="0"/>
          <w:numId w:val="4"/>
        </w:numPr>
        <w:spacing w:line="360" w:lineRule="auto"/>
        <w:jc w:val="both"/>
      </w:pPr>
      <w:r>
        <w:rPr>
          <w:rFonts w:hint="cs"/>
          <w:rtl/>
        </w:rPr>
        <w:t xml:space="preserve">במשך כ-15 שנה עבד הנאשם כמתכנת מחשבים, אך נאלץ להפסיק עקב מצבו הבריאותי שאינו מאפשר לו ישיבה ארוכה. מגיל 20 החל לסבול כאבים חזקים בירכו כתוצאה משחיקת סחוס, והשתמש במשככי כאבים ממשפחת האופיאטים שפגעו קשה בתפקודו בתחומי חייו השונים. לכן קיבל היתר לקנאביס רפואי, ומשסורבה בקשתו להגדלת הכמות </w:t>
      </w:r>
      <w:r>
        <w:rPr>
          <w:rtl/>
        </w:rPr>
        <w:t>–</w:t>
      </w:r>
      <w:r>
        <w:rPr>
          <w:rFonts w:hint="cs"/>
          <w:rtl/>
        </w:rPr>
        <w:t xml:space="preserve"> החל לצרוך קנאביס שרכש מעבריינים. לדבריו, הסם שיכך את הכאבים וגם שירת צרכים רגשיים של בריחה מהתמודדות עם התסכול והמתחים שנלוו למצבו. מאז שחרורו ממעצרו, מצליח הנאשם לתפקד גם עם כמות הסם המותרת לו.</w:t>
      </w:r>
    </w:p>
    <w:p w14:paraId="173CB80F" w14:textId="77777777" w:rsidR="00076894" w:rsidRDefault="00676155">
      <w:pPr>
        <w:pStyle w:val="ListParagraph"/>
        <w:numPr>
          <w:ilvl w:val="0"/>
          <w:numId w:val="4"/>
        </w:numPr>
        <w:spacing w:line="360" w:lineRule="auto"/>
        <w:jc w:val="both"/>
      </w:pPr>
      <w:r>
        <w:rPr>
          <w:rFonts w:hint="cs"/>
          <w:rtl/>
        </w:rPr>
        <w:t xml:space="preserve">באשר לעבירה: הנאשם טען שגידל את הסם לצריכתו-שלו וכדי להימנע ממגע עם גורמים עברייניים, תוך שימוש בכספים שנתנה לו אמו. הנאשם נוטל אחריות לביצוע העבירה, מכיר בפסול שבהתנהגותו, מתבייש ומתחרט. </w:t>
      </w:r>
    </w:p>
    <w:p w14:paraId="0F6DD69E" w14:textId="77777777" w:rsidR="00076894" w:rsidRDefault="00676155">
      <w:pPr>
        <w:pStyle w:val="ListParagraph"/>
        <w:numPr>
          <w:ilvl w:val="0"/>
          <w:numId w:val="4"/>
        </w:numPr>
        <w:spacing w:line="360" w:lineRule="auto"/>
        <w:jc w:val="both"/>
      </w:pPr>
      <w:r>
        <w:rPr>
          <w:rFonts w:hint="cs"/>
          <w:rtl/>
        </w:rPr>
        <w:t xml:space="preserve">טיפול ושיקום: הנאשם שולב בקבוצה טיפולית לעצורי-בית והשתתף בה החל מיולי 2014 ועד לפברואר 2015. הנאשם החל תהליך הדרגתי של ביקורת עצמית ו"את ביצוע העבירה מבין כיום כניסיון לא-מותאם לבקשת עזרה", כלשון שירות המבחן. </w:t>
      </w:r>
    </w:p>
    <w:p w14:paraId="03CF2399" w14:textId="77777777" w:rsidR="00076894" w:rsidRDefault="00676155">
      <w:pPr>
        <w:pStyle w:val="ListParagraph"/>
        <w:numPr>
          <w:ilvl w:val="0"/>
          <w:numId w:val="4"/>
        </w:numPr>
        <w:spacing w:line="360" w:lineRule="auto"/>
        <w:jc w:val="both"/>
      </w:pPr>
      <w:r>
        <w:rPr>
          <w:rFonts w:hint="cs"/>
          <w:rtl/>
        </w:rPr>
        <w:t>שירות המבחן התרשם כי לנאשם מערכת ערכים נורמטיבית, והוא הצליח לתפקד באופן תקין למרות קשייו הבריאותיים. אלו, יחד עם נטילת האחריות וההשתלבות בהליך טיפולי, מצדיקים לדעת שירות המבחן את נקיטתו של אפיק טיפול ואת ההימנעות מהטלת עונש מאסר שעלול להביא לרגרסיה במצבו של הנאשם. הפסיכולוג מציג בחוות דעתו תמונה דומה והמלצות דומות.</w:t>
      </w:r>
    </w:p>
    <w:p w14:paraId="3C9560E6" w14:textId="77777777" w:rsidR="00076894" w:rsidRDefault="00676155">
      <w:pPr>
        <w:spacing w:line="360" w:lineRule="auto"/>
        <w:ind w:left="360"/>
        <w:jc w:val="both"/>
      </w:pPr>
      <w:r>
        <w:rPr>
          <w:rFonts w:hint="cs"/>
          <w:rtl/>
        </w:rPr>
        <w:t xml:space="preserve">לפיכך ממליץ השירות על צו מבחן לצד של"צ בהיקף 300 שעות. </w:t>
      </w:r>
    </w:p>
    <w:p w14:paraId="49B339DC" w14:textId="77777777" w:rsidR="00076894" w:rsidRDefault="00676155">
      <w:pPr>
        <w:pStyle w:val="ListParagraph"/>
        <w:numPr>
          <w:ilvl w:val="0"/>
          <w:numId w:val="4"/>
        </w:numPr>
        <w:spacing w:line="360" w:lineRule="auto"/>
        <w:jc w:val="both"/>
      </w:pPr>
      <w:r>
        <w:rPr>
          <w:rFonts w:hint="cs"/>
          <w:rtl/>
        </w:rPr>
        <w:t xml:space="preserve">למעשה, קשה לדבר על "שיקום" בעניינו של הנאשם, שהבין את טעותו לאחר שנלכד ונתקל במוראות ההליך הפלילי. מבלי להקל ראש בחודשים בהם השתתף הנאשם בקבוצה טיפולית בשירות המבחן, ניתן לשער שגם ללא הטיפול היה מגיע הנאשם למסקנה שפעל באורח "לא מותאם" ופסול. </w:t>
      </w:r>
    </w:p>
    <w:p w14:paraId="7BBF92BF" w14:textId="77777777" w:rsidR="00076894" w:rsidRDefault="00676155">
      <w:pPr>
        <w:pStyle w:val="ListParagraph"/>
        <w:numPr>
          <w:ilvl w:val="0"/>
          <w:numId w:val="4"/>
        </w:numPr>
        <w:spacing w:line="360" w:lineRule="auto"/>
        <w:jc w:val="both"/>
        <w:rPr>
          <w:rtl/>
        </w:rPr>
      </w:pPr>
      <w:r>
        <w:rPr>
          <w:rFonts w:hint="cs"/>
          <w:rtl/>
        </w:rPr>
        <w:t xml:space="preserve">אין בנסיבות אלו כדי להצדיק את השימוש באמצעי החריג של חריגה ממתחם העונש ההולם. </w:t>
      </w:r>
    </w:p>
    <w:p w14:paraId="7F6DA3D1" w14:textId="77777777" w:rsidR="00076894" w:rsidRDefault="00076894">
      <w:pPr>
        <w:spacing w:line="360" w:lineRule="auto"/>
        <w:jc w:val="both"/>
        <w:rPr>
          <w:rtl/>
        </w:rPr>
      </w:pPr>
    </w:p>
    <w:p w14:paraId="2C3281A3" w14:textId="77777777" w:rsidR="00076894" w:rsidRDefault="00676155">
      <w:pPr>
        <w:spacing w:line="360" w:lineRule="auto"/>
        <w:jc w:val="both"/>
        <w:rPr>
          <w:b/>
          <w:bCs/>
          <w:u w:val="single"/>
          <w:rtl/>
        </w:rPr>
      </w:pPr>
      <w:r>
        <w:rPr>
          <w:rFonts w:hint="cs"/>
          <w:b/>
          <w:bCs/>
          <w:u w:val="single"/>
          <w:rtl/>
        </w:rPr>
        <w:t xml:space="preserve">הרתעת הרבים </w:t>
      </w:r>
      <w:r>
        <w:rPr>
          <w:b/>
          <w:bCs/>
          <w:u w:val="single"/>
          <w:rtl/>
        </w:rPr>
        <w:t>–</w:t>
      </w:r>
      <w:r>
        <w:rPr>
          <w:rFonts w:hint="cs"/>
          <w:b/>
          <w:bCs/>
          <w:u w:val="single"/>
          <w:rtl/>
        </w:rPr>
        <w:t xml:space="preserve"> העונש לא יחרוג לחומרה מהמתחם משיקולי הרתעה:</w:t>
      </w:r>
    </w:p>
    <w:p w14:paraId="28A415AB" w14:textId="77777777" w:rsidR="00076894" w:rsidRDefault="00676155">
      <w:pPr>
        <w:numPr>
          <w:ilvl w:val="0"/>
          <w:numId w:val="5"/>
        </w:numPr>
        <w:spacing w:line="360" w:lineRule="auto"/>
        <w:jc w:val="both"/>
        <w:rPr>
          <w:rFonts w:ascii="Arial" w:hAnsi="Arial"/>
        </w:rPr>
      </w:pPr>
      <w:r>
        <w:rPr>
          <w:rFonts w:ascii="Arial" w:hAnsi="Arial" w:hint="cs"/>
          <w:rtl/>
        </w:rPr>
        <w:t xml:space="preserve">כפי שנאמר בעניין </w:t>
      </w:r>
      <w:r>
        <w:rPr>
          <w:rFonts w:ascii="Arial" w:hAnsi="Arial" w:hint="cs"/>
          <w:b/>
          <w:bCs/>
          <w:rtl/>
        </w:rPr>
        <w:t>חריט</w:t>
      </w:r>
      <w:r>
        <w:rPr>
          <w:rFonts w:ascii="Arial" w:hAnsi="Arial" w:hint="cs"/>
          <w:rtl/>
        </w:rPr>
        <w:t xml:space="preserve"> הנזכר ובמקרים רבים נוספים, הפכה התופעה של מעבדות סם גדולות לתופעה נפוצה, כאשר כמויות הסם המגודלות בהן מבססות נזק פוטנציאלי חמור. בית המשפט מצא כי מדובר במכת מדינה וכי יש להחמיר בענישה.</w:t>
      </w:r>
    </w:p>
    <w:p w14:paraId="39E01797" w14:textId="77777777" w:rsidR="00076894" w:rsidRDefault="00676155">
      <w:pPr>
        <w:numPr>
          <w:ilvl w:val="0"/>
          <w:numId w:val="5"/>
        </w:numPr>
        <w:spacing w:line="360" w:lineRule="auto"/>
        <w:jc w:val="both"/>
        <w:rPr>
          <w:rFonts w:ascii="Arial" w:hAnsi="Arial"/>
        </w:rPr>
      </w:pPr>
      <w:r>
        <w:rPr>
          <w:rFonts w:ascii="Arial" w:hAnsi="Arial" w:hint="cs"/>
          <w:rtl/>
        </w:rPr>
        <w:t>במקרה דנן לא מצאתי כי יש צורך בתוספת חומרה משיקולי הרתעה, מה-גם שלדעת הכל לא ראוי שעונשו של הנאשם יתקרב לרף העליון של המתחם.</w:t>
      </w:r>
    </w:p>
    <w:p w14:paraId="64F5C6DB" w14:textId="77777777" w:rsidR="00076894" w:rsidRDefault="00076894">
      <w:pPr>
        <w:spacing w:line="360" w:lineRule="auto"/>
        <w:jc w:val="both"/>
        <w:rPr>
          <w:rFonts w:ascii="Arial" w:hAnsi="Arial"/>
          <w:rtl/>
        </w:rPr>
      </w:pPr>
    </w:p>
    <w:p w14:paraId="43DAB8F1" w14:textId="77777777" w:rsidR="00076894" w:rsidRDefault="00676155">
      <w:pPr>
        <w:spacing w:line="360" w:lineRule="auto"/>
        <w:jc w:val="both"/>
        <w:rPr>
          <w:rFonts w:ascii="Arial" w:hAnsi="Arial"/>
          <w:b/>
          <w:bCs/>
          <w:u w:val="single"/>
        </w:rPr>
      </w:pPr>
      <w:r>
        <w:rPr>
          <w:rFonts w:ascii="Arial" w:hAnsi="Arial" w:hint="cs"/>
          <w:b/>
          <w:bCs/>
          <w:u w:val="single"/>
          <w:rtl/>
        </w:rPr>
        <w:t xml:space="preserve">נסיבות שאינן קשורות בעבירה </w:t>
      </w:r>
      <w:r>
        <w:rPr>
          <w:rFonts w:ascii="Arial" w:hAnsi="Arial"/>
          <w:b/>
          <w:bCs/>
          <w:u w:val="single"/>
          <w:rtl/>
        </w:rPr>
        <w:t>–</w:t>
      </w:r>
      <w:r>
        <w:rPr>
          <w:rFonts w:ascii="Arial" w:hAnsi="Arial" w:hint="cs"/>
          <w:b/>
          <w:bCs/>
          <w:u w:val="single"/>
          <w:rtl/>
        </w:rPr>
        <w:t xml:space="preserve"> קביעת העונש במתחם:</w:t>
      </w:r>
    </w:p>
    <w:p w14:paraId="38F5D948" w14:textId="77777777" w:rsidR="00076894" w:rsidRDefault="00676155">
      <w:pPr>
        <w:pStyle w:val="ListParagraph"/>
        <w:numPr>
          <w:ilvl w:val="0"/>
          <w:numId w:val="6"/>
        </w:numPr>
        <w:spacing w:line="360" w:lineRule="auto"/>
        <w:jc w:val="both"/>
      </w:pPr>
      <w:r>
        <w:rPr>
          <w:rFonts w:hint="cs"/>
          <w:rtl/>
        </w:rPr>
        <w:t>פגיעתו של עונש מאסר בנאשם עתידה להיות קשה:</w:t>
      </w:r>
    </w:p>
    <w:p w14:paraId="4A9D6FEE" w14:textId="77777777" w:rsidR="00076894" w:rsidRDefault="00676155">
      <w:pPr>
        <w:spacing w:line="360" w:lineRule="auto"/>
        <w:ind w:left="360"/>
        <w:jc w:val="both"/>
        <w:rPr>
          <w:rtl/>
        </w:rPr>
      </w:pPr>
      <w:r>
        <w:rPr>
          <w:rFonts w:hint="cs"/>
          <w:rtl/>
        </w:rPr>
        <w:t>לנאשם, שאין לו עבר פלילי, זהו מאסר ראשון. יש להביא בחשבון את הקשיים הנוספים שיהיו מנת חלקו של הנאשם מפאת מצבו הבריאותי והכאבים מהם הוא סובל, מה-גם שקשה להניח שיזכה לאספקת קנאביס בהיתר בין כתלי הכלא.</w:t>
      </w:r>
    </w:p>
    <w:p w14:paraId="14DBCFF6" w14:textId="77777777" w:rsidR="00076894" w:rsidRDefault="00676155">
      <w:pPr>
        <w:spacing w:line="360" w:lineRule="auto"/>
        <w:ind w:left="360"/>
        <w:jc w:val="both"/>
      </w:pPr>
      <w:r>
        <w:rPr>
          <w:rFonts w:hint="cs"/>
          <w:rtl/>
        </w:rPr>
        <w:t>לפי חוות הדעת הפסיכולוגית (נע/6) גרמו המעצר והמשבר המשפחתי והאישי בעקבותיו למצב פוסט-טראומטי של הנאשם, שהצריך טיפול תרופתי.</w:t>
      </w:r>
    </w:p>
    <w:p w14:paraId="4FC5C351" w14:textId="77777777" w:rsidR="00076894" w:rsidRDefault="00676155">
      <w:pPr>
        <w:pStyle w:val="ListParagraph"/>
        <w:numPr>
          <w:ilvl w:val="0"/>
          <w:numId w:val="6"/>
        </w:numPr>
        <w:spacing w:line="360" w:lineRule="auto"/>
        <w:jc w:val="both"/>
      </w:pPr>
      <w:r>
        <w:rPr>
          <w:rFonts w:hint="cs"/>
          <w:rtl/>
        </w:rPr>
        <w:t xml:space="preserve">משפחתו של הנאשם </w:t>
      </w:r>
      <w:r>
        <w:rPr>
          <w:rtl/>
        </w:rPr>
        <w:t>–</w:t>
      </w:r>
      <w:r>
        <w:rPr>
          <w:rFonts w:hint="cs"/>
          <w:rtl/>
        </w:rPr>
        <w:t xml:space="preserve"> בת-זוגו, ילדיו הקטנים, וגם בנו מקשר קודם </w:t>
      </w:r>
      <w:r>
        <w:rPr>
          <w:rtl/>
        </w:rPr>
        <w:t>–</w:t>
      </w:r>
      <w:r>
        <w:rPr>
          <w:rFonts w:hint="cs"/>
          <w:rtl/>
        </w:rPr>
        <w:t xml:space="preserve"> תינזק אף-היא מעונש זה, הגם שהנזק הכלכלי יהא מוגבל.</w:t>
      </w:r>
    </w:p>
    <w:p w14:paraId="70E2E80B" w14:textId="77777777" w:rsidR="00076894" w:rsidRDefault="00676155">
      <w:pPr>
        <w:pStyle w:val="ListParagraph"/>
        <w:numPr>
          <w:ilvl w:val="0"/>
          <w:numId w:val="6"/>
        </w:numPr>
        <w:spacing w:line="360" w:lineRule="auto"/>
        <w:jc w:val="both"/>
      </w:pPr>
      <w:r>
        <w:rPr>
          <w:rFonts w:hint="cs"/>
          <w:rtl/>
        </w:rPr>
        <w:t>לזכות הנאשם יש להביא בחשבון נסיבות כבדות משקל:</w:t>
      </w:r>
    </w:p>
    <w:p w14:paraId="4BECE43C" w14:textId="77777777" w:rsidR="00076894" w:rsidRDefault="00676155">
      <w:pPr>
        <w:pStyle w:val="ListParagraph"/>
        <w:numPr>
          <w:ilvl w:val="1"/>
          <w:numId w:val="6"/>
        </w:numPr>
        <w:spacing w:line="360" w:lineRule="auto"/>
        <w:jc w:val="both"/>
      </w:pPr>
      <w:r>
        <w:rPr>
          <w:rFonts w:hint="cs"/>
          <w:rtl/>
        </w:rPr>
        <w:t>הנאשם הודה ונטל אחריות על מעשיו;</w:t>
      </w:r>
    </w:p>
    <w:p w14:paraId="59FC9D8C" w14:textId="77777777" w:rsidR="00076894" w:rsidRDefault="00676155">
      <w:pPr>
        <w:pStyle w:val="ListParagraph"/>
        <w:numPr>
          <w:ilvl w:val="1"/>
          <w:numId w:val="6"/>
        </w:numPr>
        <w:spacing w:line="360" w:lineRule="auto"/>
        <w:jc w:val="both"/>
      </w:pPr>
      <w:r>
        <w:rPr>
          <w:rFonts w:hint="cs"/>
          <w:rtl/>
        </w:rPr>
        <w:t>הנאשם נרתם לטיפול. גם-אם אין בכך הצדקה להחרגת העונש מהמתחם, יש לכך משמעות מקלה בקביעת העונש בתוך המתחם;</w:t>
      </w:r>
    </w:p>
    <w:p w14:paraId="4B34F633" w14:textId="77777777" w:rsidR="00076894" w:rsidRDefault="00676155">
      <w:pPr>
        <w:pStyle w:val="ListParagraph"/>
        <w:numPr>
          <w:ilvl w:val="1"/>
          <w:numId w:val="6"/>
        </w:numPr>
        <w:spacing w:line="360" w:lineRule="auto"/>
        <w:jc w:val="both"/>
      </w:pPr>
      <w:r>
        <w:rPr>
          <w:rFonts w:hint="cs"/>
          <w:rtl/>
        </w:rPr>
        <w:t>הנאשם ניהל אורח חיים נורמטיבי, תוך שהוא מתמודד עם קשיים משמעותיים, והוא נטול עבר פלילי;</w:t>
      </w:r>
    </w:p>
    <w:p w14:paraId="49D5E369" w14:textId="77777777" w:rsidR="00076894" w:rsidRDefault="00676155">
      <w:pPr>
        <w:pStyle w:val="ListParagraph"/>
        <w:numPr>
          <w:ilvl w:val="0"/>
          <w:numId w:val="6"/>
        </w:numPr>
        <w:spacing w:line="360" w:lineRule="auto"/>
        <w:jc w:val="both"/>
      </w:pPr>
      <w:r>
        <w:rPr>
          <w:rFonts w:hint="cs"/>
          <w:rtl/>
        </w:rPr>
        <w:t>כל אלה יצדיקו קביעתו של העונש העיקרי בתחתיתו של המתחם. בנוסף, תוטל על הנאשם ענישה נלווית של מאסר מותנה וקנס, שיהא מתון יחסית בהתחשב בתקופת המאסר וביכולת ההשתכרות המוגבלת של הנאשם.</w:t>
      </w:r>
    </w:p>
    <w:p w14:paraId="2D8207AA" w14:textId="77777777" w:rsidR="00076894" w:rsidRDefault="00676155">
      <w:pPr>
        <w:pStyle w:val="ListParagraph"/>
        <w:numPr>
          <w:ilvl w:val="0"/>
          <w:numId w:val="6"/>
        </w:numPr>
        <w:spacing w:line="360" w:lineRule="auto"/>
        <w:jc w:val="both"/>
      </w:pPr>
      <w:r>
        <w:rPr>
          <w:rFonts w:hint="cs"/>
          <w:rtl/>
        </w:rPr>
        <w:t>כדי שלא להקשות על שיקומו של הנאשם לאחר ריצוי מאסרו, תוטל תקופת פסילה מלנהוג באופן מותנה בלבד.</w:t>
      </w:r>
    </w:p>
    <w:p w14:paraId="706CDA66" w14:textId="77777777" w:rsidR="00076894" w:rsidRDefault="00076894">
      <w:pPr>
        <w:spacing w:line="360" w:lineRule="auto"/>
        <w:jc w:val="both"/>
        <w:rPr>
          <w:rtl/>
        </w:rPr>
      </w:pPr>
    </w:p>
    <w:p w14:paraId="1B036C80" w14:textId="77777777" w:rsidR="00076894" w:rsidRDefault="00676155">
      <w:pPr>
        <w:spacing w:line="360" w:lineRule="auto"/>
        <w:jc w:val="both"/>
        <w:rPr>
          <w:b/>
          <w:bCs/>
          <w:u w:val="single"/>
          <w:rtl/>
        </w:rPr>
      </w:pPr>
      <w:r>
        <w:rPr>
          <w:rFonts w:hint="cs"/>
          <w:b/>
          <w:bCs/>
          <w:u w:val="single"/>
          <w:rtl/>
        </w:rPr>
        <w:t>סוף-דבר, אני גוזר על הנאשם את העונשים הבאים:</w:t>
      </w:r>
    </w:p>
    <w:p w14:paraId="6D661E46" w14:textId="77777777" w:rsidR="00076894" w:rsidRDefault="00076894">
      <w:pPr>
        <w:spacing w:line="360" w:lineRule="auto"/>
        <w:ind w:left="720" w:hanging="720"/>
        <w:jc w:val="both"/>
        <w:rPr>
          <w:rtl/>
        </w:rPr>
      </w:pPr>
    </w:p>
    <w:p w14:paraId="01A450FB" w14:textId="77777777" w:rsidR="00076894" w:rsidRDefault="00676155">
      <w:pPr>
        <w:spacing w:line="360" w:lineRule="auto"/>
        <w:ind w:left="720" w:hanging="720"/>
        <w:jc w:val="both"/>
        <w:rPr>
          <w:rtl/>
        </w:rPr>
      </w:pPr>
      <w:r>
        <w:rPr>
          <w:rFonts w:hint="cs"/>
          <w:rtl/>
        </w:rPr>
        <w:t>א.</w:t>
      </w:r>
      <w:r>
        <w:rPr>
          <w:rFonts w:hint="cs"/>
          <w:rtl/>
        </w:rPr>
        <w:tab/>
        <w:t>12 חודשי מאסר בפועל, בניכוי ימי מעצרו מיום 2.2.14 עד יום 9.2.14 (כולל), ואפילו יראו רישומי שב"ס אחרת;</w:t>
      </w:r>
    </w:p>
    <w:p w14:paraId="17C34FE1" w14:textId="77777777" w:rsidR="00076894" w:rsidRDefault="00076894">
      <w:pPr>
        <w:spacing w:line="360" w:lineRule="auto"/>
        <w:ind w:left="720" w:hanging="720"/>
        <w:jc w:val="both"/>
        <w:rPr>
          <w:rtl/>
        </w:rPr>
      </w:pPr>
    </w:p>
    <w:p w14:paraId="3ADC220A" w14:textId="77777777" w:rsidR="00076894" w:rsidRDefault="00676155">
      <w:pPr>
        <w:spacing w:line="360" w:lineRule="auto"/>
        <w:ind w:left="720" w:hanging="720"/>
        <w:jc w:val="both"/>
        <w:rPr>
          <w:rtl/>
        </w:rPr>
      </w:pPr>
      <w:r>
        <w:rPr>
          <w:rFonts w:hint="cs"/>
          <w:rtl/>
        </w:rPr>
        <w:t>ב.</w:t>
      </w:r>
      <w:r>
        <w:rPr>
          <w:rFonts w:hint="cs"/>
          <w:rtl/>
        </w:rPr>
        <w:tab/>
        <w:t>6 חודשי מאסר על-תנאי למשך שנתיים מיום שחרורו, שלא יעבור עבירת סמים מסוג פשע;</w:t>
      </w:r>
    </w:p>
    <w:p w14:paraId="2A129A8F" w14:textId="77777777" w:rsidR="00076894" w:rsidRDefault="00076894">
      <w:pPr>
        <w:spacing w:line="360" w:lineRule="auto"/>
        <w:ind w:left="720" w:hanging="720"/>
        <w:jc w:val="both"/>
        <w:rPr>
          <w:rtl/>
        </w:rPr>
      </w:pPr>
    </w:p>
    <w:p w14:paraId="26C035AB" w14:textId="77777777" w:rsidR="00076894" w:rsidRDefault="00676155">
      <w:pPr>
        <w:spacing w:line="360" w:lineRule="auto"/>
        <w:ind w:left="720" w:hanging="720"/>
        <w:jc w:val="both"/>
        <w:rPr>
          <w:rtl/>
        </w:rPr>
      </w:pPr>
      <w:r>
        <w:rPr>
          <w:rFonts w:hint="cs"/>
          <w:rtl/>
        </w:rPr>
        <w:t>ג.</w:t>
      </w:r>
      <w:r>
        <w:rPr>
          <w:rFonts w:hint="cs"/>
          <w:rtl/>
        </w:rPr>
        <w:tab/>
        <w:t>3 חודשי מאסר על-תנאי למשך שנתיים מיום שחרורו, שלא יעבור עבירת סמים מסוג עוון;</w:t>
      </w:r>
    </w:p>
    <w:p w14:paraId="36D7B32B" w14:textId="77777777" w:rsidR="00076894" w:rsidRDefault="00076894">
      <w:pPr>
        <w:spacing w:line="360" w:lineRule="auto"/>
        <w:ind w:left="720" w:hanging="720"/>
        <w:jc w:val="both"/>
        <w:rPr>
          <w:rtl/>
        </w:rPr>
      </w:pPr>
    </w:p>
    <w:p w14:paraId="0C014E7E" w14:textId="77777777" w:rsidR="00076894" w:rsidRDefault="00676155">
      <w:pPr>
        <w:spacing w:line="360" w:lineRule="auto"/>
        <w:ind w:left="720" w:hanging="720"/>
        <w:jc w:val="both"/>
        <w:rPr>
          <w:rtl/>
        </w:rPr>
      </w:pPr>
      <w:r>
        <w:rPr>
          <w:rFonts w:hint="cs"/>
          <w:rtl/>
        </w:rPr>
        <w:t>ד.</w:t>
      </w:r>
      <w:r>
        <w:rPr>
          <w:rFonts w:hint="cs"/>
          <w:rtl/>
        </w:rPr>
        <w:tab/>
        <w:t xml:space="preserve">קנס בסך 25,000 ₪, או חודשיים מאסר נוסף תמורתו. הקנס ישולם בחמישה תשלומים חודשיים, שווים ורצופים, שהראשון שבהם לא יאוחר מיום 1.7.15. מחדל או עיכוב באחד התשלומים יעמיד מלוא הסך לפירעון מיידי. </w:t>
      </w:r>
      <w:r>
        <w:rPr>
          <w:rFonts w:hint="cs"/>
          <w:u w:val="single"/>
          <w:rtl/>
        </w:rPr>
        <w:t>הקנס יועבר לזכות קרן הסמים</w:t>
      </w:r>
      <w:r>
        <w:rPr>
          <w:rFonts w:hint="cs"/>
          <w:rtl/>
        </w:rPr>
        <w:t>;</w:t>
      </w:r>
    </w:p>
    <w:p w14:paraId="292CF165" w14:textId="77777777" w:rsidR="00076894" w:rsidRDefault="00076894">
      <w:pPr>
        <w:spacing w:line="360" w:lineRule="auto"/>
        <w:ind w:left="720" w:hanging="720"/>
        <w:jc w:val="both"/>
        <w:rPr>
          <w:rtl/>
        </w:rPr>
      </w:pPr>
    </w:p>
    <w:p w14:paraId="3C357D51" w14:textId="77777777" w:rsidR="00076894" w:rsidRDefault="00676155">
      <w:pPr>
        <w:spacing w:line="360" w:lineRule="auto"/>
        <w:ind w:left="720" w:hanging="720"/>
        <w:jc w:val="both"/>
        <w:rPr>
          <w:rtl/>
        </w:rPr>
      </w:pPr>
      <w:r>
        <w:rPr>
          <w:rFonts w:hint="cs"/>
          <w:rtl/>
        </w:rPr>
        <w:t>ה.</w:t>
      </w:r>
      <w:r>
        <w:rPr>
          <w:rFonts w:hint="cs"/>
          <w:rtl/>
        </w:rPr>
        <w:tab/>
        <w:t>שנת פסילה מלקבל רישיון נהיגה או לנהוג, על-תנאי למשך שנתיים מיום שחרורו;</w:t>
      </w:r>
    </w:p>
    <w:p w14:paraId="6B156D28" w14:textId="77777777" w:rsidR="00076894" w:rsidRDefault="00676155">
      <w:pPr>
        <w:bidi w:val="0"/>
      </w:pPr>
      <w:r>
        <w:rPr>
          <w:rtl/>
        </w:rPr>
        <w:br w:type="page"/>
      </w:r>
    </w:p>
    <w:p w14:paraId="3009847A" w14:textId="77777777" w:rsidR="00076894" w:rsidRDefault="00676155">
      <w:pPr>
        <w:spacing w:line="360" w:lineRule="auto"/>
        <w:ind w:left="720" w:hanging="720"/>
        <w:jc w:val="both"/>
        <w:rPr>
          <w:b/>
          <w:bCs/>
          <w:u w:val="single"/>
          <w:rtl/>
        </w:rPr>
      </w:pPr>
      <w:r>
        <w:rPr>
          <w:rFonts w:hint="cs"/>
          <w:b/>
          <w:bCs/>
          <w:u w:val="single"/>
          <w:rtl/>
        </w:rPr>
        <w:t>הוראות נלוות:</w:t>
      </w:r>
    </w:p>
    <w:p w14:paraId="782C1A5A" w14:textId="77777777" w:rsidR="00076894" w:rsidRDefault="00676155">
      <w:pPr>
        <w:spacing w:line="360" w:lineRule="auto"/>
        <w:ind w:left="720" w:hanging="720"/>
        <w:jc w:val="both"/>
        <w:rPr>
          <w:rtl/>
        </w:rPr>
      </w:pPr>
      <w:r>
        <w:rPr>
          <w:rFonts w:hint="cs"/>
          <w:rtl/>
        </w:rPr>
        <w:t>א.</w:t>
      </w:r>
      <w:r>
        <w:rPr>
          <w:rFonts w:hint="cs"/>
          <w:rtl/>
        </w:rPr>
        <w:tab/>
        <w:t>מוצגים: הסם יושמד. ציוד וכל מוצג אחר, שאינו כסף ו/או שלא ניתנה בעניינו הוראה אחרת, יועבר להכרעה פרטנית של קצין משטרה;</w:t>
      </w:r>
    </w:p>
    <w:p w14:paraId="4EFBED53" w14:textId="77777777" w:rsidR="00076894" w:rsidRDefault="00676155">
      <w:pPr>
        <w:spacing w:line="360" w:lineRule="auto"/>
        <w:ind w:left="720" w:hanging="720"/>
        <w:jc w:val="both"/>
        <w:rPr>
          <w:rtl/>
        </w:rPr>
      </w:pPr>
      <w:r>
        <w:rPr>
          <w:rFonts w:hint="cs"/>
          <w:rtl/>
        </w:rPr>
        <w:t>ב.</w:t>
      </w:r>
      <w:r>
        <w:rPr>
          <w:rFonts w:hint="cs"/>
          <w:rtl/>
        </w:rPr>
        <w:tab/>
        <w:t>עותק גזר הדין יועבר לידיעת שירות המבחן;</w:t>
      </w:r>
    </w:p>
    <w:p w14:paraId="31CC6218" w14:textId="77777777" w:rsidR="00076894" w:rsidRDefault="00676155">
      <w:pPr>
        <w:spacing w:line="360" w:lineRule="auto"/>
        <w:ind w:left="720" w:hanging="720"/>
        <w:jc w:val="both"/>
        <w:rPr>
          <w:rtl/>
        </w:rPr>
      </w:pPr>
      <w:r>
        <w:rPr>
          <w:rFonts w:hint="cs"/>
          <w:rtl/>
        </w:rPr>
        <w:t>ג.</w:t>
      </w:r>
      <w:r>
        <w:rPr>
          <w:rFonts w:hint="cs"/>
          <w:rtl/>
        </w:rPr>
        <w:tab/>
        <w:t>המגבלות על סחירות הרכב והערובות בעניין זה תבוטלנה;</w:t>
      </w:r>
    </w:p>
    <w:p w14:paraId="08DBFD80" w14:textId="77777777" w:rsidR="00076894" w:rsidRDefault="00076894">
      <w:pPr>
        <w:spacing w:line="360" w:lineRule="auto"/>
        <w:ind w:left="720" w:hanging="720"/>
        <w:jc w:val="both"/>
        <w:rPr>
          <w:rtl/>
        </w:rPr>
      </w:pPr>
    </w:p>
    <w:p w14:paraId="7A98D59D" w14:textId="77777777" w:rsidR="00076894" w:rsidRDefault="00676155">
      <w:pPr>
        <w:spacing w:line="360" w:lineRule="auto"/>
        <w:ind w:left="720" w:hanging="720"/>
        <w:jc w:val="both"/>
        <w:rPr>
          <w:rtl/>
        </w:rPr>
      </w:pPr>
      <w:r>
        <w:rPr>
          <w:rFonts w:hint="cs"/>
          <w:rtl/>
        </w:rPr>
        <w:t>זכות ערעור תוך 45 יום מהיום לבית המשפט המחוזי.</w:t>
      </w:r>
    </w:p>
    <w:p w14:paraId="5447D821" w14:textId="77777777" w:rsidR="00076894" w:rsidRPr="00676155" w:rsidRDefault="00676155">
      <w:pPr>
        <w:spacing w:line="360" w:lineRule="auto"/>
        <w:jc w:val="both"/>
        <w:rPr>
          <w:color w:val="FFFFFF"/>
          <w:sz w:val="2"/>
          <w:szCs w:val="2"/>
          <w:rtl/>
        </w:rPr>
      </w:pPr>
      <w:r w:rsidRPr="00676155">
        <w:rPr>
          <w:color w:val="FFFFFF"/>
          <w:sz w:val="2"/>
          <w:szCs w:val="2"/>
          <w:rtl/>
        </w:rPr>
        <w:t>5129371</w:t>
      </w:r>
    </w:p>
    <w:p w14:paraId="633B39A3" w14:textId="77777777" w:rsidR="00076894" w:rsidRDefault="00676155">
      <w:pPr>
        <w:rPr>
          <w:rtl/>
        </w:rPr>
      </w:pPr>
      <w:r w:rsidRPr="00676155">
        <w:rPr>
          <w:rFonts w:ascii="Arial" w:hAnsi="Arial"/>
          <w:color w:val="FFFFFF"/>
          <w:sz w:val="2"/>
          <w:szCs w:val="2"/>
          <w:rtl/>
        </w:rPr>
        <w:t>54678313</w:t>
      </w:r>
      <w:r>
        <w:rPr>
          <w:rFonts w:ascii="Arial" w:hAnsi="Arial"/>
          <w:rtl/>
        </w:rPr>
        <w:t xml:space="preserve">ניתן היום,  ט"ו אייר תשע"ה, 04 מאי 2015, במעמד הצדדים. </w:t>
      </w:r>
    </w:p>
    <w:p w14:paraId="721EFF46" w14:textId="77777777" w:rsidR="00076894" w:rsidRDefault="0067615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A341133" w14:textId="77777777" w:rsidR="00076894" w:rsidRDefault="00076894">
      <w:pPr>
        <w:jc w:val="center"/>
        <w:rPr>
          <w:rFonts w:ascii="Arial" w:hAnsi="Arial"/>
          <w:rtl/>
        </w:rPr>
      </w:pPr>
    </w:p>
    <w:p w14:paraId="2A84933E" w14:textId="77777777" w:rsidR="00076894" w:rsidRDefault="00076894">
      <w:pPr>
        <w:rPr>
          <w:rtl/>
        </w:rPr>
      </w:pPr>
    </w:p>
    <w:p w14:paraId="3B117077" w14:textId="77777777" w:rsidR="00076894" w:rsidRDefault="00076894">
      <w:pPr>
        <w:pStyle w:val="a3"/>
        <w:jc w:val="center"/>
        <w:rPr>
          <w:rtl/>
        </w:rPr>
      </w:pPr>
    </w:p>
    <w:p w14:paraId="27144EE3" w14:textId="77777777" w:rsidR="00676155" w:rsidRPr="00676155" w:rsidRDefault="00676155" w:rsidP="00676155">
      <w:pPr>
        <w:keepNext/>
        <w:rPr>
          <w:rFonts w:ascii="David" w:hAnsi="David"/>
          <w:color w:val="000000"/>
          <w:sz w:val="22"/>
          <w:szCs w:val="22"/>
          <w:rtl/>
        </w:rPr>
      </w:pPr>
    </w:p>
    <w:p w14:paraId="51232325" w14:textId="77777777" w:rsidR="00676155" w:rsidRPr="00676155" w:rsidRDefault="00676155" w:rsidP="00676155">
      <w:pPr>
        <w:keepNext/>
        <w:rPr>
          <w:rFonts w:ascii="David" w:hAnsi="David"/>
          <w:color w:val="000000"/>
          <w:sz w:val="22"/>
          <w:szCs w:val="22"/>
          <w:rtl/>
        </w:rPr>
      </w:pPr>
      <w:r w:rsidRPr="00676155">
        <w:rPr>
          <w:rFonts w:ascii="David" w:hAnsi="David"/>
          <w:color w:val="000000"/>
          <w:sz w:val="22"/>
          <w:szCs w:val="22"/>
          <w:rtl/>
        </w:rPr>
        <w:t>עידו דרויאן 54678313</w:t>
      </w:r>
    </w:p>
    <w:p w14:paraId="4C08239F" w14:textId="77777777" w:rsidR="00676155" w:rsidRDefault="00676155" w:rsidP="00676155">
      <w:r w:rsidRPr="00676155">
        <w:rPr>
          <w:color w:val="000000"/>
          <w:rtl/>
        </w:rPr>
        <w:t>נוסח מסמך זה כפוף לשינויי ניסוח ועריכה</w:t>
      </w:r>
    </w:p>
    <w:p w14:paraId="6F4B7B27" w14:textId="77777777" w:rsidR="00676155" w:rsidRDefault="00676155" w:rsidP="00676155">
      <w:pPr>
        <w:rPr>
          <w:rtl/>
        </w:rPr>
      </w:pPr>
    </w:p>
    <w:p w14:paraId="3DC072B1" w14:textId="77777777" w:rsidR="00676155" w:rsidRDefault="00676155" w:rsidP="00676155">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1AFCBCF4" w14:textId="77777777" w:rsidR="00076894" w:rsidRPr="00676155" w:rsidRDefault="00076894" w:rsidP="00676155">
      <w:pPr>
        <w:jc w:val="center"/>
        <w:rPr>
          <w:color w:val="0000FF"/>
          <w:u w:val="single"/>
        </w:rPr>
      </w:pPr>
    </w:p>
    <w:sectPr w:rsidR="00076894" w:rsidRPr="00676155" w:rsidSect="00676155">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7C3AC7" w14:textId="77777777" w:rsidR="002A255C" w:rsidRDefault="002A255C">
      <w:pPr>
        <w:rPr>
          <w:rFonts w:cs="Arial"/>
          <w:szCs w:val="20"/>
        </w:rPr>
      </w:pPr>
      <w:r>
        <w:separator/>
      </w:r>
    </w:p>
  </w:endnote>
  <w:endnote w:type="continuationSeparator" w:id="0">
    <w:p w14:paraId="5CA08B8D" w14:textId="77777777" w:rsidR="002A255C" w:rsidRDefault="002A255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A35DD" w14:textId="77777777" w:rsidR="00095CB7" w:rsidRDefault="00095CB7" w:rsidP="0067615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6F614735" w14:textId="77777777" w:rsidR="00095CB7" w:rsidRPr="00676155" w:rsidRDefault="00095CB7" w:rsidP="00676155">
    <w:pPr>
      <w:pStyle w:val="a4"/>
      <w:pBdr>
        <w:top w:val="single" w:sz="4" w:space="1" w:color="auto"/>
        <w:between w:val="single" w:sz="4" w:space="0" w:color="auto"/>
      </w:pBdr>
      <w:spacing w:after="60"/>
      <w:jc w:val="center"/>
      <w:rPr>
        <w:rFonts w:ascii="FrankRuehl" w:hAnsi="FrankRuehl" w:cs="FrankRuehl"/>
        <w:color w:val="000000"/>
      </w:rPr>
    </w:pPr>
    <w:r w:rsidRPr="0067615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FAA64" w14:textId="77777777" w:rsidR="00095CB7" w:rsidRDefault="00095CB7" w:rsidP="0067615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4276E">
      <w:rPr>
        <w:rFonts w:ascii="FrankRuehl" w:hAnsi="FrankRuehl" w:cs="FrankRuehl"/>
        <w:noProof/>
        <w:rtl/>
      </w:rPr>
      <w:t>2</w:t>
    </w:r>
    <w:r>
      <w:rPr>
        <w:rFonts w:ascii="FrankRuehl" w:hAnsi="FrankRuehl" w:cs="FrankRuehl"/>
        <w:rtl/>
      </w:rPr>
      <w:fldChar w:fldCharType="end"/>
    </w:r>
  </w:p>
  <w:p w14:paraId="6768891B" w14:textId="77777777" w:rsidR="00095CB7" w:rsidRPr="00676155" w:rsidRDefault="00095CB7" w:rsidP="00676155">
    <w:pPr>
      <w:pStyle w:val="a4"/>
      <w:pBdr>
        <w:top w:val="single" w:sz="4" w:space="1" w:color="auto"/>
        <w:between w:val="single" w:sz="4" w:space="0" w:color="auto"/>
      </w:pBdr>
      <w:spacing w:after="60"/>
      <w:jc w:val="center"/>
      <w:rPr>
        <w:rFonts w:ascii="FrankRuehl" w:hAnsi="FrankRuehl" w:cs="FrankRuehl"/>
        <w:color w:val="000000"/>
      </w:rPr>
    </w:pPr>
    <w:r w:rsidRPr="00676155">
      <w:rPr>
        <w:rFonts w:ascii="FrankRuehl" w:hAnsi="FrankRuehl" w:cs="FrankRuehl"/>
        <w:color w:val="000000"/>
      </w:rPr>
      <w:pict w14:anchorId="2910D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F0A62" w14:textId="77777777" w:rsidR="002A255C" w:rsidRDefault="002A255C">
      <w:pPr>
        <w:rPr>
          <w:rFonts w:cs="Arial"/>
          <w:szCs w:val="20"/>
        </w:rPr>
      </w:pPr>
      <w:r>
        <w:separator/>
      </w:r>
    </w:p>
  </w:footnote>
  <w:footnote w:type="continuationSeparator" w:id="0">
    <w:p w14:paraId="05F8A105" w14:textId="77777777" w:rsidR="002A255C" w:rsidRDefault="002A255C">
      <w:pPr>
        <w:rPr>
          <w:rFonts w:cs="Arial"/>
          <w:szCs w:val="20"/>
        </w:rPr>
      </w:pPr>
      <w:r>
        <w:continuationSeparator/>
      </w:r>
    </w:p>
  </w:footnote>
  <w:footnote w:id="1">
    <w:p w14:paraId="050CEBE3" w14:textId="77777777" w:rsidR="00095CB7" w:rsidRDefault="00095CB7">
      <w:pPr>
        <w:ind w:left="720" w:hanging="720"/>
        <w:jc w:val="both"/>
      </w:pPr>
      <w:r>
        <w:rPr>
          <w:rStyle w:val="a8"/>
        </w:rPr>
        <w:footnoteRef/>
      </w:r>
      <w:r>
        <w:rPr>
          <w:rtl/>
        </w:rPr>
        <w:t xml:space="preserve"> </w:t>
      </w:r>
      <w:r>
        <w:rPr>
          <w:rtl/>
        </w:rPr>
        <w:tab/>
      </w:r>
      <w:r>
        <w:rPr>
          <w:rFonts w:hint="cs"/>
          <w:rtl/>
        </w:rPr>
        <w:t>אזכיר, שהלכה פסוקה היא, שהימנעות מזימון לעדות של עד הגנה, אשר לפי תכתיב השכל הישר היה עשוי לתרום לגילוי האמת, יוצרת הנחה, שדבריו היו פועלים לחיזוק הגרסה המפלילה בה דוגלת התביעה (</w:t>
      </w:r>
      <w:hyperlink r:id="rId1" w:history="1">
        <w:r w:rsidRPr="00676155">
          <w:rPr>
            <w:color w:val="0000FF"/>
            <w:u w:val="single"/>
            <w:rtl/>
          </w:rPr>
          <w:t>ע"פ 437/82</w:t>
        </w:r>
      </w:hyperlink>
      <w:r>
        <w:rPr>
          <w:rFonts w:hint="cs"/>
          <w:rtl/>
        </w:rPr>
        <w:t xml:space="preserve"> </w:t>
      </w:r>
      <w:r>
        <w:rPr>
          <w:rFonts w:hint="cs"/>
          <w:b/>
          <w:bCs/>
          <w:rtl/>
        </w:rPr>
        <w:t>אבו נ' מ.י.</w:t>
      </w:r>
      <w:r>
        <w:rPr>
          <w:rFonts w:hint="cs"/>
          <w:rtl/>
        </w:rPr>
        <w:t xml:space="preserve"> (1983) ). </w:t>
      </w:r>
    </w:p>
    <w:p w14:paraId="5BC226E6" w14:textId="77777777" w:rsidR="00095CB7" w:rsidRDefault="00095CB7">
      <w:pPr>
        <w:pStyle w:val="a6"/>
        <w:rPr>
          <w:rtl/>
        </w:rPr>
      </w:pPr>
    </w:p>
  </w:footnote>
  <w:footnote w:id="2">
    <w:p w14:paraId="425B31AD" w14:textId="77777777" w:rsidR="00095CB7" w:rsidRDefault="00095CB7">
      <w:pPr>
        <w:pStyle w:val="a6"/>
        <w:rPr>
          <w:sz w:val="24"/>
          <w:szCs w:val="24"/>
        </w:rPr>
      </w:pPr>
      <w:r>
        <w:rPr>
          <w:rStyle w:val="a8"/>
        </w:rPr>
        <w:footnoteRef/>
      </w:r>
      <w:r>
        <w:rPr>
          <w:rtl/>
        </w:rPr>
        <w:t xml:space="preserve"> </w:t>
      </w:r>
      <w:r>
        <w:rPr>
          <w:rtl/>
        </w:rPr>
        <w:tab/>
      </w:r>
      <w:r>
        <w:rPr>
          <w:rFonts w:hint="cs"/>
          <w:sz w:val="24"/>
          <w:szCs w:val="24"/>
          <w:rtl/>
        </w:rPr>
        <w:t xml:space="preserve">ערעור שהוגש נדחה בהסכמה, </w:t>
      </w:r>
      <w:hyperlink r:id="rId2" w:history="1">
        <w:r w:rsidRPr="00676155">
          <w:rPr>
            <w:color w:val="0000FF"/>
            <w:sz w:val="24"/>
            <w:szCs w:val="24"/>
            <w:u w:val="single"/>
            <w:rtl/>
          </w:rPr>
          <w:t>עפ"ג 51986-12-14</w:t>
        </w:r>
      </w:hyperlink>
      <w:r>
        <w:rPr>
          <w:rFonts w:hint="cs"/>
          <w:sz w:val="24"/>
          <w:szCs w:val="24"/>
          <w:rtl/>
        </w:rPr>
        <w:t xml:space="preserve"> </w:t>
      </w:r>
      <w:r>
        <w:rPr>
          <w:rFonts w:hint="cs"/>
          <w:b/>
          <w:bCs/>
          <w:sz w:val="24"/>
          <w:szCs w:val="24"/>
          <w:rtl/>
        </w:rPr>
        <w:t>חנא נ' מ.י.</w:t>
      </w:r>
      <w:r>
        <w:rPr>
          <w:rFonts w:hint="cs"/>
          <w:sz w:val="24"/>
          <w:szCs w:val="24"/>
          <w:rtl/>
        </w:rPr>
        <w:t xml:space="preserve"> (2015);</w:t>
      </w:r>
    </w:p>
  </w:footnote>
  <w:footnote w:id="3">
    <w:p w14:paraId="3F8D97CF" w14:textId="77777777" w:rsidR="00095CB7" w:rsidRDefault="00095CB7">
      <w:pPr>
        <w:pStyle w:val="a6"/>
        <w:ind w:left="720" w:hanging="720"/>
        <w:jc w:val="both"/>
        <w:rPr>
          <w:sz w:val="24"/>
          <w:szCs w:val="24"/>
        </w:rPr>
      </w:pPr>
      <w:r>
        <w:rPr>
          <w:rStyle w:val="a8"/>
        </w:rPr>
        <w:footnoteRef/>
      </w:r>
      <w:r>
        <w:rPr>
          <w:rFonts w:hint="cs"/>
          <w:rtl/>
        </w:rPr>
        <w:t xml:space="preserve"> </w:t>
      </w:r>
      <w:r>
        <w:rPr>
          <w:rFonts w:hint="cs"/>
          <w:rtl/>
        </w:rPr>
        <w:tab/>
      </w:r>
      <w:r>
        <w:rPr>
          <w:rFonts w:hint="cs"/>
          <w:sz w:val="24"/>
          <w:szCs w:val="24"/>
          <w:rtl/>
        </w:rPr>
        <w:t>בגזרי הדין משנת 2013 ואילך נקבעו מתחמי ענישה לפי הוראות תיקון 113, הנעים בין עשרה ל-22, 24 ו-30 חודשים, שלא תוקנו בערעורים;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4DB71" w14:textId="77777777" w:rsidR="00095CB7" w:rsidRPr="00676155" w:rsidRDefault="00095CB7" w:rsidP="006761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15425-02-14</w:t>
    </w:r>
    <w:r>
      <w:rPr>
        <w:rFonts w:ascii="David" w:hAnsi="David"/>
        <w:color w:val="000000"/>
        <w:sz w:val="22"/>
        <w:szCs w:val="22"/>
        <w:rtl/>
      </w:rPr>
      <w:tab/>
      <w:t xml:space="preserve"> מדינת ישראל נ' ערן יצחק גילוני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9A62C" w14:textId="77777777" w:rsidR="00095CB7" w:rsidRPr="00676155" w:rsidRDefault="00095CB7" w:rsidP="006761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15425-02-14</w:t>
    </w:r>
    <w:r>
      <w:rPr>
        <w:rFonts w:ascii="David" w:hAnsi="David"/>
        <w:color w:val="000000"/>
        <w:sz w:val="22"/>
        <w:szCs w:val="22"/>
        <w:rtl/>
      </w:rPr>
      <w:tab/>
      <w:t xml:space="preserve"> מדינת ישראל נ' ערן יצחק גילוני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72D7A"/>
    <w:multiLevelType w:val="hybridMultilevel"/>
    <w:tmpl w:val="A2866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D238FF"/>
    <w:multiLevelType w:val="hybridMultilevel"/>
    <w:tmpl w:val="BDBA23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4B4AA7"/>
    <w:multiLevelType w:val="hybridMultilevel"/>
    <w:tmpl w:val="235CE2AA"/>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120BCC"/>
    <w:multiLevelType w:val="hybridMultilevel"/>
    <w:tmpl w:val="85E64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061375B"/>
    <w:multiLevelType w:val="hybridMultilevel"/>
    <w:tmpl w:val="A2866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F304E6"/>
    <w:multiLevelType w:val="hybridMultilevel"/>
    <w:tmpl w:val="E256A8C6"/>
    <w:lvl w:ilvl="0" w:tplc="0409000F">
      <w:start w:val="1"/>
      <w:numFmt w:val="decimal"/>
      <w:lvlText w:val="%1."/>
      <w:lvlJc w:val="left"/>
      <w:pPr>
        <w:ind w:left="360" w:hanging="360"/>
      </w:pPr>
    </w:lvl>
    <w:lvl w:ilvl="1" w:tplc="04090013">
      <w:start w:val="1"/>
      <w:numFmt w:val="hebrew1"/>
      <w:lvlText w:val="%2."/>
      <w:lvlJc w:val="center"/>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74318460">
    <w:abstractNumId w:val="3"/>
  </w:num>
  <w:num w:numId="2" w16cid:durableId="306132637">
    <w:abstractNumId w:val="2"/>
  </w:num>
  <w:num w:numId="3" w16cid:durableId="1624769101">
    <w:abstractNumId w:val="0"/>
  </w:num>
  <w:num w:numId="4" w16cid:durableId="1968244274">
    <w:abstractNumId w:val="1"/>
  </w:num>
  <w:num w:numId="5" w16cid:durableId="1790584146">
    <w:abstractNumId w:val="4"/>
  </w:num>
  <w:num w:numId="6" w16cid:durableId="1928079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6894"/>
    <w:rsid w:val="00073999"/>
    <w:rsid w:val="00076894"/>
    <w:rsid w:val="00095CB7"/>
    <w:rsid w:val="00185626"/>
    <w:rsid w:val="002137BD"/>
    <w:rsid w:val="00267F2D"/>
    <w:rsid w:val="00274ABC"/>
    <w:rsid w:val="002A255C"/>
    <w:rsid w:val="0044276E"/>
    <w:rsid w:val="004B354A"/>
    <w:rsid w:val="00544EB3"/>
    <w:rsid w:val="00676155"/>
    <w:rsid w:val="00DD60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EC7D930"/>
  <w15:chartTrackingRefBased/>
  <w15:docId w15:val="{6CF1A7F7-B4CB-4389-8DD4-1610AD66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6894"/>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76894"/>
    <w:pPr>
      <w:tabs>
        <w:tab w:val="center" w:pos="4153"/>
        <w:tab w:val="right" w:pos="8306"/>
      </w:tabs>
    </w:pPr>
  </w:style>
  <w:style w:type="paragraph" w:styleId="a4">
    <w:name w:val="footer"/>
    <w:basedOn w:val="a"/>
    <w:rsid w:val="00076894"/>
    <w:pPr>
      <w:tabs>
        <w:tab w:val="center" w:pos="4153"/>
        <w:tab w:val="right" w:pos="8306"/>
      </w:tabs>
    </w:pPr>
  </w:style>
  <w:style w:type="character" w:styleId="a5">
    <w:name w:val="page number"/>
    <w:basedOn w:val="a0"/>
    <w:rsid w:val="00076894"/>
  </w:style>
  <w:style w:type="paragraph" w:customStyle="1" w:styleId="ListParagraph">
    <w:name w:val="List Paragraph"/>
    <w:basedOn w:val="a"/>
    <w:rsid w:val="00076894"/>
    <w:pPr>
      <w:ind w:left="720"/>
      <w:contextualSpacing/>
    </w:pPr>
  </w:style>
  <w:style w:type="paragraph" w:styleId="a6">
    <w:name w:val="footnote text"/>
    <w:basedOn w:val="a"/>
    <w:link w:val="a7"/>
    <w:rsid w:val="00076894"/>
    <w:rPr>
      <w:sz w:val="20"/>
      <w:szCs w:val="20"/>
    </w:rPr>
  </w:style>
  <w:style w:type="character" w:customStyle="1" w:styleId="a7">
    <w:name w:val="טקסט הערת שוליים תו"/>
    <w:link w:val="a6"/>
    <w:rsid w:val="00076894"/>
    <w:rPr>
      <w:rFonts w:cs="David"/>
      <w:lang w:val="en-US" w:eastAsia="en-US" w:bidi="he-IL"/>
    </w:rPr>
  </w:style>
  <w:style w:type="character" w:styleId="a8">
    <w:name w:val="footnote reference"/>
    <w:rsid w:val="00076894"/>
    <w:rPr>
      <w:vertAlign w:val="superscript"/>
    </w:rPr>
  </w:style>
  <w:style w:type="character" w:styleId="Hyperlink">
    <w:name w:val="Hyperlink"/>
    <w:rsid w:val="00676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case/419955" TargetMode="External"/><Relationship Id="rId26" Type="http://schemas.openxmlformats.org/officeDocument/2006/relationships/hyperlink" Target="http://www.nevo.co.il/case/11292932" TargetMode="External"/><Relationship Id="rId3" Type="http://schemas.openxmlformats.org/officeDocument/2006/relationships/settings" Target="settings.xml"/><Relationship Id="rId21" Type="http://schemas.openxmlformats.org/officeDocument/2006/relationships/hyperlink" Target="http://www.nevo.co.il/case/4855721"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11291895" TargetMode="External"/><Relationship Id="rId25" Type="http://schemas.openxmlformats.org/officeDocument/2006/relationships/hyperlink" Target="http://www.nevo.co.il/case/11237056"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13067614" TargetMode="External"/><Relationship Id="rId20" Type="http://schemas.openxmlformats.org/officeDocument/2006/relationships/hyperlink" Target="http://www.nevo.co.il/case/4914678"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784066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16938303" TargetMode="External"/><Relationship Id="rId23" Type="http://schemas.openxmlformats.org/officeDocument/2006/relationships/hyperlink" Target="http://www.nevo.co.il/case/4048397"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40i" TargetMode="External"/><Relationship Id="rId19" Type="http://schemas.openxmlformats.org/officeDocument/2006/relationships/hyperlink" Target="http://www.nevo.co.il/case/5079155"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4044896" TargetMode="External"/><Relationship Id="rId27" Type="http://schemas.openxmlformats.org/officeDocument/2006/relationships/hyperlink" Target="http://www.nevo.co.il/case/6473037" TargetMode="External"/><Relationship Id="rId30" Type="http://schemas.openxmlformats.org/officeDocument/2006/relationships/header" Target="header2.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nevo.co.il/case/18758102" TargetMode="External"/><Relationship Id="rId1" Type="http://schemas.openxmlformats.org/officeDocument/2006/relationships/hyperlink" Target="http://www.nevo.co.il/case/17923057"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2754</Words>
  <Characters>13775</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16497</CharactersWithSpaces>
  <SharedDoc>false</SharedDoc>
  <HLinks>
    <vt:vector size="144" baseType="variant">
      <vt:variant>
        <vt:i4>393283</vt:i4>
      </vt:variant>
      <vt:variant>
        <vt:i4>63</vt:i4>
      </vt:variant>
      <vt:variant>
        <vt:i4>0</vt:i4>
      </vt:variant>
      <vt:variant>
        <vt:i4>5</vt:i4>
      </vt:variant>
      <vt:variant>
        <vt:lpwstr>http://www.nevo.co.il/advertisements/nevo-100.doc</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3276917</vt:i4>
      </vt:variant>
      <vt:variant>
        <vt:i4>57</vt:i4>
      </vt:variant>
      <vt:variant>
        <vt:i4>0</vt:i4>
      </vt:variant>
      <vt:variant>
        <vt:i4>5</vt:i4>
      </vt:variant>
      <vt:variant>
        <vt:lpwstr>http://www.nevo.co.il/case/11292932</vt:lpwstr>
      </vt:variant>
      <vt:variant>
        <vt:lpwstr/>
      </vt:variant>
      <vt:variant>
        <vt:i4>3211382</vt:i4>
      </vt:variant>
      <vt:variant>
        <vt:i4>54</vt:i4>
      </vt:variant>
      <vt:variant>
        <vt:i4>0</vt:i4>
      </vt:variant>
      <vt:variant>
        <vt:i4>5</vt:i4>
      </vt:variant>
      <vt:variant>
        <vt:lpwstr>http://www.nevo.co.il/case/11237056</vt:lpwstr>
      </vt:variant>
      <vt:variant>
        <vt:lpwstr/>
      </vt:variant>
      <vt:variant>
        <vt:i4>3604602</vt:i4>
      </vt:variant>
      <vt:variant>
        <vt:i4>51</vt:i4>
      </vt:variant>
      <vt:variant>
        <vt:i4>0</vt:i4>
      </vt:variant>
      <vt:variant>
        <vt:i4>5</vt:i4>
      </vt:variant>
      <vt:variant>
        <vt:lpwstr>http://www.nevo.co.il/case/7840662</vt:lpwstr>
      </vt:variant>
      <vt:variant>
        <vt:lpwstr/>
      </vt:variant>
      <vt:variant>
        <vt:i4>3407989</vt:i4>
      </vt:variant>
      <vt:variant>
        <vt:i4>48</vt:i4>
      </vt:variant>
      <vt:variant>
        <vt:i4>0</vt:i4>
      </vt:variant>
      <vt:variant>
        <vt:i4>5</vt:i4>
      </vt:variant>
      <vt:variant>
        <vt:lpwstr>http://www.nevo.co.il/case/4048397</vt:lpwstr>
      </vt:variant>
      <vt:variant>
        <vt:lpwstr/>
      </vt:variant>
      <vt:variant>
        <vt:i4>4063353</vt:i4>
      </vt:variant>
      <vt:variant>
        <vt:i4>45</vt:i4>
      </vt:variant>
      <vt:variant>
        <vt:i4>0</vt:i4>
      </vt:variant>
      <vt:variant>
        <vt:i4>5</vt:i4>
      </vt:variant>
      <vt:variant>
        <vt:lpwstr>http://www.nevo.co.il/case/4044896</vt:lpwstr>
      </vt:variant>
      <vt:variant>
        <vt:lpwstr/>
      </vt:variant>
      <vt:variant>
        <vt:i4>3604603</vt:i4>
      </vt:variant>
      <vt:variant>
        <vt:i4>42</vt:i4>
      </vt:variant>
      <vt:variant>
        <vt:i4>0</vt:i4>
      </vt:variant>
      <vt:variant>
        <vt:i4>5</vt:i4>
      </vt:variant>
      <vt:variant>
        <vt:lpwstr>http://www.nevo.co.il/case/4855721</vt:lpwstr>
      </vt:variant>
      <vt:variant>
        <vt:lpwstr/>
      </vt:variant>
      <vt:variant>
        <vt:i4>3866750</vt:i4>
      </vt:variant>
      <vt:variant>
        <vt:i4>39</vt:i4>
      </vt:variant>
      <vt:variant>
        <vt:i4>0</vt:i4>
      </vt:variant>
      <vt:variant>
        <vt:i4>5</vt:i4>
      </vt:variant>
      <vt:variant>
        <vt:lpwstr>http://www.nevo.co.il/case/4914678</vt:lpwstr>
      </vt:variant>
      <vt:variant>
        <vt:lpwstr/>
      </vt:variant>
      <vt:variant>
        <vt:i4>3539064</vt:i4>
      </vt:variant>
      <vt:variant>
        <vt:i4>36</vt:i4>
      </vt:variant>
      <vt:variant>
        <vt:i4>0</vt:i4>
      </vt:variant>
      <vt:variant>
        <vt:i4>5</vt:i4>
      </vt:variant>
      <vt:variant>
        <vt:lpwstr>http://www.nevo.co.il/case/5079155</vt:lpwstr>
      </vt:variant>
      <vt:variant>
        <vt:lpwstr/>
      </vt:variant>
      <vt:variant>
        <vt:i4>524364</vt:i4>
      </vt:variant>
      <vt:variant>
        <vt:i4>33</vt:i4>
      </vt:variant>
      <vt:variant>
        <vt:i4>0</vt:i4>
      </vt:variant>
      <vt:variant>
        <vt:i4>5</vt:i4>
      </vt:variant>
      <vt:variant>
        <vt:lpwstr>http://www.nevo.co.il/case/419955</vt:lpwstr>
      </vt:variant>
      <vt:variant>
        <vt:lpwstr/>
      </vt:variant>
      <vt:variant>
        <vt:i4>3866740</vt:i4>
      </vt:variant>
      <vt:variant>
        <vt:i4>30</vt:i4>
      </vt:variant>
      <vt:variant>
        <vt:i4>0</vt:i4>
      </vt:variant>
      <vt:variant>
        <vt:i4>5</vt:i4>
      </vt:variant>
      <vt:variant>
        <vt:lpwstr>http://www.nevo.co.il/case/11291895</vt:lpwstr>
      </vt:variant>
      <vt:variant>
        <vt:lpwstr/>
      </vt:variant>
      <vt:variant>
        <vt:i4>3604599</vt:i4>
      </vt:variant>
      <vt:variant>
        <vt:i4>27</vt:i4>
      </vt:variant>
      <vt:variant>
        <vt:i4>0</vt:i4>
      </vt:variant>
      <vt:variant>
        <vt:i4>5</vt:i4>
      </vt:variant>
      <vt:variant>
        <vt:lpwstr>http://www.nevo.co.il/case/13067614</vt:lpwstr>
      </vt:variant>
      <vt:variant>
        <vt:lpwstr/>
      </vt:variant>
      <vt:variant>
        <vt:i4>3145842</vt:i4>
      </vt:variant>
      <vt:variant>
        <vt:i4>24</vt:i4>
      </vt:variant>
      <vt:variant>
        <vt:i4>0</vt:i4>
      </vt:variant>
      <vt:variant>
        <vt:i4>5</vt:i4>
      </vt:variant>
      <vt:variant>
        <vt:lpwstr>http://www.nevo.co.il/case/16938303</vt:lpwstr>
      </vt:variant>
      <vt:variant>
        <vt:lpwstr/>
      </vt:variant>
      <vt:variant>
        <vt:i4>7995492</vt:i4>
      </vt:variant>
      <vt:variant>
        <vt:i4>21</vt:i4>
      </vt:variant>
      <vt:variant>
        <vt:i4>0</vt:i4>
      </vt:variant>
      <vt:variant>
        <vt:i4>5</vt:i4>
      </vt:variant>
      <vt:variant>
        <vt:lpwstr>http://www.nevo.co.il/law/70301</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ariant>
        <vt:i4>4063352</vt:i4>
      </vt:variant>
      <vt:variant>
        <vt:i4>3</vt:i4>
      </vt:variant>
      <vt:variant>
        <vt:i4>0</vt:i4>
      </vt:variant>
      <vt:variant>
        <vt:i4>5</vt:i4>
      </vt:variant>
      <vt:variant>
        <vt:lpwstr>http://www.nevo.co.il/case/18758102</vt:lpwstr>
      </vt:variant>
      <vt:variant>
        <vt:lpwstr/>
      </vt:variant>
      <vt:variant>
        <vt:i4>4063345</vt:i4>
      </vt:variant>
      <vt:variant>
        <vt:i4>0</vt:i4>
      </vt:variant>
      <vt:variant>
        <vt:i4>0</vt:i4>
      </vt:variant>
      <vt:variant>
        <vt:i4>5</vt:i4>
      </vt:variant>
      <vt:variant>
        <vt:lpwstr>http://www.nevo.co.il/case/17923057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2025-04-22T22:14:00Z</dcterms:created>
  <dcterms:modified xsi:type="dcterms:W3CDTF">2025-04-22T22:14:00Z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15425</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ערן יצחק גילוני</vt:lpwstr>
  </property>
  <property fmtid="{D5CDD505-2E9C-101B-9397-08002B2CF9AE}" pid="10" name="LAWYER">
    <vt:lpwstr>א' אסולין;נ' זרנגר;נס בן נתן</vt:lpwstr>
  </property>
  <property fmtid="{D5CDD505-2E9C-101B-9397-08002B2CF9AE}" pid="11" name="JUDGE">
    <vt:lpwstr>עידו דרויאן</vt:lpwstr>
  </property>
  <property fmtid="{D5CDD505-2E9C-101B-9397-08002B2CF9AE}" pid="12" name="CITY">
    <vt:lpwstr>ת"א</vt:lpwstr>
  </property>
  <property fmtid="{D5CDD505-2E9C-101B-9397-08002B2CF9AE}" pid="13" name="DATE">
    <vt:lpwstr>20150504</vt:lpwstr>
  </property>
  <property fmtid="{D5CDD505-2E9C-101B-9397-08002B2CF9AE}" pid="14" name="TYPE_N_DATE">
    <vt:lpwstr>38020150504</vt:lpwstr>
  </property>
  <property fmtid="{D5CDD505-2E9C-101B-9397-08002B2CF9AE}" pid="15" name="WORDNUMPAGES">
    <vt:lpwstr>9</vt:lpwstr>
  </property>
  <property fmtid="{D5CDD505-2E9C-101B-9397-08002B2CF9AE}" pid="16" name="TYPE_ABS_DATE">
    <vt:lpwstr>380020150504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16938303;13067614;11291895;419955;5079155;4914678;4855721;4044896;4048397;7840662;11237056;11292932;6473037;17923057;18758102</vt:lpwstr>
  </property>
  <property fmtid="{D5CDD505-2E9C-101B-9397-08002B2CF9AE}" pid="36" name="LAWLISTTMP1">
    <vt:lpwstr>4216/006:2</vt:lpwstr>
  </property>
  <property fmtid="{D5CDD505-2E9C-101B-9397-08002B2CF9AE}" pid="37" name="LAWLISTTMP2">
    <vt:lpwstr>70301/040i:2</vt:lpwstr>
  </property>
</Properties>
</file>