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C71F3" w:rsidRPr="00C75A96" w14:paraId="78BF70BC" w14:textId="77777777">
        <w:trPr>
          <w:trHeight w:hRule="exact" w:val="418"/>
          <w:jc w:val="center"/>
        </w:trPr>
        <w:tc>
          <w:tcPr>
            <w:tcW w:w="8721" w:type="dxa"/>
            <w:gridSpan w:val="2"/>
          </w:tcPr>
          <w:p w14:paraId="0EAC0819" w14:textId="77777777" w:rsidR="006C71F3" w:rsidRPr="00C75A96" w:rsidRDefault="00C75A96">
            <w:pPr>
              <w:pStyle w:val="a3"/>
              <w:jc w:val="center"/>
              <w:rPr>
                <w:rFonts w:ascii="Tahoma" w:hAnsi="Tahoma" w:cs="Tahoma"/>
                <w:color w:val="000080"/>
                <w:rtl/>
              </w:rPr>
            </w:pPr>
            <w:bookmarkStart w:id="0" w:name="LastJudge"/>
            <w:r w:rsidRPr="00C75A96">
              <w:rPr>
                <w:rFonts w:ascii="Tahoma" w:hAnsi="Tahoma" w:cs="Tahoma"/>
                <w:b/>
                <w:bCs/>
                <w:color w:val="000080"/>
                <w:rtl/>
              </w:rPr>
              <w:t>בית משפט השלום בכפר סבא</w:t>
            </w:r>
          </w:p>
        </w:tc>
      </w:tr>
      <w:tr w:rsidR="006C71F3" w:rsidRPr="00C75A96" w14:paraId="39E29F73" w14:textId="77777777">
        <w:trPr>
          <w:trHeight w:val="337"/>
          <w:jc w:val="center"/>
        </w:trPr>
        <w:tc>
          <w:tcPr>
            <w:tcW w:w="5054" w:type="dxa"/>
          </w:tcPr>
          <w:p w14:paraId="6354CB57" w14:textId="77777777" w:rsidR="006C71F3" w:rsidRPr="00C75A96" w:rsidRDefault="00C75A96">
            <w:pPr>
              <w:rPr>
                <w:rFonts w:cs="FrankRuehl"/>
                <w:sz w:val="28"/>
                <w:szCs w:val="28"/>
                <w:rtl/>
              </w:rPr>
            </w:pPr>
            <w:r w:rsidRPr="00C75A96">
              <w:rPr>
                <w:rFonts w:cs="FrankRuehl"/>
                <w:sz w:val="28"/>
                <w:szCs w:val="28"/>
                <w:rtl/>
              </w:rPr>
              <w:t>ת"פ</w:t>
            </w:r>
            <w:r w:rsidRPr="00C75A96">
              <w:rPr>
                <w:rFonts w:cs="FrankRuehl" w:hint="cs"/>
                <w:sz w:val="28"/>
                <w:szCs w:val="28"/>
                <w:rtl/>
              </w:rPr>
              <w:t xml:space="preserve"> </w:t>
            </w:r>
            <w:r w:rsidRPr="00C75A96">
              <w:rPr>
                <w:rFonts w:cs="FrankRuehl"/>
                <w:sz w:val="28"/>
                <w:szCs w:val="28"/>
                <w:rtl/>
              </w:rPr>
              <w:t>42512-02-14</w:t>
            </w:r>
            <w:r w:rsidRPr="00C75A96">
              <w:rPr>
                <w:rFonts w:cs="FrankRuehl" w:hint="cs"/>
                <w:sz w:val="28"/>
                <w:szCs w:val="28"/>
                <w:rtl/>
              </w:rPr>
              <w:t xml:space="preserve"> </w:t>
            </w:r>
            <w:r w:rsidRPr="00C75A96">
              <w:rPr>
                <w:rFonts w:cs="FrankRuehl"/>
                <w:sz w:val="28"/>
                <w:szCs w:val="28"/>
                <w:rtl/>
              </w:rPr>
              <w:t>מדינת ישראל נ' ציבולסקי(עציר)</w:t>
            </w:r>
          </w:p>
          <w:p w14:paraId="4709A9F0" w14:textId="77777777" w:rsidR="006C71F3" w:rsidRPr="00C75A96" w:rsidRDefault="006C71F3">
            <w:pPr>
              <w:pStyle w:val="a3"/>
              <w:rPr>
                <w:rFonts w:cs="FrankRuehl"/>
                <w:sz w:val="28"/>
                <w:szCs w:val="28"/>
                <w:rtl/>
              </w:rPr>
            </w:pPr>
          </w:p>
        </w:tc>
        <w:tc>
          <w:tcPr>
            <w:tcW w:w="3667" w:type="dxa"/>
          </w:tcPr>
          <w:p w14:paraId="58C93427" w14:textId="77777777" w:rsidR="006C71F3" w:rsidRPr="00C75A96" w:rsidRDefault="00C75A96">
            <w:pPr>
              <w:pStyle w:val="a3"/>
              <w:jc w:val="right"/>
              <w:rPr>
                <w:rFonts w:cs="FrankRuehl"/>
                <w:sz w:val="28"/>
                <w:szCs w:val="28"/>
                <w:rtl/>
              </w:rPr>
            </w:pPr>
            <w:r w:rsidRPr="00C75A96">
              <w:rPr>
                <w:rFonts w:cs="FrankRuehl" w:hint="cs"/>
                <w:sz w:val="28"/>
                <w:szCs w:val="28"/>
                <w:rtl/>
              </w:rPr>
              <w:t>31 דצמבר 2014</w:t>
            </w:r>
          </w:p>
        </w:tc>
      </w:tr>
    </w:tbl>
    <w:p w14:paraId="460BCC1A" w14:textId="77777777" w:rsidR="006C71F3" w:rsidRPr="00C75A96" w:rsidRDefault="00C75A96">
      <w:pPr>
        <w:pStyle w:val="a3"/>
        <w:rPr>
          <w:rtl/>
        </w:rPr>
      </w:pPr>
      <w:r w:rsidRPr="00C75A96">
        <w:rPr>
          <w:rFonts w:hint="cs"/>
          <w:rtl/>
        </w:rPr>
        <w:t xml:space="preserve"> </w:t>
      </w:r>
    </w:p>
    <w:p w14:paraId="4DA1ECAB" w14:textId="77777777" w:rsidR="006C71F3" w:rsidRPr="00C75A96" w:rsidRDefault="00C75A96">
      <w:pPr>
        <w:pStyle w:val="a3"/>
      </w:pPr>
      <w:r w:rsidRPr="00C75A96">
        <w:rPr>
          <w:rFonts w:cs="Times New Roman" w:hint="cs"/>
          <w:b/>
          <w:bCs/>
          <w:sz w:val="26"/>
          <w:szCs w:val="28"/>
          <w:rtl/>
        </w:rPr>
        <w:t xml:space="preserve"> </w:t>
      </w:r>
    </w:p>
    <w:p w14:paraId="58013330" w14:textId="77777777" w:rsidR="006C71F3" w:rsidRPr="00C75A96" w:rsidRDefault="006C71F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C71F3" w:rsidRPr="00C75A96" w14:paraId="4A8835F5" w14:textId="77777777">
        <w:trPr>
          <w:trHeight w:val="295"/>
          <w:jc w:val="center"/>
        </w:trPr>
        <w:tc>
          <w:tcPr>
            <w:tcW w:w="923" w:type="dxa"/>
            <w:tcBorders>
              <w:top w:val="nil"/>
              <w:left w:val="nil"/>
              <w:bottom w:val="nil"/>
              <w:right w:val="nil"/>
            </w:tcBorders>
          </w:tcPr>
          <w:p w14:paraId="411594D3" w14:textId="77777777" w:rsidR="006C71F3" w:rsidRPr="00C75A96" w:rsidRDefault="00C75A96">
            <w:pPr>
              <w:jc w:val="both"/>
              <w:rPr>
                <w:rFonts w:ascii="Arial" w:hAnsi="Arial"/>
                <w:sz w:val="26"/>
                <w:szCs w:val="26"/>
              </w:rPr>
            </w:pPr>
            <w:r w:rsidRPr="00C75A96">
              <w:rPr>
                <w:rFonts w:ascii="Arial" w:hAnsi="Arial" w:hint="cs"/>
                <w:sz w:val="26"/>
                <w:szCs w:val="26"/>
                <w:rtl/>
              </w:rPr>
              <w:t>ל</w:t>
            </w:r>
            <w:r w:rsidRPr="00C75A96">
              <w:rPr>
                <w:rFonts w:ascii="Arial" w:hAnsi="Arial"/>
                <w:sz w:val="26"/>
                <w:szCs w:val="26"/>
                <w:rtl/>
              </w:rPr>
              <w:t xml:space="preserve">פני </w:t>
            </w:r>
          </w:p>
        </w:tc>
        <w:tc>
          <w:tcPr>
            <w:tcW w:w="7897" w:type="dxa"/>
            <w:gridSpan w:val="2"/>
            <w:tcBorders>
              <w:top w:val="nil"/>
              <w:left w:val="nil"/>
              <w:bottom w:val="nil"/>
              <w:right w:val="nil"/>
            </w:tcBorders>
          </w:tcPr>
          <w:p w14:paraId="73FB3B11" w14:textId="77777777" w:rsidR="006C71F3" w:rsidRPr="00C75A96" w:rsidRDefault="00C75A96">
            <w:pPr>
              <w:rPr>
                <w:rFonts w:ascii="Arial" w:hAnsi="Arial"/>
                <w:b/>
                <w:bCs/>
                <w:sz w:val="26"/>
                <w:szCs w:val="26"/>
                <w:rtl/>
              </w:rPr>
            </w:pPr>
            <w:r w:rsidRPr="00C75A96">
              <w:rPr>
                <w:rFonts w:ascii="Arial" w:hAnsi="Arial" w:hint="cs"/>
                <w:b/>
                <w:bCs/>
                <w:sz w:val="26"/>
                <w:szCs w:val="26"/>
                <w:rtl/>
              </w:rPr>
              <w:t>כב' ה</w:t>
            </w:r>
            <w:r w:rsidRPr="00C75A96">
              <w:rPr>
                <w:rFonts w:hint="cs"/>
                <w:rtl/>
              </w:rPr>
              <w:t>שופט</w:t>
            </w:r>
            <w:r w:rsidRPr="00C75A96">
              <w:rPr>
                <w:rFonts w:ascii="Arial" w:hAnsi="Arial" w:hint="cs"/>
                <w:b/>
                <w:bCs/>
                <w:sz w:val="26"/>
                <w:szCs w:val="26"/>
                <w:rtl/>
              </w:rPr>
              <w:t xml:space="preserve">  </w:t>
            </w:r>
            <w:r w:rsidRPr="00C75A96">
              <w:rPr>
                <w:rFonts w:hint="cs"/>
                <w:rtl/>
              </w:rPr>
              <w:t>מיכאל קרשן</w:t>
            </w:r>
          </w:p>
          <w:p w14:paraId="0815E1E8" w14:textId="77777777" w:rsidR="006C71F3" w:rsidRPr="00C75A96" w:rsidRDefault="006C71F3">
            <w:pPr>
              <w:jc w:val="both"/>
              <w:rPr>
                <w:rFonts w:ascii="Arial" w:hAnsi="Arial"/>
                <w:sz w:val="26"/>
                <w:szCs w:val="26"/>
              </w:rPr>
            </w:pPr>
          </w:p>
        </w:tc>
      </w:tr>
      <w:tr w:rsidR="006C71F3" w:rsidRPr="00C75A96" w14:paraId="18C44F67" w14:textId="77777777">
        <w:trPr>
          <w:trHeight w:val="355"/>
          <w:jc w:val="center"/>
        </w:trPr>
        <w:tc>
          <w:tcPr>
            <w:tcW w:w="923" w:type="dxa"/>
            <w:tcBorders>
              <w:top w:val="nil"/>
              <w:left w:val="nil"/>
              <w:bottom w:val="nil"/>
              <w:right w:val="nil"/>
            </w:tcBorders>
          </w:tcPr>
          <w:p w14:paraId="668AC614" w14:textId="77777777" w:rsidR="006C71F3" w:rsidRPr="00C75A96" w:rsidRDefault="006C71F3">
            <w:pPr>
              <w:jc w:val="both"/>
              <w:rPr>
                <w:rFonts w:ascii="Arial" w:hAnsi="Arial"/>
                <w:sz w:val="26"/>
                <w:szCs w:val="26"/>
                <w:rtl/>
              </w:rPr>
            </w:pPr>
            <w:bookmarkStart w:id="1" w:name="FirstAppellant"/>
          </w:p>
          <w:p w14:paraId="74DDD171" w14:textId="77777777" w:rsidR="006C71F3" w:rsidRPr="00C75A96" w:rsidRDefault="00C75A96">
            <w:pPr>
              <w:jc w:val="both"/>
              <w:rPr>
                <w:rFonts w:ascii="Arial" w:hAnsi="Arial"/>
                <w:sz w:val="26"/>
                <w:szCs w:val="26"/>
              </w:rPr>
            </w:pPr>
            <w:r w:rsidRPr="00C75A96">
              <w:rPr>
                <w:rFonts w:ascii="Arial" w:hAnsi="Arial" w:hint="cs"/>
                <w:sz w:val="26"/>
                <w:szCs w:val="26"/>
                <w:rtl/>
              </w:rPr>
              <w:t>בעניין:</w:t>
            </w:r>
          </w:p>
        </w:tc>
        <w:tc>
          <w:tcPr>
            <w:tcW w:w="4126" w:type="dxa"/>
            <w:tcBorders>
              <w:top w:val="nil"/>
              <w:left w:val="nil"/>
              <w:bottom w:val="nil"/>
              <w:right w:val="nil"/>
            </w:tcBorders>
          </w:tcPr>
          <w:p w14:paraId="7CB8D6A1" w14:textId="77777777" w:rsidR="006C71F3" w:rsidRPr="00C75A96" w:rsidRDefault="006C71F3">
            <w:pPr>
              <w:jc w:val="both"/>
              <w:rPr>
                <w:rFonts w:ascii="Arial" w:hAnsi="Arial"/>
                <w:sz w:val="26"/>
                <w:szCs w:val="26"/>
                <w:rtl/>
              </w:rPr>
            </w:pPr>
          </w:p>
          <w:p w14:paraId="5A0EE4FC" w14:textId="77777777" w:rsidR="006C71F3" w:rsidRPr="00C75A96" w:rsidRDefault="00C75A96">
            <w:pPr>
              <w:rPr>
                <w:rFonts w:ascii="Arial" w:hAnsi="Arial"/>
                <w:sz w:val="26"/>
                <w:szCs w:val="26"/>
              </w:rPr>
            </w:pPr>
            <w:r w:rsidRPr="00C75A96">
              <w:rPr>
                <w:rFonts w:ascii="Arial" w:hAnsi="Arial" w:hint="cs"/>
                <w:sz w:val="26"/>
                <w:szCs w:val="26"/>
                <w:rtl/>
              </w:rPr>
              <w:t>ה</w:t>
            </w:r>
            <w:r w:rsidRPr="00C75A96">
              <w:rPr>
                <w:rFonts w:hint="cs"/>
                <w:rtl/>
              </w:rPr>
              <w:t>מאשימה</w:t>
            </w:r>
          </w:p>
        </w:tc>
        <w:tc>
          <w:tcPr>
            <w:tcW w:w="3771" w:type="dxa"/>
            <w:tcBorders>
              <w:top w:val="nil"/>
              <w:left w:val="nil"/>
              <w:bottom w:val="nil"/>
              <w:right w:val="nil"/>
            </w:tcBorders>
          </w:tcPr>
          <w:p w14:paraId="08737330" w14:textId="77777777" w:rsidR="006C71F3" w:rsidRPr="00C75A96" w:rsidRDefault="006C71F3">
            <w:pPr>
              <w:rPr>
                <w:rFonts w:ascii="Arial" w:hAnsi="Arial"/>
                <w:sz w:val="26"/>
                <w:szCs w:val="26"/>
                <w:rtl/>
              </w:rPr>
            </w:pPr>
          </w:p>
          <w:p w14:paraId="5016B188" w14:textId="77777777" w:rsidR="006C71F3" w:rsidRPr="00C75A96" w:rsidRDefault="00C75A96">
            <w:pPr>
              <w:rPr>
                <w:sz w:val="26"/>
                <w:szCs w:val="26"/>
              </w:rPr>
            </w:pPr>
            <w:r w:rsidRPr="00C75A96">
              <w:rPr>
                <w:rFonts w:hint="cs"/>
                <w:rtl/>
              </w:rPr>
              <w:t>מדינת ישראל</w:t>
            </w:r>
          </w:p>
          <w:p w14:paraId="11A597FC" w14:textId="77777777" w:rsidR="006C71F3" w:rsidRPr="00C75A96" w:rsidRDefault="006C71F3">
            <w:pPr>
              <w:jc w:val="both"/>
              <w:rPr>
                <w:rFonts w:ascii="Arial" w:hAnsi="Arial"/>
                <w:sz w:val="26"/>
                <w:szCs w:val="26"/>
              </w:rPr>
            </w:pPr>
          </w:p>
        </w:tc>
      </w:tr>
      <w:bookmarkEnd w:id="1"/>
      <w:tr w:rsidR="006C71F3" w:rsidRPr="00C75A96" w14:paraId="415E3DC2" w14:textId="77777777">
        <w:trPr>
          <w:trHeight w:val="355"/>
          <w:jc w:val="center"/>
        </w:trPr>
        <w:tc>
          <w:tcPr>
            <w:tcW w:w="923" w:type="dxa"/>
            <w:tcBorders>
              <w:top w:val="nil"/>
              <w:left w:val="nil"/>
              <w:bottom w:val="nil"/>
              <w:right w:val="nil"/>
            </w:tcBorders>
          </w:tcPr>
          <w:p w14:paraId="3E26E661" w14:textId="77777777" w:rsidR="006C71F3" w:rsidRPr="00C75A96" w:rsidRDefault="006C71F3">
            <w:pPr>
              <w:jc w:val="both"/>
              <w:rPr>
                <w:rFonts w:ascii="Arial" w:hAnsi="Arial"/>
                <w:sz w:val="26"/>
                <w:szCs w:val="26"/>
                <w:rtl/>
              </w:rPr>
            </w:pPr>
          </w:p>
        </w:tc>
        <w:tc>
          <w:tcPr>
            <w:tcW w:w="4126" w:type="dxa"/>
            <w:tcBorders>
              <w:top w:val="nil"/>
              <w:left w:val="nil"/>
              <w:bottom w:val="nil"/>
              <w:right w:val="nil"/>
            </w:tcBorders>
          </w:tcPr>
          <w:p w14:paraId="7560E769" w14:textId="77777777" w:rsidR="006C71F3" w:rsidRPr="00C75A96" w:rsidRDefault="006C71F3">
            <w:pPr>
              <w:jc w:val="both"/>
              <w:rPr>
                <w:sz w:val="26"/>
                <w:szCs w:val="26"/>
                <w:rtl/>
              </w:rPr>
            </w:pPr>
          </w:p>
        </w:tc>
        <w:tc>
          <w:tcPr>
            <w:tcW w:w="3771" w:type="dxa"/>
            <w:tcBorders>
              <w:top w:val="nil"/>
              <w:left w:val="nil"/>
              <w:bottom w:val="nil"/>
              <w:right w:val="nil"/>
            </w:tcBorders>
          </w:tcPr>
          <w:p w14:paraId="219A8E9F" w14:textId="77777777" w:rsidR="006C71F3" w:rsidRPr="00C75A96" w:rsidRDefault="006C71F3">
            <w:pPr>
              <w:jc w:val="right"/>
              <w:rPr>
                <w:rFonts w:ascii="Arial" w:hAnsi="Arial"/>
                <w:sz w:val="26"/>
                <w:szCs w:val="26"/>
                <w:rtl/>
              </w:rPr>
            </w:pPr>
          </w:p>
        </w:tc>
      </w:tr>
      <w:tr w:rsidR="006C71F3" w:rsidRPr="00C75A96" w14:paraId="18C93FE0" w14:textId="77777777">
        <w:trPr>
          <w:trHeight w:val="355"/>
          <w:jc w:val="center"/>
        </w:trPr>
        <w:tc>
          <w:tcPr>
            <w:tcW w:w="923" w:type="dxa"/>
            <w:tcBorders>
              <w:top w:val="nil"/>
              <w:left w:val="nil"/>
              <w:bottom w:val="nil"/>
              <w:right w:val="nil"/>
            </w:tcBorders>
          </w:tcPr>
          <w:p w14:paraId="577406B4" w14:textId="77777777" w:rsidR="006C71F3" w:rsidRPr="00C75A96" w:rsidRDefault="006C71F3">
            <w:pPr>
              <w:jc w:val="both"/>
              <w:rPr>
                <w:rFonts w:ascii="Arial" w:hAnsi="Arial"/>
                <w:sz w:val="26"/>
                <w:szCs w:val="26"/>
                <w:rtl/>
              </w:rPr>
            </w:pPr>
          </w:p>
        </w:tc>
        <w:tc>
          <w:tcPr>
            <w:tcW w:w="7897" w:type="dxa"/>
            <w:gridSpan w:val="2"/>
            <w:tcBorders>
              <w:top w:val="nil"/>
              <w:left w:val="nil"/>
              <w:bottom w:val="nil"/>
              <w:right w:val="nil"/>
            </w:tcBorders>
          </w:tcPr>
          <w:p w14:paraId="19320F52" w14:textId="77777777" w:rsidR="006C71F3" w:rsidRPr="00C75A96" w:rsidRDefault="006C71F3">
            <w:pPr>
              <w:jc w:val="center"/>
              <w:rPr>
                <w:rFonts w:ascii="Arial" w:hAnsi="Arial"/>
                <w:b/>
                <w:bCs/>
                <w:sz w:val="26"/>
                <w:szCs w:val="26"/>
                <w:rtl/>
              </w:rPr>
            </w:pPr>
          </w:p>
          <w:p w14:paraId="30826DCB" w14:textId="77777777" w:rsidR="006C71F3" w:rsidRPr="00C75A96" w:rsidRDefault="00C75A96">
            <w:pPr>
              <w:jc w:val="center"/>
              <w:rPr>
                <w:rFonts w:ascii="Arial" w:hAnsi="Arial"/>
                <w:b/>
                <w:bCs/>
                <w:sz w:val="26"/>
                <w:szCs w:val="26"/>
                <w:rtl/>
              </w:rPr>
            </w:pPr>
            <w:r w:rsidRPr="00C75A96">
              <w:rPr>
                <w:rFonts w:ascii="Arial" w:hAnsi="Arial"/>
                <w:b/>
                <w:bCs/>
                <w:sz w:val="26"/>
                <w:szCs w:val="26"/>
                <w:rtl/>
              </w:rPr>
              <w:t>נגד</w:t>
            </w:r>
          </w:p>
          <w:p w14:paraId="16BAD6A5" w14:textId="77777777" w:rsidR="006C71F3" w:rsidRPr="00C75A96" w:rsidRDefault="006C71F3">
            <w:pPr>
              <w:jc w:val="both"/>
              <w:rPr>
                <w:rFonts w:ascii="Arial" w:hAnsi="Arial"/>
                <w:sz w:val="26"/>
                <w:szCs w:val="26"/>
              </w:rPr>
            </w:pPr>
          </w:p>
        </w:tc>
      </w:tr>
      <w:tr w:rsidR="006C71F3" w:rsidRPr="00C75A96" w14:paraId="4ACFE84D" w14:textId="77777777">
        <w:trPr>
          <w:trHeight w:val="355"/>
          <w:jc w:val="center"/>
        </w:trPr>
        <w:tc>
          <w:tcPr>
            <w:tcW w:w="923" w:type="dxa"/>
            <w:tcBorders>
              <w:top w:val="nil"/>
              <w:left w:val="nil"/>
              <w:bottom w:val="nil"/>
              <w:right w:val="nil"/>
            </w:tcBorders>
          </w:tcPr>
          <w:p w14:paraId="7BA4363C" w14:textId="77777777" w:rsidR="006C71F3" w:rsidRPr="00C75A96" w:rsidRDefault="006C71F3">
            <w:pPr>
              <w:jc w:val="both"/>
              <w:rPr>
                <w:rFonts w:ascii="Arial" w:hAnsi="Arial"/>
                <w:sz w:val="26"/>
                <w:szCs w:val="26"/>
                <w:rtl/>
              </w:rPr>
            </w:pPr>
          </w:p>
        </w:tc>
        <w:tc>
          <w:tcPr>
            <w:tcW w:w="4126" w:type="dxa"/>
            <w:tcBorders>
              <w:top w:val="nil"/>
              <w:left w:val="nil"/>
              <w:bottom w:val="nil"/>
              <w:right w:val="nil"/>
            </w:tcBorders>
          </w:tcPr>
          <w:p w14:paraId="65C18F09" w14:textId="77777777" w:rsidR="006C71F3" w:rsidRPr="00C75A96" w:rsidRDefault="00C75A96">
            <w:pPr>
              <w:jc w:val="both"/>
              <w:rPr>
                <w:sz w:val="26"/>
                <w:szCs w:val="26"/>
                <w:rtl/>
              </w:rPr>
            </w:pPr>
            <w:r w:rsidRPr="00C75A96">
              <w:rPr>
                <w:rFonts w:ascii="Arial" w:hAnsi="Arial" w:hint="cs"/>
                <w:sz w:val="26"/>
                <w:szCs w:val="26"/>
                <w:rtl/>
              </w:rPr>
              <w:t>ה</w:t>
            </w:r>
            <w:r w:rsidRPr="00C75A96">
              <w:rPr>
                <w:rFonts w:hint="cs"/>
                <w:rtl/>
              </w:rPr>
              <w:t>נאשם</w:t>
            </w:r>
          </w:p>
        </w:tc>
        <w:tc>
          <w:tcPr>
            <w:tcW w:w="3771" w:type="dxa"/>
            <w:tcBorders>
              <w:top w:val="nil"/>
              <w:left w:val="nil"/>
              <w:bottom w:val="nil"/>
              <w:right w:val="nil"/>
            </w:tcBorders>
          </w:tcPr>
          <w:p w14:paraId="4D993432" w14:textId="77777777" w:rsidR="006C71F3" w:rsidRPr="00C75A96" w:rsidRDefault="00C75A96">
            <w:pPr>
              <w:jc w:val="both"/>
            </w:pPr>
            <w:r w:rsidRPr="00C75A96">
              <w:rPr>
                <w:rFonts w:hint="cs"/>
                <w:rtl/>
              </w:rPr>
              <w:t>סרגיי ציבולסקי (עציר)</w:t>
            </w:r>
          </w:p>
          <w:p w14:paraId="09743989" w14:textId="77777777" w:rsidR="006C71F3" w:rsidRPr="00C75A96" w:rsidRDefault="006C71F3">
            <w:pPr>
              <w:jc w:val="right"/>
              <w:rPr>
                <w:rFonts w:ascii="Arial" w:hAnsi="Arial"/>
                <w:sz w:val="26"/>
                <w:szCs w:val="26"/>
              </w:rPr>
            </w:pPr>
          </w:p>
        </w:tc>
      </w:tr>
      <w:tr w:rsidR="006C71F3" w:rsidRPr="00C75A96" w14:paraId="2E879E05" w14:textId="77777777">
        <w:trPr>
          <w:trHeight w:val="355"/>
          <w:jc w:val="center"/>
        </w:trPr>
        <w:tc>
          <w:tcPr>
            <w:tcW w:w="923" w:type="dxa"/>
            <w:tcBorders>
              <w:top w:val="nil"/>
              <w:left w:val="nil"/>
              <w:bottom w:val="nil"/>
              <w:right w:val="nil"/>
            </w:tcBorders>
          </w:tcPr>
          <w:p w14:paraId="250FC045" w14:textId="77777777" w:rsidR="006C71F3" w:rsidRPr="00C75A96" w:rsidRDefault="006C71F3">
            <w:pPr>
              <w:jc w:val="both"/>
              <w:rPr>
                <w:rFonts w:ascii="Arial" w:hAnsi="Arial"/>
                <w:sz w:val="26"/>
                <w:szCs w:val="26"/>
                <w:rtl/>
              </w:rPr>
            </w:pPr>
          </w:p>
        </w:tc>
        <w:tc>
          <w:tcPr>
            <w:tcW w:w="4126" w:type="dxa"/>
            <w:tcBorders>
              <w:top w:val="nil"/>
              <w:left w:val="nil"/>
              <w:bottom w:val="nil"/>
              <w:right w:val="nil"/>
            </w:tcBorders>
          </w:tcPr>
          <w:p w14:paraId="684FD8ED" w14:textId="77777777" w:rsidR="006C71F3" w:rsidRPr="00C75A96" w:rsidRDefault="006C71F3">
            <w:pPr>
              <w:jc w:val="both"/>
              <w:rPr>
                <w:sz w:val="26"/>
                <w:szCs w:val="26"/>
                <w:rtl/>
              </w:rPr>
            </w:pPr>
          </w:p>
        </w:tc>
        <w:tc>
          <w:tcPr>
            <w:tcW w:w="3771" w:type="dxa"/>
            <w:tcBorders>
              <w:top w:val="nil"/>
              <w:left w:val="nil"/>
              <w:bottom w:val="nil"/>
              <w:right w:val="nil"/>
            </w:tcBorders>
          </w:tcPr>
          <w:p w14:paraId="5A41EF56" w14:textId="77777777" w:rsidR="006C71F3" w:rsidRPr="00C75A96" w:rsidRDefault="006C71F3">
            <w:pPr>
              <w:jc w:val="right"/>
              <w:rPr>
                <w:rFonts w:ascii="Arial" w:hAnsi="Arial"/>
                <w:sz w:val="26"/>
                <w:szCs w:val="26"/>
              </w:rPr>
            </w:pPr>
          </w:p>
        </w:tc>
      </w:tr>
    </w:tbl>
    <w:p w14:paraId="23C5EF40" w14:textId="77777777" w:rsidR="006C71F3" w:rsidRPr="00C75A96" w:rsidRDefault="006C71F3"/>
    <w:p w14:paraId="7B781E06" w14:textId="77777777" w:rsidR="006C71F3" w:rsidRPr="00C75A96" w:rsidRDefault="00C75A96">
      <w:pPr>
        <w:rPr>
          <w:rtl/>
        </w:rPr>
      </w:pPr>
      <w:r w:rsidRPr="00C75A96">
        <w:rPr>
          <w:rFonts w:hint="cs"/>
          <w:rtl/>
        </w:rPr>
        <w:t>נוכחים:</w:t>
      </w:r>
    </w:p>
    <w:p w14:paraId="4A24B9B9" w14:textId="77777777" w:rsidR="006C71F3" w:rsidRPr="00C75A96" w:rsidRDefault="00C75A96">
      <w:pPr>
        <w:rPr>
          <w:rtl/>
        </w:rPr>
      </w:pPr>
      <w:bookmarkStart w:id="2" w:name="FirstLawyer"/>
      <w:r w:rsidRPr="00C75A96">
        <w:rPr>
          <w:rFonts w:hint="cs"/>
          <w:rtl/>
        </w:rPr>
        <w:t>ב"כ</w:t>
      </w:r>
      <w:bookmarkEnd w:id="2"/>
      <w:r w:rsidRPr="00C75A96">
        <w:rPr>
          <w:rFonts w:hint="cs"/>
          <w:rtl/>
        </w:rPr>
        <w:t xml:space="preserve"> המאשימה עו"ד דנית שושן ועוה"ד ליאת שפיר </w:t>
      </w:r>
    </w:p>
    <w:p w14:paraId="7DF5DD9F" w14:textId="77777777" w:rsidR="00975534" w:rsidRDefault="00C75A96" w:rsidP="006D778B">
      <w:pPr>
        <w:spacing w:after="120" w:line="240" w:lineRule="exact"/>
        <w:ind w:left="283" w:hanging="283"/>
        <w:jc w:val="both"/>
        <w:rPr>
          <w:rtl/>
        </w:rPr>
      </w:pPr>
      <w:r w:rsidRPr="00C75A96">
        <w:rPr>
          <w:rFonts w:hint="cs"/>
          <w:rtl/>
        </w:rPr>
        <w:t>הנאשם הובא וב"כ עו"ד רן עמ</w:t>
      </w:r>
      <w:bookmarkStart w:id="3" w:name="LawTable"/>
      <w:bookmarkEnd w:id="3"/>
    </w:p>
    <w:p w14:paraId="5C4420C9" w14:textId="77777777" w:rsidR="00975534" w:rsidRPr="00975534" w:rsidRDefault="00975534" w:rsidP="00975534">
      <w:pPr>
        <w:spacing w:after="120" w:line="240" w:lineRule="exact"/>
        <w:ind w:left="283" w:hanging="283"/>
        <w:jc w:val="both"/>
        <w:rPr>
          <w:rFonts w:ascii="FrankRuehl" w:hAnsi="FrankRuehl" w:cs="FrankRuehl"/>
          <w:rtl/>
        </w:rPr>
      </w:pPr>
    </w:p>
    <w:p w14:paraId="3CAA9AF5" w14:textId="77777777" w:rsidR="00975534" w:rsidRPr="00975534" w:rsidRDefault="00975534" w:rsidP="00975534">
      <w:pPr>
        <w:spacing w:after="120" w:line="240" w:lineRule="exact"/>
        <w:ind w:left="283" w:hanging="283"/>
        <w:jc w:val="both"/>
        <w:rPr>
          <w:rFonts w:ascii="FrankRuehl" w:hAnsi="FrankRuehl" w:cs="FrankRuehl"/>
          <w:rtl/>
        </w:rPr>
      </w:pPr>
      <w:r w:rsidRPr="00975534">
        <w:rPr>
          <w:rFonts w:ascii="FrankRuehl" w:hAnsi="FrankRuehl" w:cs="FrankRuehl"/>
          <w:rtl/>
        </w:rPr>
        <w:t xml:space="preserve">חקיקה שאוזכרה: </w:t>
      </w:r>
    </w:p>
    <w:p w14:paraId="78077DF8" w14:textId="77777777" w:rsidR="00975534" w:rsidRPr="00975534" w:rsidRDefault="00975534" w:rsidP="00975534">
      <w:pPr>
        <w:spacing w:after="120" w:line="240" w:lineRule="exact"/>
        <w:ind w:left="283" w:hanging="283"/>
        <w:jc w:val="both"/>
        <w:rPr>
          <w:rFonts w:ascii="FrankRuehl" w:hAnsi="FrankRuehl" w:cs="FrankRuehl"/>
          <w:color w:val="0000FF"/>
          <w:u w:val="single"/>
          <w:rtl/>
        </w:rPr>
      </w:pPr>
      <w:hyperlink r:id="rId7" w:history="1">
        <w:r w:rsidRPr="00975534">
          <w:rPr>
            <w:rStyle w:val="Hyperlink"/>
            <w:rFonts w:ascii="FrankRuehl" w:hAnsi="FrankRuehl" w:cs="FrankRuehl"/>
            <w:rtl/>
          </w:rPr>
          <w:t>חוק העונשין, תשל"ז-1977</w:t>
        </w:r>
      </w:hyperlink>
      <w:r w:rsidRPr="00975534">
        <w:rPr>
          <w:rFonts w:ascii="FrankRuehl" w:hAnsi="FrankRuehl" w:cs="FrankRuehl"/>
          <w:color w:val="0000FF"/>
          <w:u w:val="single"/>
          <w:rtl/>
        </w:rPr>
        <w:t xml:space="preserve">: סע'  </w:t>
      </w:r>
      <w:hyperlink r:id="rId8" w:history="1">
        <w:r w:rsidRPr="00975534">
          <w:rPr>
            <w:rStyle w:val="Hyperlink"/>
            <w:rFonts w:ascii="FrankRuehl" w:hAnsi="FrankRuehl" w:cs="FrankRuehl"/>
          </w:rPr>
          <w:t>40</w:t>
        </w:r>
        <w:r w:rsidRPr="00975534">
          <w:rPr>
            <w:rStyle w:val="Hyperlink"/>
            <w:rFonts w:ascii="FrankRuehl" w:hAnsi="FrankRuehl" w:cs="FrankRuehl"/>
            <w:rtl/>
          </w:rPr>
          <w:t>יג(ב</w:t>
        </w:r>
        <w:r w:rsidRPr="00975534">
          <w:rPr>
            <w:rStyle w:val="Hyperlink"/>
            <w:rFonts w:ascii="FrankRuehl" w:hAnsi="FrankRuehl" w:cs="FrankRuehl"/>
          </w:rPr>
          <w:t>)</w:t>
        </w:r>
      </w:hyperlink>
    </w:p>
    <w:p w14:paraId="5278928C" w14:textId="77777777" w:rsidR="00975534" w:rsidRPr="00975534" w:rsidRDefault="00975534" w:rsidP="00975534">
      <w:pPr>
        <w:spacing w:after="120" w:line="240" w:lineRule="exact"/>
        <w:ind w:left="283" w:hanging="283"/>
        <w:jc w:val="both"/>
        <w:rPr>
          <w:rFonts w:ascii="FrankRuehl" w:hAnsi="FrankRuehl" w:cs="FrankRuehl"/>
          <w:color w:val="0000FF"/>
          <w:u w:val="single"/>
          <w:rtl/>
        </w:rPr>
      </w:pPr>
      <w:hyperlink r:id="rId9" w:history="1">
        <w:r w:rsidRPr="00975534">
          <w:rPr>
            <w:rStyle w:val="Hyperlink"/>
            <w:rFonts w:ascii="FrankRuehl" w:hAnsi="FrankRuehl" w:cs="FrankRuehl"/>
            <w:rtl/>
          </w:rPr>
          <w:t>פקודת הסמים המסוכנים [נוסח חדש], תשל"ג-1973</w:t>
        </w:r>
      </w:hyperlink>
      <w:r w:rsidRPr="00975534">
        <w:rPr>
          <w:rFonts w:ascii="FrankRuehl" w:hAnsi="FrankRuehl" w:cs="FrankRuehl"/>
          <w:color w:val="0000FF"/>
          <w:u w:val="single"/>
          <w:rtl/>
        </w:rPr>
        <w:t xml:space="preserve">: סע'  </w:t>
      </w:r>
      <w:hyperlink r:id="rId10" w:history="1">
        <w:r w:rsidRPr="00975534">
          <w:rPr>
            <w:rStyle w:val="Hyperlink"/>
            <w:rFonts w:ascii="FrankRuehl" w:hAnsi="FrankRuehl" w:cs="FrankRuehl"/>
          </w:rPr>
          <w:t>31(6)(</w:t>
        </w:r>
        <w:r w:rsidRPr="00975534">
          <w:rPr>
            <w:rStyle w:val="Hyperlink"/>
            <w:rFonts w:ascii="FrankRuehl" w:hAnsi="FrankRuehl" w:cs="FrankRuehl"/>
            <w:rtl/>
          </w:rPr>
          <w:t>א</w:t>
        </w:r>
        <w:r w:rsidRPr="00975534">
          <w:rPr>
            <w:rStyle w:val="Hyperlink"/>
            <w:rFonts w:ascii="FrankRuehl" w:hAnsi="FrankRuehl" w:cs="FrankRuehl"/>
          </w:rPr>
          <w:t>)</w:t>
        </w:r>
      </w:hyperlink>
      <w:r w:rsidRPr="00975534">
        <w:rPr>
          <w:rFonts w:ascii="FrankRuehl" w:hAnsi="FrankRuehl" w:cs="FrankRuehl"/>
          <w:color w:val="0000FF"/>
          <w:u w:val="single"/>
          <w:rtl/>
        </w:rPr>
        <w:t xml:space="preserve">, </w:t>
      </w:r>
      <w:hyperlink r:id="rId11" w:history="1">
        <w:r w:rsidRPr="00975534">
          <w:rPr>
            <w:rStyle w:val="Hyperlink"/>
            <w:rFonts w:ascii="FrankRuehl" w:hAnsi="FrankRuehl" w:cs="FrankRuehl"/>
          </w:rPr>
          <w:t>36</w:t>
        </w:r>
        <w:r w:rsidRPr="00975534">
          <w:rPr>
            <w:rStyle w:val="Hyperlink"/>
            <w:rFonts w:ascii="FrankRuehl" w:hAnsi="FrankRuehl" w:cs="FrankRuehl"/>
            <w:rtl/>
          </w:rPr>
          <w:t>א(ב</w:t>
        </w:r>
        <w:r w:rsidRPr="00975534">
          <w:rPr>
            <w:rStyle w:val="Hyperlink"/>
            <w:rFonts w:ascii="FrankRuehl" w:hAnsi="FrankRuehl" w:cs="FrankRuehl"/>
          </w:rPr>
          <w:t>)</w:t>
        </w:r>
      </w:hyperlink>
    </w:p>
    <w:p w14:paraId="769ADDA5" w14:textId="77777777" w:rsidR="00975534" w:rsidRPr="00975534" w:rsidRDefault="00975534" w:rsidP="00975534">
      <w:pPr>
        <w:spacing w:after="120" w:line="240" w:lineRule="exact"/>
        <w:ind w:left="283" w:hanging="283"/>
        <w:jc w:val="both"/>
        <w:rPr>
          <w:rFonts w:ascii="FrankRuehl" w:hAnsi="FrankRuehl" w:cs="FrankRuehl"/>
          <w:rtl/>
        </w:rPr>
      </w:pPr>
    </w:p>
    <w:p w14:paraId="2E360C83" w14:textId="77777777" w:rsidR="00975534" w:rsidRPr="00975534" w:rsidRDefault="00975534" w:rsidP="006D778B">
      <w:pPr>
        <w:spacing w:after="120" w:line="240" w:lineRule="exact"/>
        <w:ind w:left="283" w:hanging="283"/>
        <w:jc w:val="both"/>
        <w:rPr>
          <w:rtl/>
        </w:rPr>
      </w:pPr>
      <w:bookmarkStart w:id="4" w:name="LawTable_End"/>
      <w:bookmarkEnd w:id="4"/>
    </w:p>
    <w:p w14:paraId="6A8AC3F2" w14:textId="77777777" w:rsidR="00975534" w:rsidRPr="00975534" w:rsidRDefault="00975534" w:rsidP="006D778B">
      <w:pPr>
        <w:spacing w:after="120" w:line="240" w:lineRule="exact"/>
        <w:ind w:left="283" w:hanging="283"/>
        <w:jc w:val="both"/>
        <w:rPr>
          <w:rtl/>
        </w:rPr>
      </w:pPr>
    </w:p>
    <w:p w14:paraId="688C0A41" w14:textId="77777777" w:rsidR="006D778B" w:rsidRPr="006D778B" w:rsidRDefault="00C75A96" w:rsidP="006D778B">
      <w:pPr>
        <w:spacing w:after="120" w:line="240" w:lineRule="exact"/>
        <w:ind w:left="283" w:hanging="283"/>
        <w:jc w:val="both"/>
        <w:rPr>
          <w:rFonts w:ascii="FrankRuehl" w:hAnsi="FrankRuehl" w:cs="FrankRuehl"/>
          <w:rtl/>
        </w:rPr>
      </w:pPr>
      <w:r w:rsidRPr="00975534">
        <w:rPr>
          <w:rFonts w:hint="cs"/>
          <w:rtl/>
        </w:rPr>
        <w:t>ר</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C71F3" w14:paraId="31C0B591" w14:textId="77777777">
        <w:trPr>
          <w:trHeight w:val="355"/>
          <w:jc w:val="center"/>
        </w:trPr>
        <w:tc>
          <w:tcPr>
            <w:tcW w:w="8820" w:type="dxa"/>
            <w:tcBorders>
              <w:top w:val="nil"/>
              <w:left w:val="nil"/>
              <w:bottom w:val="nil"/>
              <w:right w:val="nil"/>
            </w:tcBorders>
          </w:tcPr>
          <w:p w14:paraId="5F725CAB" w14:textId="77777777" w:rsidR="00C75A96" w:rsidRPr="00C75A96" w:rsidRDefault="00C75A96" w:rsidP="00C75A96">
            <w:pPr>
              <w:jc w:val="center"/>
              <w:rPr>
                <w:rFonts w:ascii="Arial" w:hAnsi="Arial"/>
                <w:b/>
                <w:bCs/>
                <w:sz w:val="32"/>
                <w:szCs w:val="32"/>
                <w:u w:val="single"/>
                <w:rtl/>
              </w:rPr>
            </w:pPr>
            <w:bookmarkStart w:id="5" w:name="PsakDin" w:colFirst="0" w:colLast="0"/>
            <w:bookmarkEnd w:id="0"/>
            <w:r w:rsidRPr="00C75A96">
              <w:rPr>
                <w:rFonts w:ascii="Arial" w:hAnsi="Arial"/>
                <w:b/>
                <w:bCs/>
                <w:sz w:val="32"/>
                <w:szCs w:val="32"/>
                <w:u w:val="single"/>
                <w:rtl/>
              </w:rPr>
              <w:t>גזר דין</w:t>
            </w:r>
          </w:p>
          <w:p w14:paraId="4159EC08" w14:textId="77777777" w:rsidR="006C71F3" w:rsidRPr="00C75A96" w:rsidRDefault="006C71F3" w:rsidP="00C75A96">
            <w:pPr>
              <w:jc w:val="center"/>
              <w:rPr>
                <w:rFonts w:ascii="Arial" w:hAnsi="Arial"/>
                <w:bCs/>
                <w:sz w:val="32"/>
                <w:szCs w:val="32"/>
                <w:u w:val="single"/>
                <w:rtl/>
              </w:rPr>
            </w:pPr>
          </w:p>
        </w:tc>
      </w:tr>
      <w:bookmarkEnd w:id="5"/>
    </w:tbl>
    <w:p w14:paraId="49023A2A" w14:textId="77777777" w:rsidR="006C71F3" w:rsidRDefault="006C71F3">
      <w:pPr>
        <w:rPr>
          <w:rFonts w:ascii="Arial" w:hAnsi="Arial"/>
          <w:sz w:val="26"/>
          <w:szCs w:val="26"/>
          <w:rtl/>
        </w:rPr>
      </w:pPr>
    </w:p>
    <w:p w14:paraId="757E49D3" w14:textId="77777777" w:rsidR="006C71F3" w:rsidRDefault="006C71F3">
      <w:pPr>
        <w:rPr>
          <w:rFonts w:ascii="Arial" w:hAnsi="Arial"/>
          <w:rtl/>
        </w:rPr>
      </w:pPr>
    </w:p>
    <w:p w14:paraId="08E32B6D" w14:textId="77777777" w:rsidR="006C71F3" w:rsidRDefault="00C75A96">
      <w:pPr>
        <w:pStyle w:val="ListParagraph"/>
        <w:numPr>
          <w:ilvl w:val="0"/>
          <w:numId w:val="1"/>
        </w:numPr>
        <w:spacing w:line="360" w:lineRule="auto"/>
        <w:ind w:left="141" w:hanging="12"/>
        <w:jc w:val="both"/>
      </w:pPr>
      <w:bookmarkStart w:id="6" w:name="ABSTRACT_START"/>
      <w:bookmarkEnd w:id="6"/>
      <w:r>
        <w:rPr>
          <w:rFonts w:hint="cs"/>
          <w:rtl/>
        </w:rPr>
        <w:t>הנאשם, סרגיי ציבולסקי יליד 1984, הורשע על יסוד הודאתו בעובדות כתב אישום מתוקן, במסגרת הסדר דיוני שלא כלל הסכמה לעניין העונש, בביצוע ארבע עבירות של סחר בסם מסוכן ועבירה אחת של החזקת סם בצוותא.</w:t>
      </w:r>
    </w:p>
    <w:p w14:paraId="0E05AD2C" w14:textId="77777777" w:rsidR="006C71F3" w:rsidRDefault="006C71F3">
      <w:pPr>
        <w:pStyle w:val="ListParagraph"/>
        <w:spacing w:line="360" w:lineRule="auto"/>
        <w:ind w:left="141"/>
        <w:jc w:val="both"/>
        <w:rPr>
          <w:rtl/>
        </w:rPr>
      </w:pPr>
      <w:bookmarkStart w:id="7" w:name="ABSTRACT_END"/>
      <w:bookmarkEnd w:id="7"/>
    </w:p>
    <w:p w14:paraId="0AD129C9" w14:textId="77777777" w:rsidR="006C71F3" w:rsidRDefault="00C75A96">
      <w:pPr>
        <w:pStyle w:val="ListParagraph"/>
        <w:spacing w:line="360" w:lineRule="auto"/>
        <w:ind w:left="141" w:firstLine="579"/>
        <w:jc w:val="both"/>
        <w:rPr>
          <w:rtl/>
        </w:rPr>
      </w:pPr>
      <w:r>
        <w:rPr>
          <w:rFonts w:hint="cs"/>
          <w:u w:val="single"/>
          <w:rtl/>
        </w:rPr>
        <w:t>כתב האישום המתוקן מחזיק שלושה אישומים:</w:t>
      </w:r>
      <w:r>
        <w:rPr>
          <w:rFonts w:hint="cs"/>
          <w:rtl/>
        </w:rPr>
        <w:t xml:space="preserve"> </w:t>
      </w:r>
      <w:r>
        <w:rPr>
          <w:rFonts w:hint="cs"/>
          <w:u w:val="single"/>
          <w:rtl/>
        </w:rPr>
        <w:t>לפי עובדות האישום הראשון</w:t>
      </w:r>
      <w:r>
        <w:rPr>
          <w:rFonts w:hint="cs"/>
          <w:rtl/>
        </w:rPr>
        <w:t xml:space="preserve">, כעשרה ימים עובר ליום 12.2.2014 מכר הנאשם לאלכסנדר שמילביץ סם מסוכן מסוג חשיש במשקל 5 גרם </w:t>
      </w:r>
      <w:r>
        <w:rPr>
          <w:rFonts w:hint="cs"/>
          <w:rtl/>
        </w:rPr>
        <w:lastRenderedPageBreak/>
        <w:t xml:space="preserve">נטו תמורת 300 ₪. </w:t>
      </w:r>
      <w:r>
        <w:rPr>
          <w:rFonts w:hint="cs"/>
          <w:u w:val="single"/>
          <w:rtl/>
        </w:rPr>
        <w:t>לפי עובדות האישום השני</w:t>
      </w:r>
      <w:r>
        <w:rPr>
          <w:rFonts w:hint="cs"/>
          <w:rtl/>
        </w:rPr>
        <w:t xml:space="preserve">, בשלוש הזדמנויות שונות מהלך מחצית השנה שקמה למועד בו בוצעה העסקה מושא האישום הראשון, מכר הנאשם לשמילביץ חשיש במשקל 5 גרם נטו תמורת 300 ₪ עבור כל עסקה. </w:t>
      </w:r>
      <w:r>
        <w:rPr>
          <w:rFonts w:hint="cs"/>
          <w:u w:val="single"/>
          <w:rtl/>
        </w:rPr>
        <w:t>לפי עובדות האישום השלישי</w:t>
      </w:r>
      <w:r>
        <w:rPr>
          <w:rFonts w:hint="cs"/>
          <w:rtl/>
        </w:rPr>
        <w:t xml:space="preserve">, ביום 11.2.2014 נערך חיפוש על פי צו בביתו של הנאשם ונמצא כי החזיק יחד עם בת זוגו חשיש במשקל 69.97 גרם נטו ושתי טבליות </w:t>
      </w:r>
      <w:r>
        <w:t>MDMA</w:t>
      </w:r>
      <w:r>
        <w:rPr>
          <w:rFonts w:hint="cs"/>
          <w:rtl/>
        </w:rPr>
        <w:t xml:space="preserve"> בשקית ליד המיטה בחדר השינה, חשיש במשקל 0.72 גרם נטו בתוך מכונית צעצוע בספריה בחדר השינה וחשיש במשקל 0.16 גרם נטו בתוך תיק איפור.</w:t>
      </w:r>
    </w:p>
    <w:p w14:paraId="153CAB5C" w14:textId="77777777" w:rsidR="006C71F3" w:rsidRDefault="006C71F3">
      <w:pPr>
        <w:pStyle w:val="ListParagraph"/>
        <w:spacing w:line="360" w:lineRule="auto"/>
        <w:ind w:left="141" w:firstLine="579"/>
        <w:jc w:val="both"/>
        <w:rPr>
          <w:rtl/>
        </w:rPr>
      </w:pPr>
    </w:p>
    <w:p w14:paraId="5386A9C2" w14:textId="77777777" w:rsidR="006C71F3" w:rsidRDefault="00C75A96">
      <w:pPr>
        <w:pStyle w:val="ListParagraph"/>
        <w:numPr>
          <w:ilvl w:val="0"/>
          <w:numId w:val="1"/>
        </w:numPr>
        <w:spacing w:line="360" w:lineRule="auto"/>
        <w:ind w:left="141" w:hanging="12"/>
        <w:jc w:val="both"/>
        <w:rPr>
          <w:rtl/>
        </w:rPr>
      </w:pPr>
      <w:r>
        <w:rPr>
          <w:rFonts w:hint="cs"/>
          <w:rtl/>
        </w:rPr>
        <w:t>המאשימה בקשה להכריז על הנאשם כסוחר סמים על מנת שתוכל לעתור לחילוט הרכוש. לפי בקשתו המפורשת של ב"כ הנאשם (עמ' 3 לפרוטוקול שורות 4-2) נדחתה ההכרעה בעניין זה לשלב גזירת הדין.</w:t>
      </w:r>
    </w:p>
    <w:p w14:paraId="702B604C" w14:textId="77777777" w:rsidR="006C71F3" w:rsidRDefault="006C71F3">
      <w:pPr>
        <w:pStyle w:val="ListParagraph"/>
        <w:spacing w:line="360" w:lineRule="auto"/>
        <w:ind w:left="141" w:firstLine="579"/>
        <w:jc w:val="both"/>
        <w:rPr>
          <w:rtl/>
        </w:rPr>
      </w:pPr>
    </w:p>
    <w:p w14:paraId="4B1A483B" w14:textId="77777777" w:rsidR="006C71F3" w:rsidRDefault="00C75A96">
      <w:pPr>
        <w:pStyle w:val="ListParagraph"/>
        <w:numPr>
          <w:ilvl w:val="0"/>
          <w:numId w:val="1"/>
        </w:numPr>
        <w:spacing w:line="360" w:lineRule="auto"/>
        <w:ind w:left="141" w:hanging="12"/>
        <w:jc w:val="both"/>
        <w:rPr>
          <w:rtl/>
        </w:rPr>
      </w:pPr>
      <w:r>
        <w:rPr>
          <w:rFonts w:hint="cs"/>
          <w:rtl/>
        </w:rPr>
        <w:t>לחובתו של הנאשם שלוש הרשעות קודמות והליך אחד שהסתיים ללא הרשעה בבית משפט לנוער. הנאשם הורשע בעבר בעבירות סמים רבות מאוד ובעבירות רכוש וריצה עונשי מאסר. בעת שביצע את המעשים כאן תלוי היה ועומד נגדו מאסר על-תנאי בן 12 חודשים.</w:t>
      </w:r>
    </w:p>
    <w:p w14:paraId="4A51ECC1" w14:textId="77777777" w:rsidR="006C71F3" w:rsidRDefault="006C71F3">
      <w:pPr>
        <w:pStyle w:val="ListParagraph"/>
        <w:spacing w:line="360" w:lineRule="auto"/>
        <w:ind w:left="141" w:firstLine="579"/>
        <w:jc w:val="both"/>
        <w:rPr>
          <w:rtl/>
        </w:rPr>
      </w:pPr>
    </w:p>
    <w:p w14:paraId="43F4827A" w14:textId="77777777" w:rsidR="006C71F3" w:rsidRDefault="00C75A96">
      <w:pPr>
        <w:pStyle w:val="ListParagraph"/>
        <w:numPr>
          <w:ilvl w:val="0"/>
          <w:numId w:val="1"/>
        </w:numPr>
        <w:spacing w:line="360" w:lineRule="auto"/>
        <w:ind w:left="141" w:hanging="12"/>
        <w:jc w:val="both"/>
      </w:pPr>
      <w:r>
        <w:rPr>
          <w:rFonts w:hint="cs"/>
          <w:rtl/>
        </w:rPr>
        <w:t xml:space="preserve">חרף התנגדות המאשימה נערך בעניינו של הנאשם תסקיר מבחן. שירות המבחן סקר בתסקירו את תולדות הנאשם. הנאשם החל משתמש בסמים כבר בגיל 12 ובשנת 2001 נשלח בצו של בית המשפט לנוער למעון פתוח. הנאשם לא גויס לצבא עקב אי התאמה. לאחר התוכנית הטיפולית חזר להשתמש בסמים וניסיונות גמילה נוספים שערך במשך השנים </w:t>
      </w:r>
      <w:r>
        <w:rPr>
          <w:rtl/>
        </w:rPr>
        <w:t>–</w:t>
      </w:r>
      <w:r>
        <w:rPr>
          <w:rFonts w:hint="cs"/>
          <w:rtl/>
        </w:rPr>
        <w:t xml:space="preserve"> נכשלו. הנאשם הסביר את ביצוע העבירות כעת על רקע של שימוש בסם וצורך במימונו. הנאשם הביע עייפות מאורח חייו השולי, אולם שלל רצון להשתלב פעם נוספת בהליך גמילה ממושך בקהילה. כיוון שהנאשם היה מעוניין להשתלב בהליך טיפולי בין כותלי בית המעצר ניטלו ממנו בדיקות שתן, שבאחת מהן נתגלו שרידי סם. שירות המבחן התרשם מאדם בעל יכולות תפקוד נמוכות שמגיל צעיר ביותר מנהל אורח חיים שולי והתמכרותי. למרות גורמי הסיכון המשמעותיים במצבו ציין שירות המבחן לחיוב את הרצון שביטא הנאשם להשתלב במסגרת מעצרו בהליך טיפולי נוסף.</w:t>
      </w:r>
    </w:p>
    <w:p w14:paraId="163E5E69" w14:textId="77777777" w:rsidR="006C71F3" w:rsidRDefault="006C71F3">
      <w:pPr>
        <w:pStyle w:val="ListParagraph"/>
        <w:spacing w:line="360" w:lineRule="auto"/>
        <w:ind w:left="141" w:firstLine="579"/>
        <w:jc w:val="both"/>
        <w:rPr>
          <w:rtl/>
        </w:rPr>
      </w:pPr>
    </w:p>
    <w:p w14:paraId="71B89EAF" w14:textId="77777777" w:rsidR="006C71F3" w:rsidRDefault="00C75A96">
      <w:pPr>
        <w:pStyle w:val="ListParagraph"/>
        <w:spacing w:line="360" w:lineRule="auto"/>
        <w:ind w:left="141" w:firstLine="579"/>
        <w:jc w:val="both"/>
        <w:rPr>
          <w:rtl/>
        </w:rPr>
      </w:pPr>
      <w:r>
        <w:rPr>
          <w:rFonts w:hint="cs"/>
          <w:rtl/>
        </w:rPr>
        <w:t xml:space="preserve">בישיבת הטיעונים לעונש שהתקיימה ביום 18.9.2014 טען הנאשם כי הוא עובר הליך שיקום בכלא ונותן בדיקות שתן נקיות מזה תקופה. לפיכך ביקשתי את שירות המבחן לערוך תסקיר משלים אודותיו. בתסקיר המשלים הובהר כי בתחילת מעצרו ביקש הנאשם להשתלב בפרויקט "צעד ראשון" הנותן מענה לעצורים עם רקע התמכרותי. לצורך השתלבותו בטיפול נדרש הנאשם להפסיק טיפול תרופתי לצורכי הרגעה אותו צרך. הנאשם לא הפסיק את הטיפול התרופתי ולכן לא התקבל לתוכנית הטיפולית. הנאשם פנה פעם נוספת בבקשה להתקבל לפרויקט, אולם ההתרשמות הייתה כי אינו עקבי ברצונו בכך ומדובר במוטיבציה חיצונית בלבד. בהמשך סיגל לעצמו הנאשם סדר יום הכולל אימונים ובפני העו"ס המטפלת בו לא הביע רצון להשתלב בטיפול בתחום הסמים. במהלך שהותו של הנאשם בבית המעצר ניטלו ממנו חמש בדיקות שתן לאיתור שרידי סם. בבדיקה </w:t>
      </w:r>
      <w:r>
        <w:rPr>
          <w:rFonts w:hint="cs"/>
          <w:rtl/>
        </w:rPr>
        <w:lastRenderedPageBreak/>
        <w:t xml:space="preserve">הראשונה נמצאו שרידי סם ובאחרות </w:t>
      </w:r>
      <w:r>
        <w:rPr>
          <w:rtl/>
        </w:rPr>
        <w:t>–</w:t>
      </w:r>
      <w:r>
        <w:rPr>
          <w:rFonts w:hint="cs"/>
          <w:rtl/>
        </w:rPr>
        <w:t xml:space="preserve"> שרידי הטיפול התרופתי. לסיכום נאמר כי הנאשם לא שולב בתוכנית טיפולית בתחום ההתמכרות לסמים, אך צוין שהשתלב בקבוצת שליטה בכעסים וטיפול בבעלי חיים, ולפגישות אלה מגיע באופן עקבי.</w:t>
      </w:r>
    </w:p>
    <w:p w14:paraId="52AC96C9" w14:textId="77777777" w:rsidR="006C71F3" w:rsidRDefault="006C71F3">
      <w:pPr>
        <w:pStyle w:val="ListParagraph"/>
        <w:spacing w:line="360" w:lineRule="auto"/>
        <w:ind w:left="141" w:firstLine="579"/>
        <w:jc w:val="both"/>
        <w:rPr>
          <w:rtl/>
        </w:rPr>
      </w:pPr>
    </w:p>
    <w:p w14:paraId="4221768F" w14:textId="77777777" w:rsidR="006C71F3" w:rsidRDefault="00C75A96">
      <w:pPr>
        <w:pStyle w:val="ListParagraph"/>
        <w:numPr>
          <w:ilvl w:val="0"/>
          <w:numId w:val="1"/>
        </w:numPr>
        <w:spacing w:line="360" w:lineRule="auto"/>
        <w:ind w:left="141" w:hanging="12"/>
        <w:jc w:val="both"/>
        <w:rPr>
          <w:rtl/>
        </w:rPr>
      </w:pPr>
      <w:r>
        <w:rPr>
          <w:rFonts w:hint="cs"/>
          <w:rtl/>
        </w:rPr>
        <w:t xml:space="preserve">ב"כ המאשימה, עו"ד דנית שושן, הפנתה לריבוי עסקאות הסמים וטענה כי נוכח אופיין של העבירות, והעובדה כי הנאשם נמנה על אלו המפיצים את נגע הסמים בקרב הציבור, מן הראוי להחמיר בעונשו. המאשימה סבורה כי מתחם העונש ההולם כל מכירת סם בענייננו הוא 8 עד 18 חודשי מאסר בפועל ועתרה לענישה באמצע המתחם, לצד הפעלת המאסר המותנה. התובעת בקשה להכריז על הנאשם כעל סוחר סמים וכפועל יוצא בקשה לחלט את הרכוש שנתפס </w:t>
      </w:r>
      <w:r>
        <w:rPr>
          <w:rtl/>
        </w:rPr>
        <w:t>–</w:t>
      </w:r>
      <w:r>
        <w:rPr>
          <w:rFonts w:hint="cs"/>
          <w:rtl/>
        </w:rPr>
        <w:t xml:space="preserve"> כסף מזומן בסך של 4,900 ₪.</w:t>
      </w:r>
    </w:p>
    <w:p w14:paraId="18CE281D" w14:textId="77777777" w:rsidR="006C71F3" w:rsidRDefault="006C71F3">
      <w:pPr>
        <w:pStyle w:val="ListParagraph"/>
        <w:spacing w:line="360" w:lineRule="auto"/>
        <w:ind w:left="141" w:firstLine="579"/>
        <w:jc w:val="both"/>
        <w:rPr>
          <w:rtl/>
        </w:rPr>
      </w:pPr>
    </w:p>
    <w:p w14:paraId="37E5A40C" w14:textId="77777777" w:rsidR="006C71F3" w:rsidRDefault="00C75A96">
      <w:pPr>
        <w:pStyle w:val="ListParagraph"/>
        <w:spacing w:line="360" w:lineRule="auto"/>
        <w:ind w:left="141" w:firstLine="579"/>
        <w:jc w:val="both"/>
        <w:rPr>
          <w:rtl/>
        </w:rPr>
      </w:pPr>
      <w:r>
        <w:rPr>
          <w:rFonts w:hint="cs"/>
          <w:rtl/>
        </w:rPr>
        <w:t>המאשימה הגישה פסיקה לעונש.</w:t>
      </w:r>
    </w:p>
    <w:p w14:paraId="7FD32D15" w14:textId="77777777" w:rsidR="006C71F3" w:rsidRDefault="006C71F3">
      <w:pPr>
        <w:pStyle w:val="ListParagraph"/>
        <w:spacing w:line="360" w:lineRule="auto"/>
        <w:ind w:left="141" w:firstLine="579"/>
        <w:jc w:val="both"/>
        <w:rPr>
          <w:rtl/>
        </w:rPr>
      </w:pPr>
    </w:p>
    <w:p w14:paraId="63757ED4" w14:textId="77777777" w:rsidR="006C71F3" w:rsidRDefault="00C75A96">
      <w:pPr>
        <w:pStyle w:val="ListParagraph"/>
        <w:numPr>
          <w:ilvl w:val="0"/>
          <w:numId w:val="1"/>
        </w:numPr>
        <w:spacing w:line="360" w:lineRule="auto"/>
        <w:ind w:left="141" w:hanging="12"/>
        <w:jc w:val="both"/>
      </w:pPr>
      <w:r>
        <w:rPr>
          <w:rFonts w:hint="cs"/>
          <w:rtl/>
        </w:rPr>
        <w:t xml:space="preserve">ב"כ הנאשם, עו"ד רן עמר, הפנה בטיעוניו לכך שהסם בו עסקינן אינו מן הסמים הקשים, והתמורה הכוללת בגין כל העסקאות עומדת על 1,200 ₪ בלבד. כל העסקאות בוצעו מול קונה אחד ולא מדובר בקורבן ששינה את מצבו לרעה כתוצאה ממעשי הנאשם. לדעת הסנגור, לא נגרם נזק משמעותי כתוצאה מביצוע העבירה ולא היה צפוי להיגרם נזק כזה. מדיניות הענישה הנהוגה מדברת במתחמים שבין 6 חודשי מאסר שניתן לרצות בעבודות שירות ועד 18 חודשי מאסר. בית המשפט נוטה לגזור עונש כולל במקרים בהם ישנן מספר עסקאות. לדעת הסנגור העונש צריך להיגזר באמצע המתחם. </w:t>
      </w:r>
    </w:p>
    <w:p w14:paraId="2D8F8321" w14:textId="77777777" w:rsidR="006C71F3" w:rsidRDefault="006C71F3">
      <w:pPr>
        <w:pStyle w:val="ListParagraph"/>
        <w:spacing w:line="360" w:lineRule="auto"/>
        <w:ind w:left="141" w:firstLine="579"/>
        <w:jc w:val="both"/>
        <w:rPr>
          <w:rtl/>
        </w:rPr>
      </w:pPr>
    </w:p>
    <w:p w14:paraId="75A642FB" w14:textId="77777777" w:rsidR="006C71F3" w:rsidRDefault="00C75A96">
      <w:pPr>
        <w:pStyle w:val="ListParagraph"/>
        <w:spacing w:line="360" w:lineRule="auto"/>
        <w:ind w:left="141" w:firstLine="579"/>
        <w:jc w:val="both"/>
        <w:rPr>
          <w:rtl/>
        </w:rPr>
      </w:pPr>
      <w:r>
        <w:rPr>
          <w:rFonts w:hint="cs"/>
          <w:rtl/>
        </w:rPr>
        <w:t>עוד טען הסנגור כי בעבר נרתם הנאשם לשני ניסיונות משמעותיים לגמילה מסמים וכי חלה "הפוגה" בפעילותו העבריינית ומצבו כעת מיוצב.</w:t>
      </w:r>
    </w:p>
    <w:p w14:paraId="066487A8" w14:textId="77777777" w:rsidR="006C71F3" w:rsidRDefault="006C71F3">
      <w:pPr>
        <w:pStyle w:val="ListParagraph"/>
        <w:spacing w:line="360" w:lineRule="auto"/>
        <w:ind w:left="141" w:firstLine="579"/>
        <w:jc w:val="both"/>
        <w:rPr>
          <w:rtl/>
        </w:rPr>
      </w:pPr>
    </w:p>
    <w:p w14:paraId="59B4DDDE" w14:textId="77777777" w:rsidR="006C71F3" w:rsidRDefault="00C75A96">
      <w:pPr>
        <w:pStyle w:val="ListParagraph"/>
        <w:spacing w:line="360" w:lineRule="auto"/>
        <w:ind w:left="141" w:firstLine="579"/>
        <w:jc w:val="both"/>
        <w:rPr>
          <w:rtl/>
        </w:rPr>
      </w:pPr>
      <w:r>
        <w:rPr>
          <w:rFonts w:hint="cs"/>
          <w:rtl/>
        </w:rPr>
        <w:t>ב"כ הנאשם ביקש להימנע מלהכריז על הנאשם כעל סוחר סמים. לדעתו המאשימה לא עמדה בנטל להוכיח שהכסף שנתפס בביתו של הנאשם הושג באמצעות ביצוע עבירה כלשהי, שכן סכום העסקאות נמוך מהסכום שנתפס ומועדי העסקאות מוקדמים למועד תפיסת הכסף. הנאשם, כך נטען, הרוויח את הכסף התפוס מעבודתו בסופרמרקט. ב"כ הנאשם ביקש בנוסף להשיב לנאשם את מכשיר הטלפון הנייד שנתפס אף הוא והסכים לחילוט המשקל.</w:t>
      </w:r>
    </w:p>
    <w:p w14:paraId="0AB08370" w14:textId="77777777" w:rsidR="006C71F3" w:rsidRDefault="006C71F3">
      <w:pPr>
        <w:pStyle w:val="ListParagraph"/>
        <w:spacing w:line="360" w:lineRule="auto"/>
        <w:ind w:left="141" w:firstLine="579"/>
        <w:jc w:val="both"/>
        <w:rPr>
          <w:rtl/>
        </w:rPr>
      </w:pPr>
    </w:p>
    <w:p w14:paraId="30AF27D8" w14:textId="77777777" w:rsidR="006C71F3" w:rsidRDefault="00C75A96">
      <w:pPr>
        <w:pStyle w:val="ListParagraph"/>
        <w:numPr>
          <w:ilvl w:val="0"/>
          <w:numId w:val="1"/>
        </w:numPr>
        <w:spacing w:line="360" w:lineRule="auto"/>
        <w:ind w:left="141" w:hanging="12"/>
        <w:jc w:val="both"/>
      </w:pPr>
      <w:r>
        <w:rPr>
          <w:rFonts w:hint="cs"/>
          <w:rtl/>
        </w:rPr>
        <w:t>הנאשם בדברו האחרון לעונש טען כי ביקש להיגמל במסגרת המעצר והדבר לא ניתן לו, וכעת הוא משולב במספר סדנאות בתחומים אחרים.</w:t>
      </w:r>
    </w:p>
    <w:p w14:paraId="4A98603C" w14:textId="77777777" w:rsidR="006C71F3" w:rsidRDefault="006C71F3">
      <w:pPr>
        <w:pStyle w:val="ListParagraph"/>
        <w:spacing w:line="360" w:lineRule="auto"/>
        <w:ind w:left="141"/>
        <w:jc w:val="both"/>
        <w:rPr>
          <w:rtl/>
        </w:rPr>
      </w:pPr>
    </w:p>
    <w:p w14:paraId="52B0C4AC" w14:textId="77777777" w:rsidR="006C71F3" w:rsidRDefault="00C75A96">
      <w:pPr>
        <w:pStyle w:val="ListParagraph"/>
        <w:spacing w:line="360" w:lineRule="auto"/>
        <w:ind w:left="141"/>
        <w:jc w:val="both"/>
        <w:rPr>
          <w:rtl/>
        </w:rPr>
      </w:pPr>
      <w:r>
        <w:rPr>
          <w:rFonts w:hint="cs"/>
          <w:b/>
          <w:bCs/>
          <w:u w:val="single"/>
          <w:rtl/>
        </w:rPr>
        <w:t>דיון</w:t>
      </w:r>
    </w:p>
    <w:p w14:paraId="6275E362" w14:textId="77777777" w:rsidR="006C71F3" w:rsidRDefault="00C75A96">
      <w:pPr>
        <w:pStyle w:val="ListParagraph"/>
        <w:numPr>
          <w:ilvl w:val="0"/>
          <w:numId w:val="1"/>
        </w:numPr>
        <w:spacing w:line="360" w:lineRule="auto"/>
        <w:ind w:left="141" w:hanging="12"/>
        <w:jc w:val="both"/>
      </w:pPr>
      <w:r>
        <w:rPr>
          <w:rFonts w:hint="cs"/>
          <w:rtl/>
        </w:rPr>
        <w:t>אין צורך להרחיב את הדיבור על חומרתה של עבירת הסחר בסם ועל הערכים החברתיים החשובים העומדים בבסיסה. רבות נכתב בפסיקה על הצורך להילחם בעבירה זו בדרך של השתת עונשים מכאיבים ומרתיעים.</w:t>
      </w:r>
    </w:p>
    <w:p w14:paraId="5FA10BD4" w14:textId="77777777" w:rsidR="006C71F3" w:rsidRDefault="006C71F3">
      <w:pPr>
        <w:pStyle w:val="ListParagraph"/>
        <w:spacing w:line="360" w:lineRule="auto"/>
        <w:ind w:left="141" w:firstLine="579"/>
        <w:jc w:val="both"/>
        <w:rPr>
          <w:rtl/>
        </w:rPr>
      </w:pPr>
    </w:p>
    <w:p w14:paraId="404FAD11" w14:textId="77777777" w:rsidR="006C71F3" w:rsidRDefault="00C75A96">
      <w:pPr>
        <w:pStyle w:val="ListParagraph"/>
        <w:spacing w:line="360" w:lineRule="auto"/>
        <w:ind w:left="141" w:firstLine="579"/>
        <w:jc w:val="both"/>
        <w:rPr>
          <w:rtl/>
        </w:rPr>
      </w:pPr>
      <w:r>
        <w:rPr>
          <w:rFonts w:hint="cs"/>
          <w:rtl/>
        </w:rPr>
        <w:t xml:space="preserve">נסיבות ביצוע העבירות על ידי הנאשם אינן חריגות. מדובר במכירה של סם מסוכן מסוג חשיש, שאינו נמנה על הסמים הקשים, בכמויות קטנות יחסית ולאותו גורם. עם זה, עסקינן בארבע עסקאות, ובחיפוש שנערך בבית הנאשם נתפסה כמות חשיש משמעותית יותר וכן שתי טבליות </w:t>
      </w:r>
      <w:r>
        <w:t>MDMA</w:t>
      </w:r>
      <w:r>
        <w:rPr>
          <w:rFonts w:hint="cs"/>
          <w:rtl/>
        </w:rPr>
        <w:t>. כלל הנסיבות מעיד על מעורבות משמעותית של הנאשם בעולם הסמים.</w:t>
      </w:r>
    </w:p>
    <w:p w14:paraId="4BAF31FA" w14:textId="77777777" w:rsidR="006C71F3" w:rsidRDefault="006C71F3">
      <w:pPr>
        <w:pStyle w:val="ListParagraph"/>
        <w:spacing w:line="360" w:lineRule="auto"/>
        <w:ind w:left="141" w:firstLine="579"/>
        <w:jc w:val="both"/>
        <w:rPr>
          <w:rtl/>
        </w:rPr>
      </w:pPr>
    </w:p>
    <w:p w14:paraId="1B1D24A1" w14:textId="77777777" w:rsidR="006C71F3" w:rsidRDefault="00C75A96">
      <w:pPr>
        <w:pStyle w:val="ListParagraph"/>
        <w:spacing w:line="360" w:lineRule="auto"/>
        <w:ind w:left="141" w:firstLine="579"/>
        <w:jc w:val="both"/>
        <w:rPr>
          <w:rtl/>
        </w:rPr>
      </w:pPr>
      <w:r>
        <w:rPr>
          <w:rFonts w:hint="cs"/>
          <w:rtl/>
        </w:rPr>
        <w:t>בחינת הענישה הנהוגה מעלה כי בגין עבירות של סחר בסמים בנסיבות דומות לאלה שלפניי נגזרו עונשים הנעים ממספר בודד של חודשי מאסר עד עונשי מאסר בפועל משמעותיים. הכול בהתאם לנסיבות העושה והמעשה.</w:t>
      </w:r>
    </w:p>
    <w:p w14:paraId="4813020A" w14:textId="77777777" w:rsidR="006C71F3" w:rsidRDefault="006C71F3">
      <w:pPr>
        <w:pStyle w:val="ListParagraph"/>
        <w:spacing w:line="360" w:lineRule="auto"/>
        <w:ind w:left="141" w:firstLine="579"/>
        <w:jc w:val="both"/>
        <w:rPr>
          <w:rtl/>
        </w:rPr>
      </w:pPr>
    </w:p>
    <w:p w14:paraId="1C421366" w14:textId="77777777" w:rsidR="006C71F3" w:rsidRDefault="00C75A96">
      <w:pPr>
        <w:pStyle w:val="ListParagraph"/>
        <w:numPr>
          <w:ilvl w:val="0"/>
          <w:numId w:val="1"/>
        </w:numPr>
        <w:spacing w:line="360" w:lineRule="auto"/>
        <w:ind w:left="141" w:hanging="12"/>
        <w:jc w:val="both"/>
        <w:rPr>
          <w:rtl/>
        </w:rPr>
      </w:pPr>
      <w:r>
        <w:rPr>
          <w:rFonts w:hint="cs"/>
          <w:rtl/>
        </w:rPr>
        <w:t>לצרכי קביעת מתחם העונש ההולם לא ראיתי הצדקה לפיצול מלאכותי בין מכירות הסם לאותו קונה. עבירת ההחזקה היא עבירה נפרדת ואקבע בגינה מתחם נפרד.</w:t>
      </w:r>
    </w:p>
    <w:p w14:paraId="2DEEFAC2" w14:textId="77777777" w:rsidR="006C71F3" w:rsidRDefault="006C71F3">
      <w:pPr>
        <w:pStyle w:val="ListParagraph"/>
        <w:spacing w:line="360" w:lineRule="auto"/>
        <w:ind w:left="141" w:firstLine="579"/>
        <w:jc w:val="both"/>
        <w:rPr>
          <w:rtl/>
        </w:rPr>
      </w:pPr>
    </w:p>
    <w:p w14:paraId="4416C1FD" w14:textId="77777777" w:rsidR="006C71F3" w:rsidRDefault="00C75A96">
      <w:pPr>
        <w:pStyle w:val="ListParagraph"/>
        <w:spacing w:line="360" w:lineRule="auto"/>
        <w:ind w:left="141" w:firstLine="579"/>
        <w:jc w:val="both"/>
        <w:rPr>
          <w:rtl/>
        </w:rPr>
      </w:pPr>
      <w:r>
        <w:rPr>
          <w:rFonts w:hint="cs"/>
          <w:rtl/>
        </w:rPr>
        <w:t>בהתחשב בעקרון ההלימה בין מעשה לעונש, בשים לב לפגיעה בערכים המוגנים, וכן בחומרת המעשים ונסיבות ביצועם, ובהתחשב במדיניות הענישה הנוהגת, אני קובע כי מתחם העונש ההולם את ארבעת מעשי המכירה נע בין 7 חודשי מאסר בפועל ל-24 חודשי מאסר בפועל. המתחם ההולם את החזקת הסמים בביתו של הנאשם נע בין מספר בודד של חודשי מאסר ועד ל-12 חודשי מאסר.</w:t>
      </w:r>
    </w:p>
    <w:p w14:paraId="381CD4C3" w14:textId="77777777" w:rsidR="006C71F3" w:rsidRDefault="006C71F3">
      <w:pPr>
        <w:pStyle w:val="ListParagraph"/>
        <w:spacing w:line="360" w:lineRule="auto"/>
        <w:ind w:left="141" w:firstLine="579"/>
        <w:jc w:val="both"/>
        <w:rPr>
          <w:rtl/>
        </w:rPr>
      </w:pPr>
    </w:p>
    <w:p w14:paraId="451B0C1D" w14:textId="77777777" w:rsidR="006C71F3" w:rsidRDefault="00C75A96">
      <w:pPr>
        <w:pStyle w:val="ListParagraph"/>
        <w:numPr>
          <w:ilvl w:val="0"/>
          <w:numId w:val="1"/>
        </w:numPr>
        <w:spacing w:line="360" w:lineRule="auto"/>
        <w:ind w:left="141" w:hanging="12"/>
        <w:jc w:val="both"/>
      </w:pPr>
      <w:r>
        <w:rPr>
          <w:rFonts w:hint="cs"/>
          <w:rtl/>
        </w:rPr>
        <w:t xml:space="preserve">כעת מן הדין לגזור את עונשו של הנאשם בתוך המתחמים שקבעתי, בהעדר עילה טובה לסטות מהם לצורכי שיקום. אעשה זאת באופן כולל (ראו </w:t>
      </w:r>
      <w:hyperlink r:id="rId12" w:history="1">
        <w:r w:rsidR="006D778B" w:rsidRPr="006D778B">
          <w:rPr>
            <w:color w:val="0000FF"/>
            <w:u w:val="single"/>
            <w:rtl/>
          </w:rPr>
          <w:t>סעיף 40יג(ב)</w:t>
        </w:r>
      </w:hyperlink>
      <w:r>
        <w:rPr>
          <w:rFonts w:hint="cs"/>
          <w:rtl/>
        </w:rPr>
        <w:t xml:space="preserve"> ל</w:t>
      </w:r>
      <w:hyperlink r:id="rId13" w:history="1">
        <w:r w:rsidRPr="00C75A96">
          <w:rPr>
            <w:color w:val="0000FF"/>
            <w:u w:val="single"/>
            <w:rtl/>
          </w:rPr>
          <w:t>חוק העונשין</w:t>
        </w:r>
      </w:hyperlink>
      <w:r>
        <w:rPr>
          <w:rFonts w:hint="cs"/>
          <w:rtl/>
        </w:rPr>
        <w:t xml:space="preserve">). </w:t>
      </w:r>
    </w:p>
    <w:p w14:paraId="39AC951E" w14:textId="77777777" w:rsidR="006C71F3" w:rsidRDefault="006C71F3">
      <w:pPr>
        <w:pStyle w:val="ListParagraph"/>
        <w:spacing w:line="360" w:lineRule="auto"/>
        <w:ind w:left="141" w:firstLine="579"/>
        <w:jc w:val="both"/>
        <w:rPr>
          <w:rtl/>
        </w:rPr>
      </w:pPr>
    </w:p>
    <w:p w14:paraId="2CE17EE9" w14:textId="77777777" w:rsidR="006C71F3" w:rsidRDefault="00C75A96">
      <w:pPr>
        <w:pStyle w:val="ListParagraph"/>
        <w:numPr>
          <w:ilvl w:val="0"/>
          <w:numId w:val="1"/>
        </w:numPr>
        <w:spacing w:line="360" w:lineRule="auto"/>
        <w:ind w:left="141" w:hanging="12"/>
        <w:jc w:val="both"/>
        <w:rPr>
          <w:rtl/>
        </w:rPr>
      </w:pPr>
      <w:r>
        <w:rPr>
          <w:rFonts w:hint="cs"/>
          <w:rtl/>
        </w:rPr>
        <w:t>לזכות הנאשם יש לזקוף את הודאתו אשר חסכה בזמן שיפוטי. אביא בחשבון לזכותו גם את תקופת מעצרו הממושכת ואת העובדה שבמעצרו הנוכחי התייצב מצבו וככל הנראה אינו נוטל סמים. עם זה אציין כי התרשמותי היא, וזו גם התרשמות שירות המבחן, כי הנאשם אינו מעוניין לערוך שינוי אמיתי באורחות חייו וראינו כי נכון לעת הזו אינו מעוניין בהליך גמילה מסודר.</w:t>
      </w:r>
    </w:p>
    <w:p w14:paraId="61CE7068" w14:textId="77777777" w:rsidR="006C71F3" w:rsidRDefault="006C71F3">
      <w:pPr>
        <w:pStyle w:val="ListParagraph"/>
        <w:spacing w:line="360" w:lineRule="auto"/>
        <w:ind w:left="141" w:firstLine="579"/>
        <w:jc w:val="both"/>
        <w:rPr>
          <w:rtl/>
        </w:rPr>
      </w:pPr>
    </w:p>
    <w:p w14:paraId="47BB35B9" w14:textId="77777777" w:rsidR="006C71F3" w:rsidRDefault="00C75A96">
      <w:pPr>
        <w:pStyle w:val="ListParagraph"/>
        <w:spacing w:line="360" w:lineRule="auto"/>
        <w:ind w:left="141" w:firstLine="579"/>
        <w:jc w:val="both"/>
        <w:rPr>
          <w:rtl/>
        </w:rPr>
      </w:pPr>
      <w:r>
        <w:rPr>
          <w:rFonts w:hint="cs"/>
          <w:rtl/>
        </w:rPr>
        <w:t xml:space="preserve">לחומרה יש להתייחס לעובדה כי הנאשם הורשע בעבר בביצוע עבירות דומות והנה שב לסורו ולא הועיל מאסר על תנאי ממושך שעמד כנגדו. ראוי לציין כי הנאשם החל לבצע את מעשיו זמן קצר ביותר לאחר ששוחרר ממאסרו האחרון (ביום 18.6.2013), ועוד יש להביא בחשבון את הצורך להרתיע את הנאשם ואת הציבור מביצוע עבירות סמים שכאלה. </w:t>
      </w:r>
    </w:p>
    <w:p w14:paraId="7408E248" w14:textId="77777777" w:rsidR="006C71F3" w:rsidRDefault="006C71F3">
      <w:pPr>
        <w:pStyle w:val="ListParagraph"/>
        <w:spacing w:line="360" w:lineRule="auto"/>
        <w:ind w:left="141" w:firstLine="579"/>
        <w:jc w:val="both"/>
        <w:rPr>
          <w:rtl/>
        </w:rPr>
      </w:pPr>
    </w:p>
    <w:p w14:paraId="13DDC976" w14:textId="77777777" w:rsidR="006C71F3" w:rsidRDefault="00C75A96">
      <w:pPr>
        <w:pStyle w:val="ListParagraph"/>
        <w:numPr>
          <w:ilvl w:val="0"/>
          <w:numId w:val="1"/>
        </w:numPr>
        <w:spacing w:line="360" w:lineRule="auto"/>
        <w:ind w:left="141" w:hanging="12"/>
        <w:jc w:val="both"/>
      </w:pPr>
      <w:r>
        <w:rPr>
          <w:rFonts w:hint="cs"/>
          <w:rtl/>
        </w:rPr>
        <w:t xml:space="preserve">ההגנה לא בקשה להימנע מהפעלת המאסר המותנה במקרה זה, אך למען הסר כל ספק אזכיר את המובן מאליו </w:t>
      </w:r>
      <w:r>
        <w:rPr>
          <w:rtl/>
        </w:rPr>
        <w:t>–</w:t>
      </w:r>
      <w:r>
        <w:rPr>
          <w:rFonts w:hint="cs"/>
          <w:rtl/>
        </w:rPr>
        <w:t xml:space="preserve"> כי מאסר מותנה הוא עונש שביצועו נדחה ולכן ברגיל יש מקום להפעילו, ולא בחופף. בהקשר זה לא מן הנמנע לציין כי בתיק הקודם הקל בית המשפט עם הנאשם, כאשר מצא לנכון להורות על חפיפה מלאה של שני מאסרים על-תנאי שהפעיל נגדו לעונש המאסר שגזר עליו באותו עניין [ראו דברי בית המשפט המחוזי בתל אביב ב</w:t>
      </w:r>
      <w:hyperlink r:id="rId14" w:history="1">
        <w:r w:rsidRPr="00C75A96">
          <w:rPr>
            <w:color w:val="0000FF"/>
            <w:u w:val="single"/>
            <w:rtl/>
          </w:rPr>
          <w:t>ע"פ 33435-02-11</w:t>
        </w:r>
      </w:hyperlink>
      <w:r>
        <w:rPr>
          <w:rFonts w:hint="cs"/>
          <w:rtl/>
        </w:rPr>
        <w:t xml:space="preserve"> </w:t>
      </w:r>
      <w:r>
        <w:rPr>
          <w:rFonts w:hint="cs"/>
          <w:b/>
          <w:bCs/>
          <w:rtl/>
        </w:rPr>
        <w:t>ציבולסקי נ' מדינת ישראל</w:t>
      </w:r>
      <w:r>
        <w:rPr>
          <w:rFonts w:hint="cs"/>
          <w:rtl/>
        </w:rPr>
        <w:t xml:space="preserve"> (9.3.2011)].</w:t>
      </w:r>
    </w:p>
    <w:p w14:paraId="3E867D86" w14:textId="77777777" w:rsidR="006C71F3" w:rsidRDefault="006C71F3">
      <w:pPr>
        <w:pStyle w:val="ListParagraph"/>
        <w:spacing w:line="360" w:lineRule="auto"/>
        <w:ind w:left="141" w:firstLine="579"/>
        <w:jc w:val="both"/>
        <w:rPr>
          <w:rtl/>
        </w:rPr>
      </w:pPr>
    </w:p>
    <w:p w14:paraId="488A465C" w14:textId="77777777" w:rsidR="006C71F3" w:rsidRDefault="00C75A96">
      <w:pPr>
        <w:pStyle w:val="ListParagraph"/>
        <w:numPr>
          <w:ilvl w:val="0"/>
          <w:numId w:val="1"/>
        </w:numPr>
        <w:spacing w:line="360" w:lineRule="auto"/>
        <w:ind w:left="141" w:hanging="12"/>
        <w:jc w:val="both"/>
      </w:pPr>
      <w:r>
        <w:rPr>
          <w:rFonts w:hint="cs"/>
          <w:rtl/>
        </w:rPr>
        <w:t xml:space="preserve">הדין עם המאשימה המבקשת להכריז על הנאשם כעל סוחר סמים על מנת לחלט את סכום הכסף שנתפס בביתו יחד עם הסמים המוזכרים באישום השלישי (4,900 ₪). </w:t>
      </w:r>
    </w:p>
    <w:p w14:paraId="7BBA189A" w14:textId="77777777" w:rsidR="006C71F3" w:rsidRDefault="006C71F3">
      <w:pPr>
        <w:pStyle w:val="ListParagraph"/>
        <w:spacing w:line="360" w:lineRule="auto"/>
        <w:ind w:left="141" w:firstLine="579"/>
        <w:jc w:val="both"/>
        <w:rPr>
          <w:rtl/>
        </w:rPr>
      </w:pPr>
    </w:p>
    <w:p w14:paraId="2D4EBC57" w14:textId="77777777" w:rsidR="006C71F3" w:rsidRDefault="00C75A96">
      <w:pPr>
        <w:pStyle w:val="ListParagraph"/>
        <w:spacing w:line="360" w:lineRule="auto"/>
        <w:ind w:left="141" w:firstLine="579"/>
        <w:jc w:val="both"/>
      </w:pPr>
      <w:r>
        <w:rPr>
          <w:rFonts w:hint="cs"/>
          <w:rtl/>
        </w:rPr>
        <w:t xml:space="preserve">בעצם הודאתו של הנאשם כי ארבע פעמים מכר סם מסוכן מסוג חשיש לאדם אחר תמורת סכום כסף של 300 ₪ בגין כל מכירה, הוכח כנדרש כי הנאשם </w:t>
      </w:r>
      <w:r>
        <w:rPr>
          <w:rFonts w:hint="cs"/>
          <w:b/>
          <w:bCs/>
          <w:rtl/>
        </w:rPr>
        <w:t>הפיק רווח מעבירה של עסקת סמים</w:t>
      </w:r>
      <w:r>
        <w:rPr>
          <w:rFonts w:hint="cs"/>
          <w:rtl/>
        </w:rPr>
        <w:t xml:space="preserve">, כדרישת </w:t>
      </w:r>
      <w:hyperlink r:id="rId15" w:history="1">
        <w:r w:rsidR="006D778B" w:rsidRPr="006D778B">
          <w:rPr>
            <w:color w:val="0000FF"/>
            <w:u w:val="single"/>
            <w:rtl/>
          </w:rPr>
          <w:t>סעיף 36א(ב)</w:t>
        </w:r>
      </w:hyperlink>
      <w:r>
        <w:rPr>
          <w:rFonts w:hint="cs"/>
          <w:rtl/>
        </w:rPr>
        <w:t xml:space="preserve"> ל</w:t>
      </w:r>
      <w:hyperlink r:id="rId16" w:history="1">
        <w:r w:rsidRPr="00C75A96">
          <w:rPr>
            <w:color w:val="0000FF"/>
            <w:u w:val="single"/>
            <w:rtl/>
          </w:rPr>
          <w:t>פקודת הסמים המסוכנים</w:t>
        </w:r>
      </w:hyperlink>
      <w:r>
        <w:rPr>
          <w:rFonts w:hint="cs"/>
          <w:rtl/>
        </w:rPr>
        <w:t xml:space="preserve"> [נוסח חדש], התשל"ג-1973 (להלן </w:t>
      </w:r>
      <w:r>
        <w:rPr>
          <w:rtl/>
        </w:rPr>
        <w:t>–</w:t>
      </w:r>
      <w:r>
        <w:rPr>
          <w:rFonts w:hint="cs"/>
          <w:rtl/>
        </w:rPr>
        <w:t xml:space="preserve"> "</w:t>
      </w:r>
      <w:r>
        <w:rPr>
          <w:rFonts w:hint="cs"/>
          <w:b/>
          <w:bCs/>
          <w:rtl/>
        </w:rPr>
        <w:t>פקודת הסמים</w:t>
      </w:r>
      <w:r>
        <w:rPr>
          <w:rFonts w:hint="cs"/>
          <w:rtl/>
        </w:rPr>
        <w:t>"). המאשימה אינה צריכה להראות כי הרכוש שנתפס מקורו בעסקת סמים, אלא, כאמור, שהנאשם הפיק רווח מעבירה של עסקת סמים, הא ותו לא. על כן אני מכריז על הנאשם כעל סוחר סמים.</w:t>
      </w:r>
      <w:bookmarkStart w:id="8" w:name="_GoBack"/>
      <w:bookmarkEnd w:id="8"/>
    </w:p>
    <w:p w14:paraId="409C1AC4" w14:textId="77777777" w:rsidR="006C71F3" w:rsidRDefault="006C71F3">
      <w:pPr>
        <w:pStyle w:val="ListParagraph"/>
        <w:spacing w:line="360" w:lineRule="auto"/>
        <w:ind w:left="141" w:firstLine="579"/>
        <w:jc w:val="both"/>
        <w:rPr>
          <w:rtl/>
        </w:rPr>
      </w:pPr>
    </w:p>
    <w:p w14:paraId="3FBB9DC8" w14:textId="77777777" w:rsidR="006C71F3" w:rsidRDefault="00C75A96">
      <w:pPr>
        <w:pStyle w:val="ListParagraph"/>
        <w:spacing w:line="360" w:lineRule="auto"/>
        <w:ind w:left="141" w:firstLine="579"/>
        <w:jc w:val="both"/>
        <w:rPr>
          <w:rtl/>
        </w:rPr>
      </w:pPr>
      <w:r>
        <w:rPr>
          <w:rFonts w:hint="cs"/>
          <w:rtl/>
        </w:rPr>
        <w:t xml:space="preserve">ההכרזה על הנאשם כעל סוחר סמים אינה סוף פסוק בכל הנוגע לרכוש שנתפס. בית המשפט יצווה לחלט כל רכוש של הנאשם אשר הושג בעסקת סמים (אלא אם כן סבר שלא לעשות כן מנימוקים מיוחדים שיפרט). הנאשם טוען כי סכום הכסף בו עסקינן לא הושג בעסקת סמים, אך בעניין זה עומדת לו לרועץ הוראת </w:t>
      </w:r>
      <w:hyperlink r:id="rId17" w:history="1">
        <w:r w:rsidR="006D778B" w:rsidRPr="006D778B">
          <w:rPr>
            <w:color w:val="0000FF"/>
            <w:u w:val="single"/>
            <w:rtl/>
          </w:rPr>
          <w:t>סעיף 31(6)(א)</w:t>
        </w:r>
      </w:hyperlink>
      <w:r>
        <w:rPr>
          <w:rFonts w:hint="cs"/>
          <w:rtl/>
        </w:rPr>
        <w:t xml:space="preserve"> לפקודת הסמים, הקובעת חזקה, לפיה אם הוכרז נאשם כסוחר סמים ייראה כל רכוש שלו כרכוש שהושג בעבירה של עסקת סמים, אלא אם כן הוכיח הנאשם שהאמצעים להשגת הרכוש היו חוקיים.</w:t>
      </w:r>
    </w:p>
    <w:p w14:paraId="1BA0CD90" w14:textId="77777777" w:rsidR="006C71F3" w:rsidRDefault="006C71F3">
      <w:pPr>
        <w:pStyle w:val="ListParagraph"/>
        <w:spacing w:line="360" w:lineRule="auto"/>
        <w:ind w:left="141" w:firstLine="579"/>
        <w:jc w:val="both"/>
        <w:rPr>
          <w:rtl/>
        </w:rPr>
      </w:pPr>
    </w:p>
    <w:p w14:paraId="02FAC0DE" w14:textId="77777777" w:rsidR="006C71F3" w:rsidRDefault="00C75A96">
      <w:pPr>
        <w:pStyle w:val="ListParagraph"/>
        <w:spacing w:line="360" w:lineRule="auto"/>
        <w:ind w:left="141" w:firstLine="579"/>
        <w:jc w:val="both"/>
        <w:rPr>
          <w:rtl/>
        </w:rPr>
      </w:pPr>
      <w:r>
        <w:rPr>
          <w:rFonts w:hint="cs"/>
          <w:rtl/>
        </w:rPr>
        <w:t xml:space="preserve">הנאשם ניסה להתמודד עם החזקה האמורה בדרך של הגשת מסמכים, לפיהם עבד בחלק מן התקופה הרלוונטית (כחודש ומחצה טרם החיפוש) בסופרמרקט, וכן בטענה כי סכום הכסף שנתפס גבוה מסכום העסקאות בהן הורשע. אין בכך ולא כלום. הנאשם עבד תקופה קצרה מאוד בסופרמרקט, וגם אם הרוויח ביושר סכומי כסף קטנים אין בכך כדי לסתור את החזקה הקבועה בפקודת הסמים לפיה רכושו הושג בעבירה. יתרה מכך, עצם העובדה שאדם שזה עתה השתחרר מהכלא והספיק לעבוד זמן כה קצר בעבודה לא מאוד מכניסה מחזיק בביתו סכום כסף לא מבוטל </w:t>
      </w:r>
      <w:r>
        <w:rPr>
          <w:rtl/>
        </w:rPr>
        <w:t>–</w:t>
      </w:r>
      <w:r>
        <w:rPr>
          <w:rFonts w:hint="cs"/>
          <w:rtl/>
        </w:rPr>
        <w:t xml:space="preserve"> אומרת דרשני. הטענה כי סכום הכסף שנתפס עולה על סכומי עסקאות הסם ודאי אינה משכנעת, בהתחשב בכך שברור מעובדות כתב האישום כי הנאשם מעורב עד צוואר בעסקי הסם, ובכך שבביתו נמצאו סמים בהיקפים גדולים בהרבה מאלה שמכר. </w:t>
      </w:r>
    </w:p>
    <w:p w14:paraId="68C5B6EC" w14:textId="77777777" w:rsidR="006C71F3" w:rsidRDefault="006C71F3">
      <w:pPr>
        <w:pStyle w:val="ListParagraph"/>
        <w:spacing w:line="360" w:lineRule="auto"/>
        <w:ind w:left="141" w:firstLine="579"/>
        <w:jc w:val="both"/>
        <w:rPr>
          <w:rtl/>
        </w:rPr>
      </w:pPr>
    </w:p>
    <w:p w14:paraId="0407775F" w14:textId="77777777" w:rsidR="006C71F3" w:rsidRDefault="00C75A96">
      <w:pPr>
        <w:pStyle w:val="ListParagraph"/>
        <w:spacing w:line="360" w:lineRule="auto"/>
        <w:ind w:left="141" w:firstLine="579"/>
        <w:jc w:val="both"/>
        <w:rPr>
          <w:rtl/>
        </w:rPr>
      </w:pPr>
      <w:r>
        <w:rPr>
          <w:rFonts w:hint="cs"/>
          <w:rtl/>
        </w:rPr>
        <w:t xml:space="preserve">לעניין מכשיר הטלפון הנייד </w:t>
      </w:r>
      <w:r>
        <w:rPr>
          <w:rtl/>
        </w:rPr>
        <w:t>–</w:t>
      </w:r>
      <w:r>
        <w:rPr>
          <w:rFonts w:hint="cs"/>
          <w:rtl/>
        </w:rPr>
        <w:t xml:space="preserve"> בהתחשב בעובדה כי בימינו מכשירים מסוג זה נפוצים מאוד ומשמשים למגוון של תכליות, לא ראיתי לנכון לקבוע כי מדובר ברכוש שהושג בעבירה של עסקת סמים.</w:t>
      </w:r>
    </w:p>
    <w:p w14:paraId="2D7B36C1" w14:textId="77777777" w:rsidR="006C71F3" w:rsidRDefault="006C71F3">
      <w:pPr>
        <w:pStyle w:val="ListParagraph"/>
        <w:spacing w:line="360" w:lineRule="auto"/>
        <w:ind w:left="141" w:firstLine="579"/>
        <w:jc w:val="both"/>
        <w:rPr>
          <w:rtl/>
        </w:rPr>
      </w:pPr>
    </w:p>
    <w:p w14:paraId="6AF04947" w14:textId="77777777" w:rsidR="006C71F3" w:rsidRDefault="00C75A96">
      <w:pPr>
        <w:pStyle w:val="ListParagraph"/>
        <w:numPr>
          <w:ilvl w:val="0"/>
          <w:numId w:val="1"/>
        </w:numPr>
        <w:spacing w:line="360" w:lineRule="auto"/>
        <w:ind w:left="141" w:hanging="12"/>
        <w:jc w:val="both"/>
      </w:pPr>
      <w:r>
        <w:rPr>
          <w:rFonts w:hint="cs"/>
          <w:rtl/>
        </w:rPr>
        <w:t>שקלתי את מלוא טענות הצדדים לקולא ולחומרא, ואני גוזר על הנאשם את העונשים הבאים:</w:t>
      </w:r>
    </w:p>
    <w:p w14:paraId="1F38075B" w14:textId="77777777" w:rsidR="006C71F3" w:rsidRDefault="00C75A96">
      <w:pPr>
        <w:pStyle w:val="ListParagraph"/>
        <w:spacing w:line="360" w:lineRule="auto"/>
        <w:jc w:val="both"/>
        <w:rPr>
          <w:rtl/>
        </w:rPr>
      </w:pPr>
      <w:r>
        <w:rPr>
          <w:rFonts w:hint="cs"/>
          <w:rtl/>
        </w:rPr>
        <w:t xml:space="preserve">א. </w:t>
      </w:r>
      <w:r>
        <w:rPr>
          <w:rFonts w:hint="cs"/>
          <w:rtl/>
        </w:rPr>
        <w:tab/>
        <w:t>מאסר בפועל בן 14 חודשים.</w:t>
      </w:r>
    </w:p>
    <w:p w14:paraId="437EEA87" w14:textId="77777777" w:rsidR="006C71F3" w:rsidRDefault="006C71F3">
      <w:pPr>
        <w:pStyle w:val="ListParagraph"/>
        <w:spacing w:line="360" w:lineRule="auto"/>
        <w:ind w:left="1440"/>
        <w:jc w:val="both"/>
        <w:rPr>
          <w:rtl/>
        </w:rPr>
      </w:pPr>
    </w:p>
    <w:p w14:paraId="76F806EB" w14:textId="77777777" w:rsidR="006C71F3" w:rsidRDefault="00C75A96">
      <w:pPr>
        <w:pStyle w:val="ListParagraph"/>
        <w:spacing w:line="360" w:lineRule="auto"/>
        <w:ind w:left="1440"/>
        <w:jc w:val="both"/>
        <w:rPr>
          <w:rtl/>
        </w:rPr>
      </w:pPr>
      <w:r>
        <w:rPr>
          <w:rFonts w:hint="cs"/>
          <w:rtl/>
        </w:rPr>
        <w:t>אני מפעיל נגד הנאשם את המאסר המותנה בן 12 החודשים, שגזר עליו בית משפט השלום בתל אביב בת"פ 4171/08 ביום 31.1.2011 במצטבר.</w:t>
      </w:r>
    </w:p>
    <w:p w14:paraId="242E6952" w14:textId="77777777" w:rsidR="006C71F3" w:rsidRDefault="006C71F3">
      <w:pPr>
        <w:pStyle w:val="ListParagraph"/>
        <w:spacing w:line="360" w:lineRule="auto"/>
        <w:ind w:left="1440"/>
        <w:jc w:val="both"/>
        <w:rPr>
          <w:b/>
          <w:bCs/>
          <w:rtl/>
        </w:rPr>
      </w:pPr>
    </w:p>
    <w:p w14:paraId="238B43AF" w14:textId="77777777" w:rsidR="006C71F3" w:rsidRDefault="00C75A96">
      <w:pPr>
        <w:pStyle w:val="ListParagraph"/>
        <w:spacing w:line="360" w:lineRule="auto"/>
        <w:ind w:left="1440"/>
        <w:jc w:val="both"/>
        <w:rPr>
          <w:b/>
          <w:bCs/>
          <w:rtl/>
        </w:rPr>
      </w:pPr>
      <w:r>
        <w:rPr>
          <w:rFonts w:hint="cs"/>
          <w:b/>
          <w:bCs/>
          <w:rtl/>
        </w:rPr>
        <w:t xml:space="preserve">סך הכול ירצה הנאשם מאסר בפועל בן 26 חודשים החל ביום מעצרו </w:t>
      </w:r>
      <w:r>
        <w:rPr>
          <w:b/>
          <w:bCs/>
          <w:rtl/>
        </w:rPr>
        <w:t>–</w:t>
      </w:r>
      <w:r>
        <w:rPr>
          <w:rFonts w:hint="cs"/>
          <w:b/>
          <w:bCs/>
          <w:rtl/>
        </w:rPr>
        <w:t xml:space="preserve"> 11.2.2014.</w:t>
      </w:r>
    </w:p>
    <w:p w14:paraId="30B062B2" w14:textId="77777777" w:rsidR="006C71F3" w:rsidRDefault="006C71F3">
      <w:pPr>
        <w:pStyle w:val="ListParagraph"/>
        <w:spacing w:line="360" w:lineRule="auto"/>
        <w:ind w:left="1440"/>
        <w:jc w:val="both"/>
        <w:rPr>
          <w:b/>
          <w:bCs/>
          <w:rtl/>
        </w:rPr>
      </w:pPr>
    </w:p>
    <w:p w14:paraId="79C7237F" w14:textId="77777777" w:rsidR="006C71F3" w:rsidRDefault="00C75A96">
      <w:pPr>
        <w:pStyle w:val="ListParagraph"/>
        <w:spacing w:line="360" w:lineRule="auto"/>
        <w:ind w:left="1440" w:hanging="720"/>
        <w:jc w:val="both"/>
        <w:rPr>
          <w:rtl/>
        </w:rPr>
      </w:pPr>
      <w:r>
        <w:rPr>
          <w:rFonts w:hint="cs"/>
          <w:rtl/>
        </w:rPr>
        <w:t>ב.</w:t>
      </w:r>
      <w:r>
        <w:rPr>
          <w:rFonts w:hint="cs"/>
          <w:rtl/>
        </w:rPr>
        <w:tab/>
        <w:t>מאסר על-תנאי בן 12 חודשים, והתנאי הוא כי בתקופה בת שלוש שנים מיום שחרורו לא יעבור עבירת סמים מסוג פשע.</w:t>
      </w:r>
    </w:p>
    <w:p w14:paraId="67A9C15C" w14:textId="77777777" w:rsidR="006C71F3" w:rsidRDefault="006C71F3">
      <w:pPr>
        <w:pStyle w:val="ListParagraph"/>
        <w:spacing w:line="360" w:lineRule="auto"/>
        <w:ind w:left="1440" w:hanging="720"/>
        <w:jc w:val="both"/>
        <w:rPr>
          <w:rtl/>
        </w:rPr>
      </w:pPr>
    </w:p>
    <w:p w14:paraId="766BDAEF" w14:textId="77777777" w:rsidR="006C71F3" w:rsidRDefault="00C75A96">
      <w:pPr>
        <w:pStyle w:val="ListParagraph"/>
        <w:spacing w:line="360" w:lineRule="auto"/>
        <w:ind w:left="1440" w:hanging="720"/>
        <w:jc w:val="both"/>
        <w:rPr>
          <w:rtl/>
        </w:rPr>
      </w:pPr>
      <w:r>
        <w:rPr>
          <w:rFonts w:hint="cs"/>
          <w:rtl/>
        </w:rPr>
        <w:t>ג.</w:t>
      </w:r>
      <w:r>
        <w:rPr>
          <w:rFonts w:hint="cs"/>
          <w:rtl/>
        </w:rPr>
        <w:tab/>
        <w:t>מאסר על-תנאי בן 5 חודשים, והתנאי הוא כי בתקופה בת שלוש שנים מיום שחרורו לא יעבור עבירת סמים מסוג עוון.</w:t>
      </w:r>
    </w:p>
    <w:p w14:paraId="22BAEDF9" w14:textId="77777777" w:rsidR="006C71F3" w:rsidRDefault="006C71F3">
      <w:pPr>
        <w:pStyle w:val="ListParagraph"/>
        <w:spacing w:line="360" w:lineRule="auto"/>
        <w:ind w:left="1440" w:hanging="720"/>
        <w:jc w:val="both"/>
        <w:rPr>
          <w:rtl/>
        </w:rPr>
      </w:pPr>
    </w:p>
    <w:p w14:paraId="784839B4" w14:textId="77777777" w:rsidR="006C71F3" w:rsidRDefault="00C75A96">
      <w:pPr>
        <w:pStyle w:val="ListParagraph"/>
        <w:spacing w:line="360" w:lineRule="auto"/>
        <w:ind w:left="1440" w:hanging="720"/>
        <w:jc w:val="both"/>
        <w:rPr>
          <w:rtl/>
        </w:rPr>
      </w:pPr>
      <w:r>
        <w:rPr>
          <w:rFonts w:hint="cs"/>
          <w:rtl/>
        </w:rPr>
        <w:t>ד.</w:t>
      </w:r>
      <w:r>
        <w:rPr>
          <w:rFonts w:hint="cs"/>
          <w:rtl/>
        </w:rPr>
        <w:tab/>
        <w:t>קנס בסך 4,000 ₪ או 40 ימי מאסר תמורתו.</w:t>
      </w:r>
    </w:p>
    <w:p w14:paraId="05DA9CD7" w14:textId="77777777" w:rsidR="006C71F3" w:rsidRDefault="006C71F3">
      <w:pPr>
        <w:pStyle w:val="ListParagraph"/>
        <w:spacing w:line="360" w:lineRule="auto"/>
        <w:ind w:left="1440" w:hanging="720"/>
        <w:jc w:val="both"/>
        <w:rPr>
          <w:rtl/>
        </w:rPr>
      </w:pPr>
    </w:p>
    <w:p w14:paraId="2EBF8DB1" w14:textId="77777777" w:rsidR="006C71F3" w:rsidRDefault="00C75A96">
      <w:pPr>
        <w:pStyle w:val="ListParagraph"/>
        <w:spacing w:line="360" w:lineRule="auto"/>
        <w:ind w:left="1440" w:hanging="720"/>
        <w:jc w:val="both"/>
        <w:rPr>
          <w:rtl/>
        </w:rPr>
      </w:pPr>
      <w:r>
        <w:rPr>
          <w:rFonts w:hint="cs"/>
          <w:rtl/>
        </w:rPr>
        <w:t>ה.</w:t>
      </w:r>
      <w:r>
        <w:rPr>
          <w:rFonts w:hint="cs"/>
          <w:rtl/>
        </w:rPr>
        <w:tab/>
        <w:t>אני מורה על חילוט הסך של 4,900 ₪ שנתפס מידי הנאשם.</w:t>
      </w:r>
    </w:p>
    <w:p w14:paraId="05AB91E0" w14:textId="77777777" w:rsidR="006C71F3" w:rsidRDefault="006C71F3">
      <w:pPr>
        <w:spacing w:line="360" w:lineRule="auto"/>
        <w:jc w:val="both"/>
        <w:rPr>
          <w:rtl/>
        </w:rPr>
      </w:pPr>
    </w:p>
    <w:p w14:paraId="2207F84C" w14:textId="77777777" w:rsidR="006C71F3" w:rsidRDefault="006C71F3">
      <w:pPr>
        <w:rPr>
          <w:rtl/>
        </w:rPr>
      </w:pPr>
    </w:p>
    <w:p w14:paraId="26CD3EBF" w14:textId="77777777" w:rsidR="006C71F3" w:rsidRDefault="00C75A96">
      <w:pPr>
        <w:rPr>
          <w:b/>
          <w:bCs/>
          <w:rtl/>
        </w:rPr>
      </w:pPr>
      <w:r>
        <w:rPr>
          <w:rFonts w:hint="cs"/>
          <w:b/>
          <w:bCs/>
          <w:rtl/>
        </w:rPr>
        <w:t>זכות ערעור לבית המשפט המחוזי תוך 45 יום.</w:t>
      </w:r>
    </w:p>
    <w:p w14:paraId="2AECF5A3" w14:textId="77777777" w:rsidR="006C71F3" w:rsidRDefault="006C71F3">
      <w:pPr>
        <w:rPr>
          <w:rtl/>
        </w:rPr>
      </w:pPr>
    </w:p>
    <w:p w14:paraId="5F98364B" w14:textId="77777777" w:rsidR="006C71F3" w:rsidRDefault="006C71F3">
      <w:pPr>
        <w:rPr>
          <w:rtl/>
        </w:rPr>
      </w:pPr>
    </w:p>
    <w:p w14:paraId="6D67D168" w14:textId="77777777" w:rsidR="006C71F3" w:rsidRDefault="00C75A96">
      <w:pPr>
        <w:rPr>
          <w:rtl/>
        </w:rPr>
      </w:pPr>
      <w:r>
        <w:rPr>
          <w:rFonts w:hint="cs"/>
          <w:rtl/>
        </w:rPr>
        <w:t>ניתן צו להשמדת המשקל והסמים ולהשבת מכשיר הטלפון הנייד לידי הנאשם.</w:t>
      </w:r>
    </w:p>
    <w:p w14:paraId="42D96DC7" w14:textId="77777777" w:rsidR="006C71F3" w:rsidRDefault="006C71F3">
      <w:pPr>
        <w:rPr>
          <w:rtl/>
        </w:rPr>
      </w:pPr>
    </w:p>
    <w:p w14:paraId="2A5553D2" w14:textId="77777777" w:rsidR="006C71F3" w:rsidRDefault="006C71F3">
      <w:pPr>
        <w:rPr>
          <w:rtl/>
        </w:rPr>
      </w:pPr>
    </w:p>
    <w:p w14:paraId="267D61AD" w14:textId="77777777" w:rsidR="006C71F3" w:rsidRDefault="00C75A96">
      <w:pPr>
        <w:rPr>
          <w:sz w:val="28"/>
          <w:szCs w:val="28"/>
          <w:rtl/>
        </w:rPr>
      </w:pPr>
      <w:r w:rsidRPr="00C75A96">
        <w:rPr>
          <w:rFonts w:ascii="Arial" w:hAnsi="Arial"/>
          <w:color w:val="FFFFFF"/>
          <w:sz w:val="2"/>
          <w:szCs w:val="2"/>
          <w:rtl/>
        </w:rPr>
        <w:t>5129371</w:t>
      </w:r>
      <w:r>
        <w:rPr>
          <w:rFonts w:ascii="Arial" w:hAnsi="Arial"/>
          <w:sz w:val="26"/>
          <w:szCs w:val="26"/>
          <w:rtl/>
        </w:rPr>
        <w:t xml:space="preserve">ניתן היום,  טט' טבת תשע"ה, 31 דצמבר 2014, במעמד הנוכחים. </w:t>
      </w:r>
    </w:p>
    <w:p w14:paraId="33190124" w14:textId="77777777" w:rsidR="006C71F3" w:rsidRPr="00C75A96" w:rsidRDefault="00C75A96">
      <w:pPr>
        <w:jc w:val="center"/>
        <w:rPr>
          <w:color w:val="FFFFFF"/>
          <w:sz w:val="2"/>
          <w:szCs w:val="2"/>
        </w:rPr>
      </w:pPr>
      <w:r w:rsidRPr="00C75A96">
        <w:rPr>
          <w:rFonts w:ascii="Arial" w:hAnsi="Arial"/>
          <w:color w:val="FFFFFF"/>
          <w:sz w:val="2"/>
          <w:szCs w:val="2"/>
          <w:rtl/>
        </w:rPr>
        <w:t>54678313</w:t>
      </w:r>
      <w:r w:rsidRPr="00C75A96">
        <w:rPr>
          <w:rFonts w:ascii="Arial" w:hAnsi="Arial" w:hint="cs"/>
          <w:color w:val="FFFFFF"/>
          <w:sz w:val="2"/>
          <w:szCs w:val="2"/>
          <w:rtl/>
        </w:rPr>
        <w:t xml:space="preserve">                                                                         </w:t>
      </w:r>
    </w:p>
    <w:p w14:paraId="614D8D01" w14:textId="77777777" w:rsidR="006C71F3" w:rsidRDefault="006C71F3">
      <w:pPr>
        <w:pStyle w:val="a3"/>
        <w:jc w:val="center"/>
        <w:rPr>
          <w:rtl/>
        </w:rPr>
      </w:pPr>
    </w:p>
    <w:p w14:paraId="772751C7" w14:textId="77777777" w:rsidR="006C71F3" w:rsidRPr="006D778B" w:rsidRDefault="006D778B">
      <w:pPr>
        <w:rPr>
          <w:rFonts w:ascii="Arial" w:hAnsi="Arial" w:cs="FrankRuehl"/>
          <w:color w:val="FFFFFF"/>
          <w:sz w:val="2"/>
          <w:szCs w:val="2"/>
        </w:rPr>
      </w:pPr>
      <w:r w:rsidRPr="006D778B">
        <w:rPr>
          <w:rFonts w:ascii="Arial" w:hAnsi="Arial" w:cs="FrankRuehl"/>
          <w:color w:val="FFFFFF"/>
          <w:sz w:val="2"/>
          <w:szCs w:val="2"/>
          <w:rtl/>
        </w:rPr>
        <w:t>5129371</w:t>
      </w:r>
    </w:p>
    <w:p w14:paraId="3A792725" w14:textId="77777777" w:rsidR="00C75A96" w:rsidRPr="006D778B" w:rsidRDefault="006D778B" w:rsidP="00C75A96">
      <w:pPr>
        <w:keepNext/>
        <w:rPr>
          <w:rFonts w:ascii="David" w:hAnsi="David"/>
          <w:color w:val="FFFFFF"/>
          <w:sz w:val="2"/>
          <w:szCs w:val="2"/>
          <w:rtl/>
        </w:rPr>
      </w:pPr>
      <w:r w:rsidRPr="006D778B">
        <w:rPr>
          <w:rFonts w:ascii="David" w:hAnsi="David"/>
          <w:color w:val="FFFFFF"/>
          <w:sz w:val="2"/>
          <w:szCs w:val="2"/>
          <w:rtl/>
        </w:rPr>
        <w:t>54678313</w:t>
      </w:r>
    </w:p>
    <w:p w14:paraId="54DF86FD" w14:textId="77777777" w:rsidR="00C75A96" w:rsidRDefault="00C75A96" w:rsidP="00C75A96">
      <w:r w:rsidRPr="00C75A96">
        <w:rPr>
          <w:color w:val="000000"/>
          <w:rtl/>
        </w:rPr>
        <w:t>נוסח מסמך זה כפוף לשינויי ניסוח ועריכה</w:t>
      </w:r>
    </w:p>
    <w:p w14:paraId="1E4A7BDE" w14:textId="77777777" w:rsidR="00C75A96" w:rsidRDefault="00C75A96" w:rsidP="00C75A96">
      <w:pPr>
        <w:rPr>
          <w:rtl/>
        </w:rPr>
      </w:pPr>
    </w:p>
    <w:p w14:paraId="2A7EB2F7" w14:textId="77777777" w:rsidR="00C75A96" w:rsidRDefault="00C75A96" w:rsidP="00C75A96">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59A473DD" w14:textId="77777777" w:rsidR="006D778B" w:rsidRPr="006D778B" w:rsidRDefault="006D778B" w:rsidP="006D778B">
      <w:pPr>
        <w:keepNext/>
        <w:rPr>
          <w:rFonts w:ascii="David" w:hAnsi="David"/>
          <w:color w:val="000000"/>
          <w:sz w:val="22"/>
          <w:szCs w:val="22"/>
          <w:rtl/>
        </w:rPr>
      </w:pPr>
    </w:p>
    <w:p w14:paraId="14FDBFBA" w14:textId="77777777" w:rsidR="006D778B" w:rsidRDefault="006D778B" w:rsidP="006D778B">
      <w:pPr>
        <w:keepNext/>
        <w:rPr>
          <w:rFonts w:ascii="David" w:hAnsi="David" w:hint="cs"/>
          <w:color w:val="000000"/>
          <w:sz w:val="22"/>
          <w:szCs w:val="22"/>
          <w:rtl/>
        </w:rPr>
      </w:pPr>
      <w:r w:rsidRPr="006D778B">
        <w:rPr>
          <w:rFonts w:ascii="David" w:hAnsi="David"/>
          <w:color w:val="000000"/>
          <w:sz w:val="22"/>
          <w:szCs w:val="22"/>
          <w:rtl/>
        </w:rPr>
        <w:t>מיכאל קרשן 54678313-/</w:t>
      </w:r>
    </w:p>
    <w:p w14:paraId="65B0FF43" w14:textId="77777777" w:rsidR="007804BF" w:rsidRDefault="007804BF" w:rsidP="006D778B">
      <w:pPr>
        <w:keepNext/>
        <w:rPr>
          <w:rFonts w:ascii="David" w:hAnsi="David" w:hint="cs"/>
          <w:color w:val="000000"/>
          <w:sz w:val="22"/>
          <w:szCs w:val="22"/>
          <w:rtl/>
        </w:rPr>
      </w:pPr>
    </w:p>
    <w:p w14:paraId="523D8C20" w14:textId="77777777" w:rsidR="007804BF" w:rsidRPr="006D778B" w:rsidRDefault="007804BF" w:rsidP="006D778B">
      <w:pPr>
        <w:keepNext/>
        <w:rPr>
          <w:rFonts w:ascii="David" w:hAnsi="David"/>
          <w:color w:val="000000"/>
          <w:sz w:val="22"/>
          <w:szCs w:val="22"/>
          <w:rtl/>
        </w:rPr>
      </w:pPr>
    </w:p>
    <w:sectPr w:rsidR="007804BF" w:rsidRPr="006D778B" w:rsidSect="006D778B">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D05CD" w14:textId="77777777" w:rsidR="00BC0000" w:rsidRPr="00587357" w:rsidRDefault="00BC0000">
      <w:pPr>
        <w:rPr>
          <w:rFonts w:cs="Arial"/>
          <w:szCs w:val="20"/>
        </w:rPr>
      </w:pPr>
      <w:r>
        <w:separator/>
      </w:r>
    </w:p>
  </w:endnote>
  <w:endnote w:type="continuationSeparator" w:id="0">
    <w:p w14:paraId="6D092736" w14:textId="77777777" w:rsidR="00BC0000" w:rsidRPr="00587357" w:rsidRDefault="00BC000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64457" w14:textId="77777777" w:rsidR="00BC0000" w:rsidRDefault="00BC0000" w:rsidP="006D778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C7894AC" w14:textId="77777777" w:rsidR="00BC0000" w:rsidRPr="006D778B" w:rsidRDefault="00BC0000" w:rsidP="006D778B">
    <w:pPr>
      <w:pStyle w:val="a4"/>
      <w:pBdr>
        <w:top w:val="single" w:sz="4" w:space="1" w:color="auto"/>
        <w:between w:val="single" w:sz="4" w:space="0" w:color="auto"/>
      </w:pBdr>
      <w:spacing w:after="60"/>
      <w:jc w:val="center"/>
      <w:rPr>
        <w:rFonts w:ascii="FrankRuehl" w:hAnsi="FrankRuehl" w:cs="FrankRuehl"/>
        <w:color w:val="000000"/>
      </w:rPr>
    </w:pPr>
    <w:r w:rsidRPr="006D77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3516E" w14:textId="77777777" w:rsidR="00BC0000" w:rsidRDefault="00BC0000" w:rsidP="006D778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73F5">
      <w:rPr>
        <w:rFonts w:ascii="FrankRuehl" w:hAnsi="FrankRuehl" w:cs="FrankRuehl"/>
        <w:noProof/>
        <w:rtl/>
      </w:rPr>
      <w:t>1</w:t>
    </w:r>
    <w:r>
      <w:rPr>
        <w:rFonts w:ascii="FrankRuehl" w:hAnsi="FrankRuehl" w:cs="FrankRuehl"/>
        <w:rtl/>
      </w:rPr>
      <w:fldChar w:fldCharType="end"/>
    </w:r>
  </w:p>
  <w:p w14:paraId="3BC7A953" w14:textId="77777777" w:rsidR="00BC0000" w:rsidRPr="006D778B" w:rsidRDefault="00BC0000" w:rsidP="006D778B">
    <w:pPr>
      <w:pStyle w:val="a4"/>
      <w:pBdr>
        <w:top w:val="single" w:sz="4" w:space="1" w:color="auto"/>
        <w:between w:val="single" w:sz="4" w:space="0" w:color="auto"/>
      </w:pBdr>
      <w:spacing w:after="60"/>
      <w:jc w:val="center"/>
      <w:rPr>
        <w:rFonts w:ascii="FrankRuehl" w:hAnsi="FrankRuehl" w:cs="FrankRuehl"/>
        <w:color w:val="000000"/>
      </w:rPr>
    </w:pPr>
    <w:r w:rsidRPr="006D778B">
      <w:rPr>
        <w:rFonts w:ascii="FrankRuehl" w:hAnsi="FrankRuehl" w:cs="FrankRuehl"/>
        <w:color w:val="000000"/>
      </w:rPr>
      <w:pict w14:anchorId="5AE0AC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9F2C7" w14:textId="77777777" w:rsidR="00BC0000" w:rsidRPr="00587357" w:rsidRDefault="00BC0000">
      <w:pPr>
        <w:rPr>
          <w:rFonts w:cs="Arial"/>
          <w:szCs w:val="20"/>
        </w:rPr>
      </w:pPr>
      <w:r>
        <w:separator/>
      </w:r>
    </w:p>
  </w:footnote>
  <w:footnote w:type="continuationSeparator" w:id="0">
    <w:p w14:paraId="082AB39C" w14:textId="77777777" w:rsidR="00BC0000" w:rsidRPr="00587357" w:rsidRDefault="00BC000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39C18" w14:textId="77777777" w:rsidR="00BC0000" w:rsidRPr="006D778B" w:rsidRDefault="00BC0000" w:rsidP="006D77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42512-02-14</w:t>
    </w:r>
    <w:r>
      <w:rPr>
        <w:rFonts w:ascii="David" w:hAnsi="David"/>
        <w:color w:val="000000"/>
        <w:sz w:val="22"/>
        <w:szCs w:val="22"/>
        <w:rtl/>
      </w:rPr>
      <w:tab/>
      <w:t xml:space="preserve"> מדינת ישראל נ' סרגיי ציבולסקי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6BDE0" w14:textId="77777777" w:rsidR="00BC0000" w:rsidRPr="006D778B" w:rsidRDefault="00BC0000" w:rsidP="006D77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42512-02-14</w:t>
    </w:r>
    <w:r>
      <w:rPr>
        <w:rFonts w:ascii="David" w:hAnsi="David"/>
        <w:color w:val="000000"/>
        <w:sz w:val="22"/>
        <w:szCs w:val="22"/>
        <w:rtl/>
      </w:rPr>
      <w:tab/>
      <w:t xml:space="preserve"> מדינת ישראל נ' סרגיי ציבולסקי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8A0A3D"/>
    <w:multiLevelType w:val="hybridMultilevel"/>
    <w:tmpl w:val="CB82D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294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71F3"/>
    <w:rsid w:val="00045976"/>
    <w:rsid w:val="00230683"/>
    <w:rsid w:val="006C71F3"/>
    <w:rsid w:val="006D778B"/>
    <w:rsid w:val="007804BF"/>
    <w:rsid w:val="00975534"/>
    <w:rsid w:val="00AA4C5F"/>
    <w:rsid w:val="00BC0000"/>
    <w:rsid w:val="00C22B41"/>
    <w:rsid w:val="00C75A96"/>
    <w:rsid w:val="00E173F5"/>
    <w:rsid w:val="00F300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25667E"/>
  <w15:chartTrackingRefBased/>
  <w15:docId w15:val="{54EF5625-7900-43D5-B9CA-E9892460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71F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C71F3"/>
    <w:pPr>
      <w:tabs>
        <w:tab w:val="center" w:pos="4153"/>
        <w:tab w:val="right" w:pos="8306"/>
      </w:tabs>
    </w:pPr>
  </w:style>
  <w:style w:type="paragraph" w:styleId="a4">
    <w:name w:val="footer"/>
    <w:basedOn w:val="a"/>
    <w:rsid w:val="006C71F3"/>
    <w:pPr>
      <w:tabs>
        <w:tab w:val="center" w:pos="4153"/>
        <w:tab w:val="right" w:pos="8306"/>
      </w:tabs>
    </w:pPr>
  </w:style>
  <w:style w:type="character" w:styleId="a5">
    <w:name w:val="page number"/>
    <w:basedOn w:val="a0"/>
    <w:rsid w:val="006C71F3"/>
  </w:style>
  <w:style w:type="paragraph" w:customStyle="1" w:styleId="ListParagraph">
    <w:name w:val="List Paragraph"/>
    <w:basedOn w:val="a"/>
    <w:rsid w:val="006C71F3"/>
    <w:pPr>
      <w:ind w:left="720"/>
      <w:contextualSpacing/>
    </w:pPr>
  </w:style>
  <w:style w:type="character" w:styleId="Hyperlink">
    <w:name w:val="Hyperlink"/>
    <w:rsid w:val="00C75A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jc.b" TargetMode="External"/><Relationship Id="rId13" Type="http://schemas.openxmlformats.org/officeDocument/2006/relationships/hyperlink" Target="http://www.nevo.co.il/law/70301"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40jc.b" TargetMode="External"/><Relationship Id="rId17" Type="http://schemas.openxmlformats.org/officeDocument/2006/relationships/hyperlink" Target="http://www.nevo.co.il/law/4216/31.6.a"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a.b"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36a.b" TargetMode="External"/><Relationship Id="rId23" Type="http://schemas.openxmlformats.org/officeDocument/2006/relationships/fontTable" Target="fontTable.xml"/><Relationship Id="rId10" Type="http://schemas.openxmlformats.org/officeDocument/2006/relationships/hyperlink" Target="http://www.nevo.co.il/law/4216/31.6.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case/3773057"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1798</Words>
  <Characters>8991</Characters>
  <Application>Microsoft Office Word</Application>
  <DocSecurity>0</DocSecurity>
  <Lines>74</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10768</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5046349</vt:i4>
      </vt:variant>
      <vt:variant>
        <vt:i4>30</vt:i4>
      </vt:variant>
      <vt:variant>
        <vt:i4>0</vt:i4>
      </vt:variant>
      <vt:variant>
        <vt:i4>5</vt:i4>
      </vt:variant>
      <vt:variant>
        <vt:lpwstr>http://www.nevo.co.il/law/4216/31.6.a</vt:lpwstr>
      </vt:variant>
      <vt:variant>
        <vt:lpwstr/>
      </vt:variant>
      <vt:variant>
        <vt:i4>8257637</vt:i4>
      </vt:variant>
      <vt:variant>
        <vt:i4>27</vt:i4>
      </vt:variant>
      <vt:variant>
        <vt:i4>0</vt:i4>
      </vt:variant>
      <vt:variant>
        <vt:i4>5</vt:i4>
      </vt:variant>
      <vt:variant>
        <vt:lpwstr>http://www.nevo.co.il/law/4216</vt:lpwstr>
      </vt:variant>
      <vt:variant>
        <vt:lpwstr/>
      </vt:variant>
      <vt:variant>
        <vt:i4>5111890</vt:i4>
      </vt:variant>
      <vt:variant>
        <vt:i4>24</vt:i4>
      </vt:variant>
      <vt:variant>
        <vt:i4>0</vt:i4>
      </vt:variant>
      <vt:variant>
        <vt:i4>5</vt:i4>
      </vt:variant>
      <vt:variant>
        <vt:lpwstr>http://www.nevo.co.il/law/4216/36a.b</vt:lpwstr>
      </vt:variant>
      <vt:variant>
        <vt:lpwstr/>
      </vt:variant>
      <vt:variant>
        <vt:i4>3342453</vt:i4>
      </vt:variant>
      <vt:variant>
        <vt:i4>21</vt:i4>
      </vt:variant>
      <vt:variant>
        <vt:i4>0</vt:i4>
      </vt:variant>
      <vt:variant>
        <vt:i4>5</vt:i4>
      </vt:variant>
      <vt:variant>
        <vt:lpwstr>http://www.nevo.co.il/case/3773057</vt:lpwstr>
      </vt:variant>
      <vt:variant>
        <vt:lpwstr/>
      </vt:variant>
      <vt:variant>
        <vt:i4>7995492</vt:i4>
      </vt:variant>
      <vt:variant>
        <vt:i4>18</vt:i4>
      </vt:variant>
      <vt:variant>
        <vt:i4>0</vt:i4>
      </vt:variant>
      <vt:variant>
        <vt:i4>5</vt:i4>
      </vt:variant>
      <vt:variant>
        <vt:lpwstr>http://www.nevo.co.il/law/70301</vt:lpwstr>
      </vt:variant>
      <vt:variant>
        <vt:lpwstr/>
      </vt:variant>
      <vt:variant>
        <vt:i4>6553637</vt:i4>
      </vt:variant>
      <vt:variant>
        <vt:i4>15</vt:i4>
      </vt:variant>
      <vt:variant>
        <vt:i4>0</vt:i4>
      </vt:variant>
      <vt:variant>
        <vt:i4>5</vt:i4>
      </vt:variant>
      <vt:variant>
        <vt:lpwstr>http://www.nevo.co.il/law/70301/40jc.b</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5046349</vt:i4>
      </vt:variant>
      <vt:variant>
        <vt:i4>9</vt:i4>
      </vt:variant>
      <vt:variant>
        <vt:i4>0</vt:i4>
      </vt:variant>
      <vt:variant>
        <vt:i4>5</vt:i4>
      </vt:variant>
      <vt:variant>
        <vt:lpwstr>http://www.nevo.co.il/law/4216/31.6.a</vt:lpwstr>
      </vt:variant>
      <vt:variant>
        <vt:lpwstr/>
      </vt:variant>
      <vt:variant>
        <vt:i4>8257637</vt:i4>
      </vt:variant>
      <vt:variant>
        <vt:i4>6</vt:i4>
      </vt:variant>
      <vt:variant>
        <vt:i4>0</vt:i4>
      </vt:variant>
      <vt:variant>
        <vt:i4>5</vt:i4>
      </vt:variant>
      <vt:variant>
        <vt:lpwstr>http://www.nevo.co.il/law/4216</vt:lpwstr>
      </vt:variant>
      <vt:variant>
        <vt:lpwstr/>
      </vt:variant>
      <vt:variant>
        <vt:i4>6553637</vt:i4>
      </vt:variant>
      <vt:variant>
        <vt:i4>3</vt:i4>
      </vt:variant>
      <vt:variant>
        <vt:i4>0</vt:i4>
      </vt:variant>
      <vt:variant>
        <vt:i4>5</vt:i4>
      </vt:variant>
      <vt:variant>
        <vt:lpwstr>http://www.nevo.co.il/law/70301/40jc.b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2025-04-22T22:15:00Z</dcterms:created>
  <dcterms:modified xsi:type="dcterms:W3CDTF">2025-04-22T22:15:00Z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42512</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סרגיי ציבולסקי</vt:lpwstr>
  </property>
  <property fmtid="{D5CDD505-2E9C-101B-9397-08002B2CF9AE}" pid="10" name="LAWYER">
    <vt:lpwstr>דנית שושן ;ליאת שפיר;רן עמר</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20141231</vt:lpwstr>
  </property>
  <property fmtid="{D5CDD505-2E9C-101B-9397-08002B2CF9AE}" pid="14" name="TYPE_N_DATE">
    <vt:lpwstr>38020141231</vt:lpwstr>
  </property>
  <property fmtid="{D5CDD505-2E9C-101B-9397-08002B2CF9AE}" pid="15" name="WORDNUMPAGES">
    <vt:lpwstr>6</vt:lpwstr>
  </property>
  <property fmtid="{D5CDD505-2E9C-101B-9397-08002B2CF9AE}" pid="16" name="TYPE_ABS_DATE">
    <vt:lpwstr>380020141231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3773057</vt:lpwstr>
  </property>
  <property fmtid="{D5CDD505-2E9C-101B-9397-08002B2CF9AE}" pid="36" name="LAWLISTTMP1">
    <vt:lpwstr>70301/40jc.b</vt:lpwstr>
  </property>
  <property fmtid="{D5CDD505-2E9C-101B-9397-08002B2CF9AE}" pid="37" name="LAWLISTTMP2">
    <vt:lpwstr>4216/036a.b;031.6.a</vt:lpwstr>
  </property>
</Properties>
</file>