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C16C94" w:rsidRPr="0000703B" w14:paraId="3CB63D00" w14:textId="77777777">
        <w:trPr>
          <w:trHeight w:hRule="exact" w:val="418"/>
          <w:jc w:val="center"/>
        </w:trPr>
        <w:tc>
          <w:tcPr>
            <w:tcW w:w="8720" w:type="dxa"/>
            <w:gridSpan w:val="3"/>
          </w:tcPr>
          <w:p w14:paraId="7CC8C18D" w14:textId="77777777" w:rsidR="00C16C94" w:rsidRPr="0000703B" w:rsidRDefault="0000703B">
            <w:pPr>
              <w:pStyle w:val="a4"/>
              <w:tabs>
                <w:tab w:val="clear" w:pos="8306"/>
              </w:tabs>
              <w:jc w:val="center"/>
              <w:rPr>
                <w:rFonts w:ascii="Tahoma" w:hAnsi="Tahoma" w:cs="Tahoma"/>
                <w:b/>
                <w:bCs/>
                <w:color w:val="000080"/>
                <w:sz w:val="20"/>
                <w:szCs w:val="20"/>
                <w:rtl/>
              </w:rPr>
            </w:pPr>
            <w:r w:rsidRPr="0000703B">
              <w:rPr>
                <w:rFonts w:ascii="Tahoma" w:hAnsi="Tahoma" w:cs="Tahoma"/>
                <w:b/>
                <w:bCs/>
                <w:color w:val="000080"/>
                <w:sz w:val="20"/>
                <w:szCs w:val="20"/>
                <w:rtl/>
              </w:rPr>
              <w:t>בית משפט השלום ברמלה</w:t>
            </w:r>
          </w:p>
        </w:tc>
      </w:tr>
      <w:tr w:rsidR="00C16C94" w:rsidRPr="0000703B" w14:paraId="236AD4B2" w14:textId="77777777">
        <w:trPr>
          <w:trHeight w:val="337"/>
          <w:jc w:val="center"/>
        </w:trPr>
        <w:tc>
          <w:tcPr>
            <w:tcW w:w="3973" w:type="dxa"/>
          </w:tcPr>
          <w:p w14:paraId="364F0FBA" w14:textId="77777777" w:rsidR="00C16C94" w:rsidRPr="0000703B" w:rsidRDefault="0000703B">
            <w:pPr>
              <w:rPr>
                <w:b/>
                <w:bCs/>
                <w:sz w:val="26"/>
                <w:szCs w:val="26"/>
                <w:rtl/>
              </w:rPr>
            </w:pPr>
            <w:r w:rsidRPr="0000703B">
              <w:rPr>
                <w:b/>
                <w:bCs/>
                <w:sz w:val="26"/>
                <w:szCs w:val="26"/>
                <w:rtl/>
              </w:rPr>
              <w:t>ת"פ</w:t>
            </w:r>
            <w:r w:rsidRPr="0000703B">
              <w:rPr>
                <w:rFonts w:hint="cs"/>
                <w:b/>
                <w:bCs/>
                <w:sz w:val="26"/>
                <w:szCs w:val="26"/>
                <w:rtl/>
              </w:rPr>
              <w:t xml:space="preserve"> </w:t>
            </w:r>
            <w:r w:rsidRPr="0000703B">
              <w:rPr>
                <w:b/>
                <w:bCs/>
                <w:sz w:val="26"/>
                <w:szCs w:val="26"/>
                <w:rtl/>
              </w:rPr>
              <w:t>44205-02-14</w:t>
            </w:r>
            <w:r w:rsidRPr="0000703B">
              <w:rPr>
                <w:rFonts w:hint="cs"/>
                <w:b/>
                <w:bCs/>
                <w:sz w:val="26"/>
                <w:szCs w:val="26"/>
                <w:rtl/>
              </w:rPr>
              <w:t xml:space="preserve"> </w:t>
            </w:r>
            <w:r w:rsidRPr="0000703B">
              <w:rPr>
                <w:b/>
                <w:bCs/>
                <w:sz w:val="26"/>
                <w:szCs w:val="26"/>
                <w:rtl/>
              </w:rPr>
              <w:t>פרקליטות מחוז מרכז נ' מחדון</w:t>
            </w:r>
          </w:p>
          <w:p w14:paraId="121B2D89" w14:textId="77777777" w:rsidR="00C16C94" w:rsidRPr="0000703B" w:rsidRDefault="00C16C94">
            <w:pPr>
              <w:rPr>
                <w:b/>
                <w:bCs/>
                <w:sz w:val="26"/>
                <w:szCs w:val="26"/>
                <w:rtl/>
              </w:rPr>
            </w:pPr>
          </w:p>
        </w:tc>
        <w:tc>
          <w:tcPr>
            <w:tcW w:w="1068" w:type="dxa"/>
          </w:tcPr>
          <w:p w14:paraId="37AEA7E1" w14:textId="77777777" w:rsidR="00C16C94" w:rsidRPr="0000703B" w:rsidRDefault="00C16C94">
            <w:pPr>
              <w:pStyle w:val="a4"/>
              <w:jc w:val="right"/>
              <w:rPr>
                <w:b/>
                <w:bCs/>
                <w:sz w:val="26"/>
                <w:szCs w:val="26"/>
                <w:rtl/>
              </w:rPr>
            </w:pPr>
          </w:p>
        </w:tc>
        <w:tc>
          <w:tcPr>
            <w:tcW w:w="3679" w:type="dxa"/>
          </w:tcPr>
          <w:p w14:paraId="426B24AD" w14:textId="77777777" w:rsidR="00C16C94" w:rsidRPr="0000703B" w:rsidRDefault="0000703B">
            <w:pPr>
              <w:pStyle w:val="a4"/>
              <w:tabs>
                <w:tab w:val="clear" w:pos="4153"/>
              </w:tabs>
              <w:jc w:val="right"/>
              <w:rPr>
                <w:b/>
                <w:bCs/>
                <w:sz w:val="26"/>
                <w:szCs w:val="26"/>
                <w:rtl/>
              </w:rPr>
            </w:pPr>
            <w:r w:rsidRPr="0000703B">
              <w:rPr>
                <w:b/>
                <w:bCs/>
                <w:sz w:val="26"/>
                <w:szCs w:val="26"/>
                <w:rtl/>
              </w:rPr>
              <w:t>26 פברואר 2015</w:t>
            </w:r>
          </w:p>
        </w:tc>
      </w:tr>
    </w:tbl>
    <w:p w14:paraId="546E6DF4" w14:textId="77777777" w:rsidR="00C16C94" w:rsidRPr="0000703B" w:rsidRDefault="00C16C94">
      <w:pPr>
        <w:pStyle w:val="a4"/>
        <w:jc w:val="center"/>
        <w:rPr>
          <w:rFonts w:ascii="Tahoma" w:hAnsi="Tahoma" w:cs="Tahoma"/>
          <w:b/>
          <w:bCs/>
          <w:color w:val="000080"/>
          <w:sz w:val="20"/>
          <w:szCs w:val="20"/>
          <w:rtl/>
        </w:rPr>
      </w:pPr>
    </w:p>
    <w:p w14:paraId="2B7D19CF" w14:textId="77777777" w:rsidR="00C16C94" w:rsidRPr="0000703B" w:rsidRDefault="00C16C94">
      <w:pPr>
        <w:spacing w:line="360" w:lineRule="auto"/>
        <w:jc w:val="both"/>
        <w:rPr>
          <w:rFonts w:ascii="Arial" w:hAnsi="Arial"/>
          <w:rtl/>
        </w:rPr>
      </w:pPr>
    </w:p>
    <w:tbl>
      <w:tblPr>
        <w:bidiVisual/>
        <w:tblW w:w="0" w:type="auto"/>
        <w:jc w:val="center"/>
        <w:tblLook w:val="0000" w:firstRow="0" w:lastRow="0" w:firstColumn="0" w:lastColumn="0" w:noHBand="0" w:noVBand="0"/>
      </w:tblPr>
      <w:tblGrid>
        <w:gridCol w:w="4643"/>
        <w:gridCol w:w="283"/>
        <w:gridCol w:w="3794"/>
      </w:tblGrid>
      <w:tr w:rsidR="00C16C94" w:rsidRPr="0000703B" w14:paraId="59E836F2" w14:textId="77777777">
        <w:trPr>
          <w:trHeight w:val="337"/>
          <w:jc w:val="center"/>
        </w:trPr>
        <w:tc>
          <w:tcPr>
            <w:tcW w:w="4643" w:type="dxa"/>
          </w:tcPr>
          <w:p w14:paraId="7953F0D0" w14:textId="77777777" w:rsidR="00C16C94" w:rsidRPr="0000703B" w:rsidRDefault="00C16C94">
            <w:pPr>
              <w:spacing w:line="360" w:lineRule="auto"/>
              <w:jc w:val="both"/>
              <w:rPr>
                <w:b/>
                <w:bCs/>
                <w:sz w:val="26"/>
                <w:szCs w:val="26"/>
                <w:rtl/>
              </w:rPr>
            </w:pPr>
          </w:p>
        </w:tc>
        <w:tc>
          <w:tcPr>
            <w:tcW w:w="283" w:type="dxa"/>
          </w:tcPr>
          <w:p w14:paraId="244A5ADE" w14:textId="77777777" w:rsidR="00C16C94" w:rsidRPr="0000703B" w:rsidRDefault="00C16C94">
            <w:pPr>
              <w:pStyle w:val="a4"/>
              <w:jc w:val="both"/>
              <w:rPr>
                <w:b/>
                <w:bCs/>
                <w:sz w:val="26"/>
                <w:szCs w:val="26"/>
                <w:rtl/>
              </w:rPr>
            </w:pPr>
          </w:p>
        </w:tc>
        <w:tc>
          <w:tcPr>
            <w:tcW w:w="3794" w:type="dxa"/>
          </w:tcPr>
          <w:p w14:paraId="538CC180" w14:textId="77777777" w:rsidR="00C16C94" w:rsidRPr="0000703B" w:rsidRDefault="0000703B">
            <w:pPr>
              <w:pStyle w:val="a4"/>
              <w:jc w:val="both"/>
              <w:rPr>
                <w:b/>
                <w:bCs/>
                <w:sz w:val="26"/>
                <w:szCs w:val="26"/>
                <w:rtl/>
              </w:rPr>
            </w:pPr>
            <w:r w:rsidRPr="0000703B">
              <w:rPr>
                <w:rFonts w:hint="cs"/>
                <w:rtl/>
              </w:rPr>
              <w:t>44221-02-14</w:t>
            </w:r>
          </w:p>
        </w:tc>
      </w:tr>
      <w:tr w:rsidR="00C16C94" w:rsidRPr="0000703B" w14:paraId="56A48DF3" w14:textId="77777777">
        <w:trPr>
          <w:trHeight w:val="337"/>
          <w:jc w:val="center"/>
        </w:trPr>
        <w:tc>
          <w:tcPr>
            <w:tcW w:w="8720" w:type="dxa"/>
            <w:gridSpan w:val="3"/>
          </w:tcPr>
          <w:p w14:paraId="3C90CDE3" w14:textId="77777777" w:rsidR="00C16C94" w:rsidRPr="0000703B" w:rsidRDefault="0000703B">
            <w:pPr>
              <w:pStyle w:val="a4"/>
              <w:jc w:val="both"/>
              <w:rPr>
                <w:rtl/>
              </w:rPr>
            </w:pPr>
            <w:r w:rsidRPr="0000703B">
              <w:rPr>
                <w:b/>
                <w:bCs/>
                <w:sz w:val="26"/>
                <w:szCs w:val="26"/>
                <w:rtl/>
              </w:rPr>
              <w:t xml:space="preserve">בפני כב' השופט ד"ר </w:t>
            </w:r>
            <w:r w:rsidRPr="0000703B">
              <w:rPr>
                <w:rFonts w:hint="cs"/>
                <w:b/>
                <w:bCs/>
                <w:sz w:val="26"/>
                <w:szCs w:val="26"/>
                <w:rtl/>
              </w:rPr>
              <w:t>עמי קובו, סגן הנשיאה</w:t>
            </w:r>
          </w:p>
          <w:p w14:paraId="1A374D7E" w14:textId="77777777" w:rsidR="00C16C94" w:rsidRPr="0000703B" w:rsidRDefault="00C16C94">
            <w:pPr>
              <w:pStyle w:val="a4"/>
              <w:jc w:val="both"/>
              <w:rPr>
                <w:rtl/>
              </w:rPr>
            </w:pPr>
          </w:p>
        </w:tc>
      </w:tr>
    </w:tbl>
    <w:p w14:paraId="01E67F71" w14:textId="77777777" w:rsidR="00C16C94" w:rsidRPr="0000703B" w:rsidRDefault="00C16C94">
      <w:pPr>
        <w:spacing w:line="360" w:lineRule="auto"/>
        <w:jc w:val="both"/>
        <w:rPr>
          <w:rFonts w:ascii="Arial" w:hAnsi="Arial"/>
          <w:rtl/>
        </w:rPr>
      </w:pPr>
      <w:bookmarkStart w:id="0" w:name="LastJudge"/>
      <w:bookmarkEnd w:id="0"/>
    </w:p>
    <w:p w14:paraId="02B3D591" w14:textId="77777777" w:rsidR="00C16C94" w:rsidRPr="0000703B" w:rsidRDefault="00C16C94">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C16C94" w:rsidRPr="0000703B" w14:paraId="3D83E4EC" w14:textId="77777777">
        <w:tc>
          <w:tcPr>
            <w:tcW w:w="3240" w:type="dxa"/>
            <w:shd w:val="clear" w:color="auto" w:fill="auto"/>
          </w:tcPr>
          <w:p w14:paraId="4814C20B" w14:textId="77777777" w:rsidR="00C16C94" w:rsidRPr="0000703B" w:rsidRDefault="0000703B">
            <w:pPr>
              <w:ind w:left="26"/>
              <w:rPr>
                <w:rFonts w:ascii="Times New Roman" w:eastAsia="Times New Roman" w:hAnsi="Times New Roman"/>
                <w:b/>
                <w:bCs/>
                <w:sz w:val="26"/>
                <w:szCs w:val="26"/>
                <w:rtl/>
              </w:rPr>
            </w:pPr>
            <w:bookmarkStart w:id="1" w:name="FirstAppellant"/>
            <w:r w:rsidRPr="0000703B">
              <w:rPr>
                <w:rFonts w:ascii="Times New Roman" w:eastAsia="Times New Roman" w:hAnsi="Times New Roman" w:hint="cs"/>
                <w:b/>
                <w:bCs/>
                <w:sz w:val="26"/>
                <w:szCs w:val="26"/>
                <w:rtl/>
              </w:rPr>
              <w:t>ה</w:t>
            </w:r>
            <w:r w:rsidRPr="0000703B">
              <w:rPr>
                <w:rFonts w:ascii="Times New Roman" w:eastAsia="Times New Roman" w:hAnsi="Times New Roman" w:hint="cs"/>
                <w:rtl/>
              </w:rPr>
              <w:t>מאשימה</w:t>
            </w:r>
          </w:p>
        </w:tc>
        <w:tc>
          <w:tcPr>
            <w:tcW w:w="5562" w:type="dxa"/>
            <w:shd w:val="clear" w:color="auto" w:fill="auto"/>
          </w:tcPr>
          <w:p w14:paraId="5F64EA78" w14:textId="77777777" w:rsidR="00C16C94" w:rsidRPr="0000703B" w:rsidRDefault="0000703B">
            <w:pPr>
              <w:rPr>
                <w:rFonts w:ascii="Times New Roman" w:eastAsia="Times New Roman" w:hAnsi="Times New Roman"/>
                <w:b/>
                <w:bCs/>
                <w:sz w:val="26"/>
                <w:szCs w:val="26"/>
                <w:rtl/>
              </w:rPr>
            </w:pPr>
            <w:r w:rsidRPr="0000703B">
              <w:rPr>
                <w:rFonts w:ascii="Times New Roman" w:eastAsia="Times New Roman" w:hAnsi="Times New Roman" w:hint="cs"/>
                <w:b/>
                <w:bCs/>
                <w:sz w:val="26"/>
                <w:szCs w:val="26"/>
                <w:rtl/>
              </w:rPr>
              <w:t xml:space="preserve"> </w:t>
            </w:r>
            <w:r w:rsidRPr="0000703B">
              <w:rPr>
                <w:rFonts w:ascii="Times New Roman" w:eastAsia="Times New Roman" w:hAnsi="Times New Roman" w:hint="cs"/>
                <w:rtl/>
              </w:rPr>
              <w:t>פרקליטות מחוז מרכז</w:t>
            </w:r>
          </w:p>
        </w:tc>
      </w:tr>
      <w:bookmarkEnd w:id="1"/>
      <w:tr w:rsidR="00C16C94" w:rsidRPr="0000703B" w14:paraId="1B1C47BE" w14:textId="77777777">
        <w:tc>
          <w:tcPr>
            <w:tcW w:w="8802" w:type="dxa"/>
            <w:gridSpan w:val="2"/>
            <w:shd w:val="clear" w:color="auto" w:fill="auto"/>
          </w:tcPr>
          <w:p w14:paraId="07F1F7B9" w14:textId="77777777" w:rsidR="00C16C94" w:rsidRPr="0000703B" w:rsidRDefault="00C16C94">
            <w:pPr>
              <w:jc w:val="both"/>
              <w:rPr>
                <w:rFonts w:ascii="Arial" w:eastAsia="Times New Roman" w:hAnsi="Arial"/>
                <w:b/>
                <w:bCs/>
                <w:sz w:val="26"/>
                <w:szCs w:val="26"/>
                <w:rtl/>
              </w:rPr>
            </w:pPr>
          </w:p>
          <w:p w14:paraId="68B91A58" w14:textId="77777777" w:rsidR="00C16C94" w:rsidRPr="0000703B" w:rsidRDefault="0000703B">
            <w:pPr>
              <w:jc w:val="center"/>
              <w:rPr>
                <w:rFonts w:ascii="Arial" w:eastAsia="Times New Roman" w:hAnsi="Arial"/>
                <w:b/>
                <w:bCs/>
                <w:sz w:val="26"/>
                <w:szCs w:val="26"/>
                <w:rtl/>
              </w:rPr>
            </w:pPr>
            <w:r w:rsidRPr="0000703B">
              <w:rPr>
                <w:rFonts w:ascii="Arial" w:eastAsia="Times New Roman" w:hAnsi="Arial"/>
                <w:b/>
                <w:bCs/>
                <w:sz w:val="26"/>
                <w:szCs w:val="26"/>
                <w:rtl/>
              </w:rPr>
              <w:t>נגד</w:t>
            </w:r>
          </w:p>
          <w:p w14:paraId="20348D45" w14:textId="77777777" w:rsidR="00C16C94" w:rsidRPr="0000703B" w:rsidRDefault="00C16C94">
            <w:pPr>
              <w:jc w:val="center"/>
              <w:rPr>
                <w:rFonts w:ascii="Arial" w:eastAsia="Times New Roman" w:hAnsi="Arial"/>
                <w:b/>
                <w:bCs/>
                <w:sz w:val="26"/>
                <w:szCs w:val="26"/>
              </w:rPr>
            </w:pPr>
          </w:p>
        </w:tc>
      </w:tr>
      <w:tr w:rsidR="00C16C94" w:rsidRPr="0000703B" w14:paraId="5AC1B0AB" w14:textId="77777777">
        <w:tc>
          <w:tcPr>
            <w:tcW w:w="3240" w:type="dxa"/>
            <w:shd w:val="clear" w:color="auto" w:fill="auto"/>
          </w:tcPr>
          <w:p w14:paraId="26F8F5ED" w14:textId="77777777" w:rsidR="00C16C94" w:rsidRPr="0000703B" w:rsidRDefault="0000703B">
            <w:pPr>
              <w:ind w:left="26"/>
              <w:rPr>
                <w:rFonts w:ascii="Times New Roman" w:eastAsia="Times New Roman" w:hAnsi="Times New Roman"/>
                <w:b/>
                <w:bCs/>
                <w:sz w:val="26"/>
                <w:szCs w:val="26"/>
                <w:rtl/>
              </w:rPr>
            </w:pPr>
            <w:r w:rsidRPr="0000703B">
              <w:rPr>
                <w:rFonts w:ascii="Times New Roman" w:eastAsia="Times New Roman" w:hAnsi="Times New Roman" w:hint="cs"/>
                <w:b/>
                <w:bCs/>
                <w:sz w:val="26"/>
                <w:szCs w:val="26"/>
                <w:rtl/>
              </w:rPr>
              <w:t>ה</w:t>
            </w:r>
            <w:r w:rsidRPr="0000703B">
              <w:rPr>
                <w:rFonts w:ascii="Times New Roman" w:eastAsia="Times New Roman" w:hAnsi="Times New Roman" w:hint="cs"/>
                <w:rtl/>
              </w:rPr>
              <w:t>נאשמת</w:t>
            </w:r>
          </w:p>
        </w:tc>
        <w:tc>
          <w:tcPr>
            <w:tcW w:w="5562" w:type="dxa"/>
            <w:shd w:val="clear" w:color="auto" w:fill="auto"/>
          </w:tcPr>
          <w:p w14:paraId="37FF5DE3" w14:textId="77777777" w:rsidR="00C16C94" w:rsidRPr="0000703B" w:rsidRDefault="0000703B">
            <w:pPr>
              <w:rPr>
                <w:rFonts w:ascii="Times New Roman" w:eastAsia="Times New Roman" w:hAnsi="Times New Roman"/>
                <w:b/>
                <w:bCs/>
                <w:sz w:val="26"/>
                <w:szCs w:val="26"/>
                <w:rtl/>
              </w:rPr>
            </w:pPr>
            <w:r w:rsidRPr="0000703B">
              <w:rPr>
                <w:rFonts w:ascii="Times New Roman" w:eastAsia="Times New Roman" w:hAnsi="Times New Roman" w:hint="cs"/>
                <w:b/>
                <w:bCs/>
                <w:sz w:val="26"/>
                <w:szCs w:val="26"/>
                <w:rtl/>
              </w:rPr>
              <w:t xml:space="preserve"> </w:t>
            </w:r>
            <w:r w:rsidRPr="0000703B">
              <w:rPr>
                <w:rFonts w:ascii="Times New Roman" w:eastAsia="Times New Roman" w:hAnsi="Times New Roman" w:hint="cs"/>
                <w:rtl/>
              </w:rPr>
              <w:t>מירב רובין- מחדון</w:t>
            </w:r>
          </w:p>
        </w:tc>
      </w:tr>
      <w:tr w:rsidR="00C16C94" w:rsidRPr="0000703B" w14:paraId="40077081" w14:textId="77777777">
        <w:trPr>
          <w:trHeight w:val="692"/>
        </w:trPr>
        <w:tc>
          <w:tcPr>
            <w:tcW w:w="8802" w:type="dxa"/>
            <w:gridSpan w:val="2"/>
            <w:shd w:val="clear" w:color="auto" w:fill="auto"/>
          </w:tcPr>
          <w:p w14:paraId="53A37CD7" w14:textId="77777777" w:rsidR="00C16C94" w:rsidRPr="0000703B" w:rsidRDefault="00C16C94">
            <w:pPr>
              <w:jc w:val="center"/>
              <w:rPr>
                <w:rFonts w:ascii="Arial" w:hAnsi="Arial"/>
                <w:b/>
                <w:bCs/>
                <w:sz w:val="26"/>
                <w:szCs w:val="26"/>
                <w:rtl/>
              </w:rPr>
            </w:pPr>
          </w:p>
          <w:p w14:paraId="41F93373" w14:textId="77777777" w:rsidR="00C16C94" w:rsidRPr="0000703B" w:rsidRDefault="00C16C94">
            <w:pPr>
              <w:jc w:val="center"/>
              <w:rPr>
                <w:rFonts w:ascii="Arial" w:eastAsia="Times New Roman" w:hAnsi="Arial" w:cs="Times New Roman"/>
                <w:b/>
                <w:bCs/>
                <w:sz w:val="26"/>
                <w:szCs w:val="26"/>
                <w:rtl/>
              </w:rPr>
            </w:pPr>
          </w:p>
          <w:p w14:paraId="10379979" w14:textId="77777777" w:rsidR="00C16C94" w:rsidRPr="0000703B" w:rsidRDefault="00C16C94">
            <w:pPr>
              <w:jc w:val="center"/>
              <w:rPr>
                <w:rFonts w:ascii="Arial" w:hAnsi="Arial"/>
                <w:b/>
                <w:bCs/>
                <w:sz w:val="26"/>
                <w:szCs w:val="26"/>
              </w:rPr>
            </w:pPr>
          </w:p>
        </w:tc>
      </w:tr>
      <w:tr w:rsidR="00C16C94" w:rsidRPr="0000703B" w14:paraId="5A1B6857" w14:textId="77777777">
        <w:tc>
          <w:tcPr>
            <w:tcW w:w="3240" w:type="dxa"/>
            <w:shd w:val="clear" w:color="auto" w:fill="auto"/>
          </w:tcPr>
          <w:p w14:paraId="7873CB84" w14:textId="77777777" w:rsidR="00C16C94" w:rsidRPr="0000703B" w:rsidRDefault="00C16C94"/>
        </w:tc>
        <w:tc>
          <w:tcPr>
            <w:tcW w:w="5562" w:type="dxa"/>
            <w:shd w:val="clear" w:color="auto" w:fill="auto"/>
          </w:tcPr>
          <w:p w14:paraId="0D53922C" w14:textId="77777777" w:rsidR="00C16C94" w:rsidRPr="0000703B" w:rsidRDefault="00C16C94"/>
        </w:tc>
      </w:tr>
    </w:tbl>
    <w:p w14:paraId="687EC0F2" w14:textId="77777777" w:rsidR="00C16C94" w:rsidRPr="0000703B" w:rsidRDefault="0000703B">
      <w:pPr>
        <w:spacing w:line="360" w:lineRule="auto"/>
        <w:jc w:val="both"/>
        <w:rPr>
          <w:sz w:val="6"/>
          <w:szCs w:val="6"/>
          <w:rtl/>
        </w:rPr>
      </w:pPr>
      <w:r w:rsidRPr="0000703B">
        <w:rPr>
          <w:sz w:val="6"/>
          <w:szCs w:val="6"/>
          <w:rtl/>
        </w:rPr>
        <w:t>&lt;#1#&gt;</w:t>
      </w:r>
    </w:p>
    <w:p w14:paraId="61BD00F8" w14:textId="77777777" w:rsidR="00C16C94" w:rsidRPr="0000703B" w:rsidRDefault="0000703B">
      <w:pPr>
        <w:pStyle w:val="12"/>
        <w:rPr>
          <w:b w:val="0"/>
          <w:bCs w:val="0"/>
          <w:u w:val="none"/>
          <w:rtl/>
        </w:rPr>
      </w:pPr>
      <w:bookmarkStart w:id="2" w:name="FirstLawyer"/>
      <w:r w:rsidRPr="0000703B">
        <w:rPr>
          <w:rFonts w:hint="cs"/>
          <w:b w:val="0"/>
          <w:bCs w:val="0"/>
          <w:u w:val="none"/>
          <w:rtl/>
        </w:rPr>
        <w:t>ב"כ</w:t>
      </w:r>
      <w:bookmarkEnd w:id="2"/>
      <w:r w:rsidRPr="0000703B">
        <w:rPr>
          <w:rFonts w:hint="cs"/>
          <w:b w:val="0"/>
          <w:bCs w:val="0"/>
          <w:u w:val="none"/>
          <w:rtl/>
        </w:rPr>
        <w:t xml:space="preserve"> המאשימה עו"ד יולנדה טולדנו בובליל</w:t>
      </w:r>
    </w:p>
    <w:p w14:paraId="2ADB0A01" w14:textId="77777777" w:rsidR="00C16C94" w:rsidRPr="0000703B" w:rsidRDefault="0000703B">
      <w:pPr>
        <w:pStyle w:val="12"/>
        <w:rPr>
          <w:b w:val="0"/>
          <w:bCs w:val="0"/>
          <w:u w:val="none"/>
          <w:rtl/>
        </w:rPr>
      </w:pPr>
      <w:r w:rsidRPr="0000703B">
        <w:rPr>
          <w:rFonts w:hint="cs"/>
          <w:b w:val="0"/>
          <w:bCs w:val="0"/>
          <w:u w:val="none"/>
          <w:rtl/>
        </w:rPr>
        <w:t>ב"כ הנאשמת עו"ד רויטל סוויד</w:t>
      </w:r>
    </w:p>
    <w:p w14:paraId="301B8F06" w14:textId="77777777" w:rsidR="00C16C94" w:rsidRPr="0000703B" w:rsidRDefault="0000703B">
      <w:pPr>
        <w:pStyle w:val="12"/>
        <w:rPr>
          <w:b w:val="0"/>
          <w:bCs w:val="0"/>
          <w:u w:val="none"/>
          <w:rtl/>
        </w:rPr>
      </w:pPr>
      <w:r w:rsidRPr="0000703B">
        <w:rPr>
          <w:rFonts w:hint="cs"/>
          <w:b w:val="0"/>
          <w:bCs w:val="0"/>
          <w:u w:val="none"/>
          <w:rtl/>
        </w:rPr>
        <w:t>הנאשמת בעצמה</w:t>
      </w:r>
    </w:p>
    <w:p w14:paraId="2C4A97AC" w14:textId="77777777" w:rsidR="00C16C94" w:rsidRPr="0000703B" w:rsidRDefault="00C16C94">
      <w:pPr>
        <w:pStyle w:val="12"/>
        <w:rPr>
          <w:b w:val="0"/>
          <w:bCs w:val="0"/>
          <w:u w:val="none"/>
          <w:rtl/>
        </w:rPr>
      </w:pPr>
    </w:p>
    <w:p w14:paraId="44A967B1" w14:textId="77777777" w:rsidR="00AA19FC" w:rsidRDefault="0000703B">
      <w:pPr>
        <w:spacing w:line="360" w:lineRule="auto"/>
        <w:jc w:val="center"/>
        <w:rPr>
          <w:rFonts w:ascii="Arial" w:hAnsi="Arial"/>
          <w:b/>
          <w:color w:val="FF0000"/>
          <w:sz w:val="28"/>
          <w:rtl/>
        </w:rPr>
      </w:pPr>
      <w:r w:rsidRPr="0000703B">
        <w:rPr>
          <w:rFonts w:ascii="Arial" w:hAnsi="Arial"/>
          <w:b/>
          <w:color w:val="FF0000"/>
          <w:sz w:val="28"/>
          <w:rtl/>
        </w:rPr>
        <w:t>במסמך זה הושמטו פרוטוקולים</w:t>
      </w:r>
      <w:bookmarkStart w:id="3" w:name="LawTable"/>
      <w:bookmarkEnd w:id="3"/>
    </w:p>
    <w:p w14:paraId="31FBD2B5" w14:textId="77777777" w:rsidR="00AA19FC" w:rsidRPr="00AA19FC" w:rsidRDefault="00AA19FC" w:rsidP="00AA19FC">
      <w:pPr>
        <w:spacing w:after="120" w:line="240" w:lineRule="exact"/>
        <w:ind w:left="283" w:hanging="283"/>
        <w:jc w:val="both"/>
        <w:rPr>
          <w:rFonts w:ascii="FrankRuehl" w:hAnsi="FrankRuehl" w:cs="FrankRuehl"/>
          <w:color w:val="FF0000"/>
          <w:rtl/>
        </w:rPr>
      </w:pPr>
    </w:p>
    <w:p w14:paraId="24CF48B1" w14:textId="77777777" w:rsidR="00AA19FC" w:rsidRPr="00AA19FC" w:rsidRDefault="00AA19FC" w:rsidP="00AA19FC">
      <w:pPr>
        <w:spacing w:after="120" w:line="240" w:lineRule="exact"/>
        <w:ind w:left="283" w:hanging="283"/>
        <w:jc w:val="both"/>
        <w:rPr>
          <w:rFonts w:ascii="FrankRuehl" w:hAnsi="FrankRuehl" w:cs="FrankRuehl"/>
          <w:rtl/>
        </w:rPr>
      </w:pPr>
      <w:r w:rsidRPr="00AA19FC">
        <w:rPr>
          <w:rFonts w:ascii="FrankRuehl" w:hAnsi="FrankRuehl" w:cs="FrankRuehl"/>
          <w:rtl/>
        </w:rPr>
        <w:t xml:space="preserve">חקיקה שאוזכרה: </w:t>
      </w:r>
    </w:p>
    <w:p w14:paraId="3F246719" w14:textId="77777777" w:rsidR="00AA19FC" w:rsidRPr="00AA19FC" w:rsidRDefault="00AA19FC" w:rsidP="00AA19FC">
      <w:pPr>
        <w:spacing w:after="120" w:line="240" w:lineRule="exact"/>
        <w:ind w:left="283" w:hanging="283"/>
        <w:jc w:val="both"/>
        <w:rPr>
          <w:rFonts w:ascii="FrankRuehl" w:hAnsi="FrankRuehl" w:cs="FrankRuehl"/>
          <w:color w:val="0000FF"/>
          <w:u w:val="single"/>
          <w:rtl/>
        </w:rPr>
      </w:pPr>
      <w:hyperlink r:id="rId6" w:history="1">
        <w:r w:rsidRPr="00AA19FC">
          <w:rPr>
            <w:rStyle w:val="Hyperlink"/>
            <w:rFonts w:ascii="FrankRuehl" w:hAnsi="FrankRuehl" w:cs="FrankRuehl"/>
            <w:rtl/>
          </w:rPr>
          <w:t>פקודת הסמים המסוכנים [נוסח חדש], תשל"ג-1973</w:t>
        </w:r>
      </w:hyperlink>
      <w:r w:rsidRPr="00AA19FC">
        <w:rPr>
          <w:rFonts w:ascii="FrankRuehl" w:hAnsi="FrankRuehl" w:cs="FrankRuehl"/>
          <w:color w:val="0000FF"/>
          <w:u w:val="single"/>
          <w:rtl/>
        </w:rPr>
        <w:t xml:space="preserve">: סע'  </w:t>
      </w:r>
      <w:hyperlink r:id="rId7" w:history="1">
        <w:r w:rsidRPr="00AA19FC">
          <w:rPr>
            <w:rStyle w:val="Hyperlink"/>
            <w:rFonts w:ascii="FrankRuehl" w:hAnsi="FrankRuehl" w:cs="FrankRuehl"/>
          </w:rPr>
          <w:t>13</w:t>
        </w:r>
      </w:hyperlink>
      <w:r w:rsidRPr="00AA19FC">
        <w:rPr>
          <w:rFonts w:ascii="FrankRuehl" w:hAnsi="FrankRuehl" w:cs="FrankRuehl"/>
          <w:color w:val="0000FF"/>
          <w:u w:val="single"/>
          <w:rtl/>
        </w:rPr>
        <w:t xml:space="preserve">, </w:t>
      </w:r>
      <w:hyperlink r:id="rId8" w:history="1">
        <w:r w:rsidRPr="00AA19FC">
          <w:rPr>
            <w:rStyle w:val="Hyperlink"/>
            <w:rFonts w:ascii="FrankRuehl" w:hAnsi="FrankRuehl" w:cs="FrankRuehl"/>
          </w:rPr>
          <w:t xml:space="preserve">19 </w:t>
        </w:r>
        <w:r w:rsidRPr="00AA19FC">
          <w:rPr>
            <w:rStyle w:val="Hyperlink"/>
            <w:rFonts w:ascii="FrankRuehl" w:hAnsi="FrankRuehl" w:cs="FrankRuehl"/>
            <w:rtl/>
          </w:rPr>
          <w:t>א</w:t>
        </w:r>
        <w:r w:rsidRPr="00AA19FC">
          <w:rPr>
            <w:rStyle w:val="Hyperlink"/>
            <w:rFonts w:ascii="FrankRuehl" w:hAnsi="FrankRuehl" w:cs="FrankRuehl"/>
          </w:rPr>
          <w:t>'</w:t>
        </w:r>
      </w:hyperlink>
    </w:p>
    <w:p w14:paraId="7293F7C8" w14:textId="77777777" w:rsidR="00AA19FC" w:rsidRPr="00AA19FC" w:rsidRDefault="00AA19FC" w:rsidP="00AA19FC">
      <w:pPr>
        <w:spacing w:after="120" w:line="240" w:lineRule="exact"/>
        <w:ind w:left="283" w:hanging="283"/>
        <w:jc w:val="both"/>
        <w:rPr>
          <w:rFonts w:ascii="FrankRuehl" w:hAnsi="FrankRuehl" w:cs="FrankRuehl"/>
          <w:color w:val="0000FF"/>
          <w:u w:val="single"/>
          <w:rtl/>
        </w:rPr>
      </w:pPr>
      <w:hyperlink r:id="rId9" w:history="1">
        <w:r w:rsidRPr="00AA19FC">
          <w:rPr>
            <w:rStyle w:val="Hyperlink"/>
            <w:rFonts w:ascii="FrankRuehl" w:hAnsi="FrankRuehl" w:cs="FrankRuehl"/>
            <w:rtl/>
          </w:rPr>
          <w:t>חוק העונשין, תשל"ז-1977</w:t>
        </w:r>
      </w:hyperlink>
      <w:r w:rsidRPr="00AA19FC">
        <w:rPr>
          <w:rFonts w:ascii="FrankRuehl" w:hAnsi="FrankRuehl" w:cs="FrankRuehl"/>
          <w:color w:val="0000FF"/>
          <w:u w:val="single"/>
          <w:rtl/>
        </w:rPr>
        <w:t xml:space="preserve">: סע'  </w:t>
      </w:r>
      <w:hyperlink r:id="rId10" w:history="1">
        <w:r w:rsidRPr="00AA19FC">
          <w:rPr>
            <w:rStyle w:val="Hyperlink"/>
            <w:rFonts w:ascii="FrankRuehl" w:hAnsi="FrankRuehl" w:cs="FrankRuehl"/>
          </w:rPr>
          <w:t>31</w:t>
        </w:r>
      </w:hyperlink>
    </w:p>
    <w:p w14:paraId="31959B5C" w14:textId="77777777" w:rsidR="00AA19FC" w:rsidRPr="00AA19FC" w:rsidRDefault="00AA19FC" w:rsidP="00AA19FC">
      <w:pPr>
        <w:spacing w:after="120" w:line="240" w:lineRule="exact"/>
        <w:ind w:left="283" w:hanging="283"/>
        <w:jc w:val="both"/>
        <w:rPr>
          <w:rFonts w:ascii="FrankRuehl" w:hAnsi="FrankRuehl" w:cs="FrankRuehl"/>
          <w:rtl/>
        </w:rPr>
      </w:pPr>
    </w:p>
    <w:p w14:paraId="5375DAE2" w14:textId="77777777" w:rsidR="00C16C94" w:rsidRPr="00AA19FC" w:rsidRDefault="00C16C94">
      <w:pPr>
        <w:spacing w:line="360" w:lineRule="auto"/>
        <w:jc w:val="center"/>
        <w:rPr>
          <w:rFonts w:ascii="Arial" w:hAnsi="Arial"/>
          <w:b/>
          <w:bCs/>
          <w:sz w:val="28"/>
          <w:szCs w:val="28"/>
          <w:rtl/>
        </w:rPr>
      </w:pPr>
      <w:bookmarkStart w:id="4" w:name="LawTable_End"/>
      <w:bookmarkEnd w:id="4"/>
    </w:p>
    <w:p w14:paraId="6B5AEE5C" w14:textId="77777777" w:rsidR="0000703B" w:rsidRPr="0000703B" w:rsidRDefault="0000703B" w:rsidP="0000703B">
      <w:pPr>
        <w:spacing w:line="360" w:lineRule="auto"/>
        <w:jc w:val="center"/>
        <w:rPr>
          <w:rFonts w:ascii="Arial" w:hAnsi="Arial"/>
          <w:b/>
          <w:bCs/>
          <w:sz w:val="28"/>
          <w:szCs w:val="28"/>
          <w:u w:val="single"/>
          <w:rtl/>
        </w:rPr>
      </w:pPr>
      <w:bookmarkStart w:id="5" w:name="PsakDin"/>
      <w:r w:rsidRPr="0000703B">
        <w:rPr>
          <w:rFonts w:ascii="Arial" w:hAnsi="Arial"/>
          <w:b/>
          <w:bCs/>
          <w:sz w:val="28"/>
          <w:szCs w:val="28"/>
          <w:u w:val="single"/>
          <w:rtl/>
        </w:rPr>
        <w:t>גזר דין</w:t>
      </w:r>
    </w:p>
    <w:bookmarkEnd w:id="5"/>
    <w:p w14:paraId="1A772C98" w14:textId="77777777" w:rsidR="00C16C94" w:rsidRDefault="0000703B">
      <w:pPr>
        <w:spacing w:line="360" w:lineRule="auto"/>
        <w:jc w:val="both"/>
        <w:rPr>
          <w:rtl/>
        </w:rPr>
      </w:pPr>
      <w:r>
        <w:rPr>
          <w:rFonts w:hint="cs"/>
          <w:rtl/>
        </w:rPr>
        <w:t xml:space="preserve">הנאשמת הורשעה על פי הודאתה בעובדות כתב האישום המתוקן בעבירה של סיוע ליבוא סם מסוכן לפי </w:t>
      </w:r>
      <w:hyperlink r:id="rId11" w:history="1">
        <w:r w:rsidR="00AA19FC" w:rsidRPr="00AA19FC">
          <w:rPr>
            <w:rStyle w:val="Hyperlink"/>
            <w:rFonts w:hint="eastAsia"/>
            <w:rtl/>
          </w:rPr>
          <w:t>סעיף</w:t>
        </w:r>
        <w:r w:rsidR="00AA19FC" w:rsidRPr="00AA19FC">
          <w:rPr>
            <w:rStyle w:val="Hyperlink"/>
            <w:rtl/>
          </w:rPr>
          <w:t xml:space="preserve"> 13</w:t>
        </w:r>
      </w:hyperlink>
      <w:r>
        <w:rPr>
          <w:rFonts w:hint="cs"/>
          <w:rtl/>
        </w:rPr>
        <w:t xml:space="preserve"> ביחד עם </w:t>
      </w:r>
      <w:hyperlink r:id="rId12" w:history="1">
        <w:r w:rsidR="00AA19FC" w:rsidRPr="00AA19FC">
          <w:rPr>
            <w:rStyle w:val="Hyperlink"/>
            <w:rFonts w:hint="eastAsia"/>
            <w:rtl/>
          </w:rPr>
          <w:t>סעיף</w:t>
        </w:r>
        <w:r w:rsidR="00AA19FC" w:rsidRPr="00AA19FC">
          <w:rPr>
            <w:rStyle w:val="Hyperlink"/>
            <w:rtl/>
          </w:rPr>
          <w:t xml:space="preserve"> 19 א'</w:t>
        </w:r>
      </w:hyperlink>
      <w:r>
        <w:rPr>
          <w:rFonts w:hint="cs"/>
          <w:rtl/>
        </w:rPr>
        <w:t xml:space="preserve"> ל</w:t>
      </w:r>
      <w:hyperlink r:id="rId13" w:history="1">
        <w:r w:rsidRPr="0000703B">
          <w:rPr>
            <w:color w:val="0000FF"/>
            <w:u w:val="single"/>
            <w:rtl/>
          </w:rPr>
          <w:t>פקודת הסמים המסוכנים</w:t>
        </w:r>
      </w:hyperlink>
      <w:r>
        <w:rPr>
          <w:rFonts w:hint="cs"/>
          <w:rtl/>
        </w:rPr>
        <w:t xml:space="preserve"> [נוסח חדש] תשל"ג </w:t>
      </w:r>
      <w:r>
        <w:rPr>
          <w:rtl/>
        </w:rPr>
        <w:t>–</w:t>
      </w:r>
      <w:r>
        <w:rPr>
          <w:rFonts w:hint="cs"/>
          <w:rtl/>
        </w:rPr>
        <w:t xml:space="preserve"> 1973 ביחד עם </w:t>
      </w:r>
      <w:hyperlink r:id="rId14" w:history="1">
        <w:r w:rsidR="00AA19FC" w:rsidRPr="00AA19FC">
          <w:rPr>
            <w:rStyle w:val="Hyperlink"/>
            <w:rFonts w:hint="eastAsia"/>
            <w:rtl/>
          </w:rPr>
          <w:t>סעיף</w:t>
        </w:r>
        <w:r w:rsidR="00AA19FC" w:rsidRPr="00AA19FC">
          <w:rPr>
            <w:rStyle w:val="Hyperlink"/>
            <w:rtl/>
          </w:rPr>
          <w:t xml:space="preserve"> 31</w:t>
        </w:r>
      </w:hyperlink>
      <w:r>
        <w:rPr>
          <w:rFonts w:hint="cs"/>
          <w:rtl/>
        </w:rPr>
        <w:t xml:space="preserve"> ל</w:t>
      </w:r>
      <w:hyperlink r:id="rId15" w:history="1">
        <w:r w:rsidRPr="0000703B">
          <w:rPr>
            <w:color w:val="0000FF"/>
            <w:u w:val="single"/>
            <w:rtl/>
          </w:rPr>
          <w:t>חוק העונשין</w:t>
        </w:r>
      </w:hyperlink>
      <w:r>
        <w:rPr>
          <w:rFonts w:hint="cs"/>
          <w:rtl/>
        </w:rPr>
        <w:t xml:space="preserve">, תשל"ז </w:t>
      </w:r>
      <w:r>
        <w:rPr>
          <w:rtl/>
        </w:rPr>
        <w:t>–</w:t>
      </w:r>
      <w:r>
        <w:rPr>
          <w:rFonts w:hint="cs"/>
          <w:rtl/>
        </w:rPr>
        <w:t xml:space="preserve"> 1977.</w:t>
      </w:r>
    </w:p>
    <w:p w14:paraId="68F68FB8" w14:textId="77777777" w:rsidR="00C16C94" w:rsidRDefault="0000703B">
      <w:pPr>
        <w:spacing w:line="360" w:lineRule="auto"/>
        <w:jc w:val="both"/>
        <w:rPr>
          <w:rFonts w:ascii="Calibri" w:hAnsi="Calibri"/>
          <w:rtl/>
        </w:rPr>
      </w:pPr>
      <w:r>
        <w:rPr>
          <w:rFonts w:hint="cs"/>
          <w:rtl/>
        </w:rPr>
        <w:t xml:space="preserve">על פי המתואר בעובדות כתב האישום שלושה אחרים תכננו לייבא סם מסוג </w:t>
      </w:r>
      <w:r>
        <w:rPr>
          <w:rFonts w:ascii="Calibri" w:hAnsi="Calibri"/>
        </w:rPr>
        <w:t xml:space="preserve">MDMA </w:t>
      </w:r>
      <w:r>
        <w:rPr>
          <w:rFonts w:ascii="Calibri" w:hAnsi="Calibri" w:hint="cs"/>
          <w:rtl/>
        </w:rPr>
        <w:t xml:space="preserve"> וזאת ביום 18.12.13. לפי בקשתם מסרה להם הנאשמת סך של 40,000 </w:t>
      </w:r>
      <w:r>
        <w:rPr>
          <w:rFonts w:ascii="Calibri" w:hAnsi="Calibri" w:hint="eastAsia"/>
          <w:rtl/>
        </w:rPr>
        <w:t>₪</w:t>
      </w:r>
      <w:r>
        <w:rPr>
          <w:rFonts w:ascii="Calibri" w:hAnsi="Calibri" w:hint="cs"/>
          <w:rtl/>
        </w:rPr>
        <w:t xml:space="preserve"> לצורך מימון הנסיעה. בהמשך בעת שהותם של האחרים בהולנד שלחה הנאשמת לשלושה סכום כסף נוסף לצורך מימון חזרתם לארץ. לאחר מכן אחד מהשלושה חזר לישראל כשהוא נושא את הסם בגופו.</w:t>
      </w:r>
    </w:p>
    <w:p w14:paraId="55F47124" w14:textId="77777777" w:rsidR="00C16C94" w:rsidRDefault="0000703B">
      <w:pPr>
        <w:spacing w:line="360" w:lineRule="auto"/>
        <w:jc w:val="both"/>
        <w:rPr>
          <w:rFonts w:ascii="Calibri" w:hAnsi="Calibri"/>
          <w:rtl/>
        </w:rPr>
      </w:pPr>
      <w:r>
        <w:rPr>
          <w:rFonts w:ascii="Calibri" w:hAnsi="Calibri" w:hint="cs"/>
          <w:rtl/>
        </w:rPr>
        <w:t>הצדדים הגיעו להסדר טיעון אשר במסגרתו עתרו במשותף להשית על הנאשמת 5 חודשי עבודות שירות לצד מאסר על תנאי וחילוט סכום כסף שנתפס.</w:t>
      </w:r>
    </w:p>
    <w:p w14:paraId="1DA5501E" w14:textId="77777777" w:rsidR="00C16C94" w:rsidRDefault="0000703B">
      <w:pPr>
        <w:spacing w:line="360" w:lineRule="auto"/>
        <w:jc w:val="both"/>
        <w:rPr>
          <w:rFonts w:ascii="Calibri" w:hAnsi="Calibri"/>
          <w:rtl/>
        </w:rPr>
      </w:pPr>
      <w:r>
        <w:rPr>
          <w:rFonts w:ascii="Calibri" w:hAnsi="Calibri" w:hint="cs"/>
          <w:rtl/>
        </w:rPr>
        <w:t xml:space="preserve">לאחר ששמעתי טיעוני הצדדים סבורני כי הסדר הטיעון סביר ומאוזן וראוי לכבדו. </w:t>
      </w:r>
    </w:p>
    <w:p w14:paraId="69FF40CC" w14:textId="77777777" w:rsidR="00C16C94" w:rsidRDefault="0000703B">
      <w:pPr>
        <w:spacing w:line="360" w:lineRule="auto"/>
        <w:jc w:val="both"/>
        <w:rPr>
          <w:rFonts w:ascii="Calibri" w:hAnsi="Calibri"/>
          <w:rtl/>
        </w:rPr>
      </w:pPr>
      <w:r>
        <w:rPr>
          <w:rFonts w:ascii="Calibri" w:hAnsi="Calibri" w:hint="cs"/>
          <w:rtl/>
        </w:rPr>
        <w:lastRenderedPageBreak/>
        <w:t xml:space="preserve">בהקשר זה יש לציין כי מדובר בנאשמת ילידת 1969 נעדרת כל עבר פלילי קודם אשר זו לה הסתבכותה הראשונה עם החוק. חלקה של הנאשמת במעשים הינו נמוך יחסית לאחרים. </w:t>
      </w:r>
    </w:p>
    <w:p w14:paraId="0065D144" w14:textId="77777777" w:rsidR="00C16C94" w:rsidRDefault="0000703B">
      <w:pPr>
        <w:spacing w:line="360" w:lineRule="auto"/>
        <w:jc w:val="both"/>
        <w:rPr>
          <w:rFonts w:ascii="Calibri" w:hAnsi="Calibri"/>
          <w:rtl/>
        </w:rPr>
      </w:pPr>
      <w:r>
        <w:rPr>
          <w:rFonts w:ascii="Calibri" w:hAnsi="Calibri" w:hint="cs"/>
          <w:rtl/>
        </w:rPr>
        <w:t>אשר על כן אני גוזר על הנאשמת את העונשים הבאים:</w:t>
      </w:r>
    </w:p>
    <w:p w14:paraId="5D19DA8B" w14:textId="77777777" w:rsidR="00C16C94" w:rsidRDefault="0000703B">
      <w:pPr>
        <w:spacing w:line="360" w:lineRule="auto"/>
        <w:ind w:left="720" w:hanging="720"/>
        <w:jc w:val="both"/>
        <w:rPr>
          <w:rFonts w:ascii="Calibri" w:hAnsi="Calibri"/>
          <w:rtl/>
        </w:rPr>
      </w:pPr>
      <w:r>
        <w:rPr>
          <w:rFonts w:ascii="Calibri" w:hAnsi="Calibri" w:hint="cs"/>
          <w:rtl/>
        </w:rPr>
        <w:t>1.</w:t>
      </w:r>
      <w:r>
        <w:rPr>
          <w:rFonts w:ascii="Calibri" w:hAnsi="Calibri" w:hint="cs"/>
          <w:rtl/>
        </w:rPr>
        <w:tab/>
        <w:t xml:space="preserve">5 חודשי מאסר בפועל אשר ירוצו בדרך של עבודות שירות. תחילת עבודות השירות ביום 14.4.15. </w:t>
      </w:r>
    </w:p>
    <w:p w14:paraId="43E1F338" w14:textId="77777777" w:rsidR="00C16C94" w:rsidRDefault="0000703B">
      <w:pPr>
        <w:spacing w:line="360" w:lineRule="auto"/>
        <w:ind w:left="720" w:hanging="720"/>
        <w:jc w:val="both"/>
        <w:rPr>
          <w:rFonts w:ascii="Calibri" w:hAnsi="Calibri"/>
          <w:rtl/>
        </w:rPr>
      </w:pPr>
      <w:r>
        <w:rPr>
          <w:rFonts w:ascii="Calibri" w:hAnsi="Calibri" w:hint="cs"/>
          <w:rtl/>
        </w:rPr>
        <w:t>2.</w:t>
      </w:r>
      <w:r>
        <w:rPr>
          <w:rFonts w:ascii="Calibri" w:hAnsi="Calibri" w:hint="cs"/>
          <w:rtl/>
        </w:rPr>
        <w:tab/>
        <w:t xml:space="preserve">3 חודשי מאסר על תנאי לבל תעבור הנאשמת במשך שנתיים מהיום כל עבירה לפי פקודת הסמים. </w:t>
      </w:r>
    </w:p>
    <w:p w14:paraId="4E3C82B6" w14:textId="77777777" w:rsidR="00C16C94" w:rsidRDefault="0000703B">
      <w:pPr>
        <w:spacing w:line="360" w:lineRule="auto"/>
        <w:ind w:left="720" w:hanging="720"/>
        <w:jc w:val="both"/>
        <w:rPr>
          <w:rFonts w:ascii="Calibri" w:hAnsi="Calibri"/>
          <w:rtl/>
        </w:rPr>
      </w:pPr>
      <w:r>
        <w:rPr>
          <w:rFonts w:ascii="Calibri" w:hAnsi="Calibri" w:hint="cs"/>
          <w:rtl/>
        </w:rPr>
        <w:t>3.</w:t>
      </w:r>
      <w:r>
        <w:rPr>
          <w:rFonts w:ascii="Calibri" w:hAnsi="Calibri" w:hint="cs"/>
          <w:rtl/>
        </w:rPr>
        <w:tab/>
        <w:t xml:space="preserve">סכום כסף בסך 27,520 </w:t>
      </w:r>
      <w:r>
        <w:rPr>
          <w:rFonts w:ascii="Calibri" w:hAnsi="Calibri" w:hint="eastAsia"/>
          <w:rtl/>
        </w:rPr>
        <w:t>₪</w:t>
      </w:r>
      <w:r>
        <w:rPr>
          <w:rFonts w:ascii="Calibri" w:hAnsi="Calibri" w:hint="cs"/>
          <w:rtl/>
        </w:rPr>
        <w:t xml:space="preserve"> יחולט לטובת הקרן לפי פקודת הסמים. </w:t>
      </w:r>
    </w:p>
    <w:p w14:paraId="026F5205" w14:textId="77777777" w:rsidR="00C16C94" w:rsidRDefault="0000703B">
      <w:pPr>
        <w:spacing w:line="360" w:lineRule="auto"/>
        <w:ind w:left="720" w:hanging="720"/>
        <w:jc w:val="both"/>
        <w:rPr>
          <w:rFonts w:ascii="Calibri" w:hAnsi="Calibri"/>
          <w:rtl/>
        </w:rPr>
      </w:pPr>
      <w:r>
        <w:rPr>
          <w:rFonts w:ascii="Calibri" w:hAnsi="Calibri" w:hint="eastAsia"/>
          <w:rtl/>
        </w:rPr>
        <w:t xml:space="preserve">זכות ערעור לבימ"ש מחוזי תוך 45 יום מהיום. </w:t>
      </w:r>
      <w:r>
        <w:rPr>
          <w:rFonts w:ascii="Calibri" w:hAnsi="Calibri" w:hint="cs"/>
          <w:rtl/>
        </w:rPr>
        <w:t xml:space="preserve"> </w:t>
      </w:r>
    </w:p>
    <w:p w14:paraId="03AA2B63" w14:textId="77777777" w:rsidR="00C16C94" w:rsidRDefault="0000703B">
      <w:pPr>
        <w:spacing w:line="360" w:lineRule="auto"/>
        <w:ind w:left="720" w:hanging="720"/>
        <w:jc w:val="both"/>
        <w:rPr>
          <w:rFonts w:ascii="Calibri" w:hAnsi="Calibri"/>
          <w:sz w:val="6"/>
          <w:szCs w:val="6"/>
          <w:rtl/>
        </w:rPr>
      </w:pPr>
      <w:r>
        <w:rPr>
          <w:rFonts w:ascii="Calibri" w:hAnsi="Calibri"/>
          <w:sz w:val="6"/>
          <w:szCs w:val="6"/>
          <w:rtl/>
        </w:rPr>
        <w:t>&lt;#3#&gt;</w:t>
      </w:r>
    </w:p>
    <w:p w14:paraId="324F36D5" w14:textId="77777777" w:rsidR="00C16C94" w:rsidRDefault="00C16C94">
      <w:pPr>
        <w:jc w:val="right"/>
        <w:rPr>
          <w:rtl/>
        </w:rPr>
      </w:pPr>
    </w:p>
    <w:p w14:paraId="23F746E3" w14:textId="77777777" w:rsidR="00C16C94" w:rsidRDefault="0000703B">
      <w:pPr>
        <w:spacing w:line="360" w:lineRule="auto"/>
        <w:rPr>
          <w:rtl/>
        </w:rPr>
      </w:pPr>
      <w:r>
        <w:rPr>
          <w:rFonts w:hint="cs"/>
          <w:b/>
          <w:bCs/>
          <w:rtl/>
        </w:rPr>
        <w:t xml:space="preserve">ניתנה והודעה היום </w:t>
      </w:r>
      <w:r>
        <w:rPr>
          <w:rFonts w:hint="cs"/>
          <w:rtl/>
        </w:rPr>
        <w:t>ז' אדר תשע"ה</w:t>
      </w:r>
      <w:r>
        <w:rPr>
          <w:rFonts w:hint="cs"/>
          <w:b/>
          <w:bCs/>
          <w:rtl/>
        </w:rPr>
        <w:t xml:space="preserve">, </w:t>
      </w:r>
      <w:r>
        <w:rPr>
          <w:rFonts w:hint="cs"/>
          <w:rtl/>
        </w:rPr>
        <w:t>26/02/2015</w:t>
      </w:r>
      <w:r>
        <w:rPr>
          <w:rFonts w:hint="cs"/>
          <w:b/>
          <w:bCs/>
          <w:rtl/>
        </w:rPr>
        <w:t xml:space="preserve"> במעמד הנוכחים.</w:t>
      </w:r>
    </w:p>
    <w:p w14:paraId="606741ED" w14:textId="77777777" w:rsidR="00C16C94" w:rsidRDefault="00C16C94">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16C94" w14:paraId="6F4DD541" w14:textId="77777777">
        <w:trPr>
          <w:trHeight w:val="316"/>
          <w:jc w:val="right"/>
        </w:trPr>
        <w:tc>
          <w:tcPr>
            <w:tcW w:w="3936" w:type="dxa"/>
            <w:shd w:val="clear" w:color="auto" w:fill="auto"/>
          </w:tcPr>
          <w:p w14:paraId="7458FFEB" w14:textId="77777777" w:rsidR="00C16C94" w:rsidRDefault="00C16C94">
            <w:pPr>
              <w:jc w:val="center"/>
              <w:rPr>
                <w:rFonts w:ascii="Times New Roman" w:eastAsia="Times New Roman" w:hAnsi="Times New Roman" w:cs="Times New Roman"/>
              </w:rPr>
            </w:pPr>
          </w:p>
          <w:p w14:paraId="155EC23A" w14:textId="77777777" w:rsidR="00C16C94" w:rsidRDefault="00C16C94">
            <w:pPr>
              <w:jc w:val="center"/>
              <w:rPr>
                <w:rFonts w:ascii="Times New Roman" w:eastAsia="Times New Roman" w:hAnsi="Times New Roman" w:cs="Times New Roman"/>
                <w:rtl/>
              </w:rPr>
            </w:pPr>
          </w:p>
        </w:tc>
      </w:tr>
      <w:tr w:rsidR="00C16C94" w14:paraId="139E5A82" w14:textId="77777777">
        <w:trPr>
          <w:trHeight w:val="361"/>
          <w:jc w:val="right"/>
        </w:trPr>
        <w:tc>
          <w:tcPr>
            <w:tcW w:w="3936" w:type="dxa"/>
            <w:shd w:val="clear" w:color="auto" w:fill="auto"/>
          </w:tcPr>
          <w:p w14:paraId="17FB0292" w14:textId="77777777" w:rsidR="00C16C94" w:rsidRDefault="0000703B">
            <w:pPr>
              <w:jc w:val="center"/>
              <w:rPr>
                <w:rFonts w:ascii="Times New Roman" w:eastAsia="Times New Roman" w:hAnsi="Times New Roman"/>
                <w:b/>
                <w:bCs/>
                <w:rtl/>
              </w:rPr>
            </w:pPr>
            <w:r>
              <w:rPr>
                <w:rFonts w:ascii="Times New Roman" w:eastAsia="Times New Roman" w:hAnsi="Times New Roman" w:hint="cs"/>
                <w:b/>
                <w:bCs/>
                <w:rtl/>
              </w:rPr>
              <w:t>עמי קובו</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3D02DAEF" w14:textId="77777777" w:rsidR="00C16C94" w:rsidRDefault="00C16C94">
      <w:pPr>
        <w:spacing w:line="360" w:lineRule="auto"/>
        <w:ind w:left="720" w:hanging="720"/>
        <w:jc w:val="both"/>
        <w:rPr>
          <w:rFonts w:ascii="Calibri" w:hAnsi="Calibri"/>
          <w:rtl/>
        </w:rPr>
      </w:pPr>
    </w:p>
    <w:p w14:paraId="3195D506" w14:textId="77777777" w:rsidR="00C16C94" w:rsidRDefault="00C16C94">
      <w:pPr>
        <w:spacing w:line="360" w:lineRule="auto"/>
        <w:ind w:left="720" w:hanging="720"/>
        <w:jc w:val="both"/>
        <w:rPr>
          <w:rFonts w:ascii="Calibri" w:hAnsi="Calibri"/>
          <w:rtl/>
        </w:rPr>
      </w:pPr>
    </w:p>
    <w:p w14:paraId="5C1A049F" w14:textId="77777777" w:rsidR="00C16C94" w:rsidRDefault="0000703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D301F80" w14:textId="77777777" w:rsidR="00C16C94" w:rsidRDefault="0000703B">
      <w:pPr>
        <w:spacing w:line="360" w:lineRule="auto"/>
        <w:ind w:left="720" w:hanging="720"/>
        <w:jc w:val="both"/>
        <w:rPr>
          <w:rFonts w:ascii="Calibri" w:hAnsi="Calibri"/>
          <w:rtl/>
        </w:rPr>
      </w:pPr>
      <w:r>
        <w:rPr>
          <w:rFonts w:ascii="Calibri" w:hAnsi="Calibri" w:hint="cs"/>
          <w:rtl/>
        </w:rPr>
        <w:t xml:space="preserve">למען הסר ספק תנאי השחרור מבוטלים. </w:t>
      </w:r>
    </w:p>
    <w:p w14:paraId="6A35663C" w14:textId="77777777" w:rsidR="00C16C94" w:rsidRDefault="0000703B">
      <w:pPr>
        <w:spacing w:line="360" w:lineRule="auto"/>
        <w:jc w:val="both"/>
        <w:rPr>
          <w:rFonts w:ascii="Calibri" w:hAnsi="Calibri"/>
          <w:rtl/>
        </w:rPr>
      </w:pPr>
      <w:r>
        <w:rPr>
          <w:rFonts w:ascii="Calibri" w:hAnsi="Calibri" w:hint="cs"/>
          <w:rtl/>
        </w:rPr>
        <w:t xml:space="preserve">ביום 14.4.15, לאחר התייצבותה לתחילת ריצוי עבודות שירות תושב ההפקדה מתיק המ"ת למפקיד שפרטיו מפורטים לעיל וזאת בכפוף לכל הוראה חוקית. במועד האמור יבוטל צו עיכוב היציאה מהארץ ודרכונה של הנאשמת יושב לה. </w:t>
      </w:r>
    </w:p>
    <w:p w14:paraId="1DA00C00" w14:textId="77777777" w:rsidR="00C16C94" w:rsidRDefault="0000703B">
      <w:pPr>
        <w:spacing w:line="360" w:lineRule="auto"/>
        <w:jc w:val="both"/>
        <w:rPr>
          <w:rFonts w:ascii="Calibri" w:hAnsi="Calibri"/>
          <w:rtl/>
        </w:rPr>
      </w:pPr>
      <w:r>
        <w:rPr>
          <w:rFonts w:ascii="Calibri" w:hAnsi="Calibri" w:hint="cs"/>
          <w:rtl/>
        </w:rPr>
        <w:t xml:space="preserve">מוצגים נוספים שנתפסו בידי הנאשמת יושבו לה. </w:t>
      </w:r>
    </w:p>
    <w:p w14:paraId="1FF92DAD" w14:textId="77777777" w:rsidR="00C16C94" w:rsidRDefault="0000703B">
      <w:pPr>
        <w:jc w:val="center"/>
        <w:rPr>
          <w:rtl/>
        </w:rPr>
      </w:pPr>
      <w:r>
        <w:rPr>
          <w:b/>
          <w:bCs/>
          <w:rtl/>
        </w:rPr>
        <w:t xml:space="preserve">ניתנה והודעה היום ז' אדר תשע"ה, 26/02/2015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16C94" w14:paraId="34D21AB3" w14:textId="77777777">
        <w:trPr>
          <w:trHeight w:val="316"/>
          <w:jc w:val="right"/>
        </w:trPr>
        <w:tc>
          <w:tcPr>
            <w:tcW w:w="3936" w:type="dxa"/>
            <w:shd w:val="clear" w:color="auto" w:fill="auto"/>
          </w:tcPr>
          <w:p w14:paraId="3559F8E0" w14:textId="77777777" w:rsidR="00C16C94" w:rsidRDefault="00C16C94">
            <w:pPr>
              <w:jc w:val="center"/>
              <w:rPr>
                <w:rFonts w:ascii="Times New Roman" w:eastAsia="Times New Roman" w:hAnsi="Times New Roman" w:cs="Times New Roman"/>
              </w:rPr>
            </w:pPr>
          </w:p>
          <w:p w14:paraId="57AD7799" w14:textId="77777777" w:rsidR="00C16C94" w:rsidRDefault="00C16C94">
            <w:pPr>
              <w:jc w:val="center"/>
              <w:rPr>
                <w:rFonts w:ascii="Times New Roman" w:eastAsia="Times New Roman" w:hAnsi="Times New Roman" w:cs="Times New Roman"/>
                <w:rtl/>
              </w:rPr>
            </w:pPr>
          </w:p>
        </w:tc>
      </w:tr>
      <w:tr w:rsidR="00C16C94" w14:paraId="5634343F" w14:textId="77777777">
        <w:trPr>
          <w:trHeight w:val="361"/>
          <w:jc w:val="right"/>
        </w:trPr>
        <w:tc>
          <w:tcPr>
            <w:tcW w:w="3936" w:type="dxa"/>
            <w:shd w:val="clear" w:color="auto" w:fill="auto"/>
          </w:tcPr>
          <w:p w14:paraId="7B571100" w14:textId="77777777" w:rsidR="00C16C94" w:rsidRDefault="0000703B">
            <w:pPr>
              <w:jc w:val="center"/>
              <w:rPr>
                <w:rFonts w:ascii="Times New Roman" w:eastAsia="Times New Roman" w:hAnsi="Times New Roman"/>
                <w:b/>
                <w:bCs/>
                <w:rtl/>
              </w:rPr>
            </w:pPr>
            <w:r>
              <w:rPr>
                <w:rFonts w:ascii="Times New Roman" w:eastAsia="Times New Roman" w:hAnsi="Times New Roman" w:hint="cs"/>
                <w:b/>
                <w:bCs/>
                <w:rtl/>
              </w:rPr>
              <w:t>עמי קובו</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BC5297B" w14:textId="77777777" w:rsidR="00C16C94" w:rsidRDefault="00C16C94">
      <w:pPr>
        <w:jc w:val="right"/>
        <w:rPr>
          <w:rtl/>
        </w:rPr>
      </w:pPr>
    </w:p>
    <w:p w14:paraId="45D5304C" w14:textId="77777777" w:rsidR="00C16C94" w:rsidRPr="0000703B" w:rsidRDefault="0000703B">
      <w:pPr>
        <w:jc w:val="both"/>
        <w:rPr>
          <w:color w:val="FFFFFF"/>
          <w:sz w:val="2"/>
          <w:szCs w:val="2"/>
          <w:rtl/>
        </w:rPr>
      </w:pPr>
      <w:r w:rsidRPr="0000703B">
        <w:rPr>
          <w:color w:val="FFFFFF"/>
          <w:sz w:val="2"/>
          <w:szCs w:val="2"/>
          <w:rtl/>
        </w:rPr>
        <w:t>5129371</w:t>
      </w:r>
    </w:p>
    <w:p w14:paraId="1EAA9A92" w14:textId="77777777" w:rsidR="00C16C94" w:rsidRPr="0000703B" w:rsidRDefault="0000703B">
      <w:pPr>
        <w:spacing w:line="360" w:lineRule="auto"/>
        <w:jc w:val="center"/>
        <w:rPr>
          <w:color w:val="FFFFFF"/>
          <w:sz w:val="2"/>
          <w:szCs w:val="2"/>
          <w:rtl/>
        </w:rPr>
      </w:pPr>
      <w:r w:rsidRPr="0000703B">
        <w:rPr>
          <w:color w:val="FFFFFF"/>
          <w:sz w:val="2"/>
          <w:szCs w:val="2"/>
          <w:rtl/>
        </w:rPr>
        <w:t>54678313</w:t>
      </w:r>
    </w:p>
    <w:p w14:paraId="11F8870B" w14:textId="77777777" w:rsidR="00C16C94" w:rsidRDefault="0000703B">
      <w:pPr>
        <w:spacing w:line="360" w:lineRule="auto"/>
        <w:jc w:val="both"/>
        <w:rPr>
          <w:rtl/>
        </w:rPr>
      </w:pPr>
      <w:r>
        <w:rPr>
          <w:rtl/>
        </w:rPr>
        <w:t xml:space="preserve"> </w:t>
      </w:r>
    </w:p>
    <w:p w14:paraId="066166B9" w14:textId="77777777" w:rsidR="00C16C94" w:rsidRDefault="00C16C94">
      <w:pPr>
        <w:jc w:val="right"/>
        <w:rPr>
          <w:rFonts w:ascii="Calibri" w:hAnsi="Calibri"/>
          <w:rtl/>
        </w:rPr>
      </w:pPr>
    </w:p>
    <w:p w14:paraId="61AE83BF" w14:textId="77777777" w:rsidR="00C16C94" w:rsidRDefault="0000703B">
      <w:r>
        <w:rPr>
          <w:rtl/>
        </w:rPr>
        <w:t>הוקלד</w:t>
      </w:r>
      <w:r>
        <w:t xml:space="preserve"> </w:t>
      </w:r>
      <w:r>
        <w:rPr>
          <w:rtl/>
        </w:rPr>
        <w:t>על</w:t>
      </w:r>
      <w:r>
        <w:t xml:space="preserve"> </w:t>
      </w:r>
      <w:r>
        <w:rPr>
          <w:rtl/>
        </w:rPr>
        <w:t>ידי</w:t>
      </w:r>
      <w:r>
        <w:t xml:space="preserve"> </w:t>
      </w:r>
      <w:r>
        <w:rPr>
          <w:rtl/>
        </w:rPr>
        <w:t>חנה</w:t>
      </w:r>
      <w:r>
        <w:t xml:space="preserve"> </w:t>
      </w:r>
      <w:r>
        <w:rPr>
          <w:rtl/>
        </w:rPr>
        <w:t>בבו</w:t>
      </w:r>
    </w:p>
    <w:p w14:paraId="7F012D98" w14:textId="77777777" w:rsidR="0000703B" w:rsidRPr="0000703B" w:rsidRDefault="0000703B" w:rsidP="0000703B">
      <w:pPr>
        <w:keepNext/>
        <w:rPr>
          <w:color w:val="000000"/>
          <w:sz w:val="22"/>
          <w:szCs w:val="22"/>
          <w:rtl/>
        </w:rPr>
      </w:pPr>
    </w:p>
    <w:p w14:paraId="6B3F200B" w14:textId="77777777" w:rsidR="0000703B" w:rsidRPr="0000703B" w:rsidRDefault="0000703B" w:rsidP="0000703B">
      <w:pPr>
        <w:keepNext/>
        <w:rPr>
          <w:color w:val="000000"/>
          <w:sz w:val="22"/>
          <w:szCs w:val="22"/>
          <w:rtl/>
        </w:rPr>
      </w:pPr>
      <w:r w:rsidRPr="0000703B">
        <w:rPr>
          <w:color w:val="000000"/>
          <w:sz w:val="22"/>
          <w:szCs w:val="22"/>
          <w:rtl/>
        </w:rPr>
        <w:t>ד"ר עמי קובו 54678313</w:t>
      </w:r>
    </w:p>
    <w:p w14:paraId="6FBD41B3" w14:textId="77777777" w:rsidR="0000703B" w:rsidRDefault="0000703B" w:rsidP="0000703B">
      <w:r w:rsidRPr="0000703B">
        <w:rPr>
          <w:color w:val="000000"/>
          <w:rtl/>
        </w:rPr>
        <w:t>נוסח מסמך זה כפוף לשינויי ניסוח ועריכה</w:t>
      </w:r>
    </w:p>
    <w:p w14:paraId="4A8E6C09" w14:textId="77777777" w:rsidR="0000703B" w:rsidRDefault="0000703B" w:rsidP="0000703B">
      <w:pPr>
        <w:rPr>
          <w:rtl/>
        </w:rPr>
      </w:pPr>
    </w:p>
    <w:p w14:paraId="54D3606C" w14:textId="77777777" w:rsidR="0000703B" w:rsidRDefault="0000703B" w:rsidP="0000703B">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4C26F031" w14:textId="77777777" w:rsidR="00C16C94" w:rsidRPr="0000703B" w:rsidRDefault="00C16C94" w:rsidP="0000703B">
      <w:pPr>
        <w:jc w:val="center"/>
        <w:rPr>
          <w:color w:val="0000FF"/>
          <w:u w:val="single"/>
        </w:rPr>
      </w:pPr>
    </w:p>
    <w:sectPr w:rsidR="00C16C94" w:rsidRPr="0000703B" w:rsidSect="0000703B">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74985" w14:textId="77777777" w:rsidR="002371EC" w:rsidRDefault="002371EC">
      <w:r>
        <w:separator/>
      </w:r>
    </w:p>
  </w:endnote>
  <w:endnote w:type="continuationSeparator" w:id="0">
    <w:p w14:paraId="0CD84894" w14:textId="77777777" w:rsidR="002371EC" w:rsidRDefault="0023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0DD5F" w14:textId="77777777" w:rsidR="002371EC" w:rsidRDefault="002371EC" w:rsidP="000070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12D931A6" w14:textId="77777777" w:rsidR="002371EC" w:rsidRPr="0000703B" w:rsidRDefault="002371EC" w:rsidP="0000703B">
    <w:pPr>
      <w:pStyle w:val="a5"/>
      <w:pBdr>
        <w:top w:val="single" w:sz="4" w:space="1" w:color="auto"/>
        <w:between w:val="single" w:sz="4" w:space="0" w:color="auto"/>
      </w:pBdr>
      <w:spacing w:after="60"/>
      <w:jc w:val="center"/>
      <w:rPr>
        <w:rFonts w:ascii="FrankRuehl" w:hAnsi="FrankRuehl" w:cs="FrankRuehl"/>
        <w:color w:val="000000"/>
      </w:rPr>
    </w:pPr>
    <w:r w:rsidRPr="000070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38B3C" w14:textId="77777777" w:rsidR="002371EC" w:rsidRDefault="002371EC" w:rsidP="000070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41B4">
      <w:rPr>
        <w:rFonts w:ascii="FrankRuehl" w:hAnsi="FrankRuehl" w:cs="FrankRuehl"/>
        <w:noProof/>
        <w:rtl/>
      </w:rPr>
      <w:t>1</w:t>
    </w:r>
    <w:r>
      <w:rPr>
        <w:rFonts w:ascii="FrankRuehl" w:hAnsi="FrankRuehl" w:cs="FrankRuehl"/>
        <w:rtl/>
      </w:rPr>
      <w:fldChar w:fldCharType="end"/>
    </w:r>
  </w:p>
  <w:p w14:paraId="7A414CAB" w14:textId="77777777" w:rsidR="002371EC" w:rsidRPr="0000703B" w:rsidRDefault="002371EC" w:rsidP="0000703B">
    <w:pPr>
      <w:pStyle w:val="a5"/>
      <w:pBdr>
        <w:top w:val="single" w:sz="4" w:space="1" w:color="auto"/>
        <w:between w:val="single" w:sz="4" w:space="0" w:color="auto"/>
      </w:pBdr>
      <w:spacing w:after="60"/>
      <w:jc w:val="center"/>
      <w:rPr>
        <w:rFonts w:ascii="FrankRuehl" w:hAnsi="FrankRuehl" w:cs="FrankRuehl"/>
        <w:color w:val="000000"/>
      </w:rPr>
    </w:pPr>
    <w:r w:rsidRPr="0000703B">
      <w:rPr>
        <w:rFonts w:ascii="FrankRuehl" w:hAnsi="FrankRuehl" w:cs="FrankRuehl"/>
        <w:color w:val="000000"/>
      </w:rPr>
      <w:pict w14:anchorId="1AD97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2DF69" w14:textId="77777777" w:rsidR="002371EC" w:rsidRDefault="002371EC">
      <w:r>
        <w:separator/>
      </w:r>
    </w:p>
  </w:footnote>
  <w:footnote w:type="continuationSeparator" w:id="0">
    <w:p w14:paraId="5D6F2843" w14:textId="77777777" w:rsidR="002371EC" w:rsidRDefault="00237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87A07" w14:textId="77777777" w:rsidR="002371EC" w:rsidRPr="0000703B" w:rsidRDefault="002371EC" w:rsidP="0000703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44205-02-14</w:t>
    </w:r>
    <w:r>
      <w:rPr>
        <w:color w:val="000000"/>
        <w:sz w:val="22"/>
        <w:szCs w:val="22"/>
        <w:rtl/>
      </w:rPr>
      <w:tab/>
      <w:t xml:space="preserve"> פרקליטות מחוז מרכז נ' מירב רובין- מחדון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CB2E2" w14:textId="77777777" w:rsidR="002371EC" w:rsidRPr="0000703B" w:rsidRDefault="002371EC" w:rsidP="0000703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44205-02-14</w:t>
    </w:r>
    <w:r>
      <w:rPr>
        <w:color w:val="000000"/>
        <w:sz w:val="22"/>
        <w:szCs w:val="22"/>
        <w:rtl/>
      </w:rPr>
      <w:tab/>
      <w:t xml:space="preserve"> פרקליטות מחוז מרכז נ' מירב רובין- מחדון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6C94"/>
    <w:rsid w:val="0000703B"/>
    <w:rsid w:val="00052B8A"/>
    <w:rsid w:val="002371EC"/>
    <w:rsid w:val="00311629"/>
    <w:rsid w:val="00401A8C"/>
    <w:rsid w:val="00415EF4"/>
    <w:rsid w:val="00AA19FC"/>
    <w:rsid w:val="00C16C94"/>
    <w:rsid w:val="00C64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6E6B8E"/>
  <w15:chartTrackingRefBased/>
  <w15:docId w15:val="{5BD9401F-7724-4797-AEAD-A4F0AE43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6C9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16C94"/>
  </w:style>
  <w:style w:type="paragraph" w:styleId="a4">
    <w:name w:val="header"/>
    <w:basedOn w:val="a"/>
    <w:rsid w:val="00C16C94"/>
    <w:pPr>
      <w:tabs>
        <w:tab w:val="center" w:pos="4153"/>
        <w:tab w:val="right" w:pos="8306"/>
      </w:tabs>
    </w:pPr>
  </w:style>
  <w:style w:type="paragraph" w:styleId="a5">
    <w:name w:val="footer"/>
    <w:basedOn w:val="a"/>
    <w:rsid w:val="00C16C94"/>
    <w:pPr>
      <w:tabs>
        <w:tab w:val="center" w:pos="4153"/>
        <w:tab w:val="right" w:pos="8306"/>
      </w:tabs>
    </w:pPr>
  </w:style>
  <w:style w:type="character" w:styleId="a6">
    <w:name w:val="page number"/>
    <w:basedOn w:val="a0"/>
    <w:rsid w:val="00C16C94"/>
  </w:style>
  <w:style w:type="paragraph" w:customStyle="1" w:styleId="12">
    <w:name w:val="רגיל + ‏12 נק'"/>
    <w:aliases w:val="מיושר לשני הצדדים,מרווח בין שורות:  שורה וחצי"/>
    <w:basedOn w:val="a"/>
    <w:rsid w:val="00C16C94"/>
    <w:rPr>
      <w:rFonts w:ascii="Times New Roman" w:eastAsia="Times New Roman" w:hAnsi="Times New Roman"/>
      <w:b/>
      <w:bCs/>
      <w:u w:val="single"/>
    </w:rPr>
  </w:style>
  <w:style w:type="character" w:styleId="Hyperlink">
    <w:name w:val="Hyperlink"/>
    <w:basedOn w:val="a0"/>
    <w:rsid w:val="00007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law/70301/31"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1"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2830</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44205</vt:lpwstr>
  </property>
  <property fmtid="{D5CDD505-2E9C-101B-9397-08002B2CF9AE}" pid="6" name="NEWPARTB">
    <vt:lpwstr>02</vt:lpwstr>
  </property>
  <property fmtid="{D5CDD505-2E9C-101B-9397-08002B2CF9AE}" pid="7" name="NEWPARTC">
    <vt:lpwstr>14</vt:lpwstr>
  </property>
  <property fmtid="{D5CDD505-2E9C-101B-9397-08002B2CF9AE}" pid="8" name="APPELLANT">
    <vt:lpwstr>פרקליטות מחוז מרכז</vt:lpwstr>
  </property>
  <property fmtid="{D5CDD505-2E9C-101B-9397-08002B2CF9AE}" pid="9" name="APPELLEE">
    <vt:lpwstr>מירב רובין- מחדון</vt:lpwstr>
  </property>
  <property fmtid="{D5CDD505-2E9C-101B-9397-08002B2CF9AE}" pid="10" name="LAWYER">
    <vt:lpwstr>יולנדה טולדנו בובליל;רויטל סוויד</vt:lpwstr>
  </property>
  <property fmtid="{D5CDD505-2E9C-101B-9397-08002B2CF9AE}" pid="11" name="JUDGE">
    <vt:lpwstr>עמי קובו</vt:lpwstr>
  </property>
  <property fmtid="{D5CDD505-2E9C-101B-9397-08002B2CF9AE}" pid="12" name="CITY">
    <vt:lpwstr>רמ'</vt:lpwstr>
  </property>
  <property fmtid="{D5CDD505-2E9C-101B-9397-08002B2CF9AE}" pid="13" name="DATE">
    <vt:lpwstr>20150226</vt:lpwstr>
  </property>
  <property fmtid="{D5CDD505-2E9C-101B-9397-08002B2CF9AE}" pid="14" name="TYPE_N_DATE">
    <vt:lpwstr>38020150226</vt:lpwstr>
  </property>
  <property fmtid="{D5CDD505-2E9C-101B-9397-08002B2CF9AE}" pid="15" name="CASESLISTTMP1">
    <vt:lpwstr>12848416</vt:lpwstr>
  </property>
  <property fmtid="{D5CDD505-2E9C-101B-9397-08002B2CF9AE}" pid="16" name="WORDNUMPAGES">
    <vt:lpwstr>2</vt:lpwstr>
  </property>
  <property fmtid="{D5CDD505-2E9C-101B-9397-08002B2CF9AE}" pid="17" name="TYPE_ABS_DATE">
    <vt:lpwstr>380020150226</vt:lpwstr>
  </property>
  <property fmtid="{D5CDD505-2E9C-101B-9397-08002B2CF9AE}" pid="18" name="LAWLISTTMP1">
    <vt:lpwstr>4216/013;019a</vt:lpwstr>
  </property>
  <property fmtid="{D5CDD505-2E9C-101B-9397-08002B2CF9AE}" pid="19" name="LAWLISTTMP2">
    <vt:lpwstr>70301/031</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