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9"/>
        <w:gridCol w:w="3672"/>
      </w:tblGrid>
      <w:tr w:rsidR="00BE24C4" w:rsidRPr="00560FA3" w14:paraId="350B0880" w14:textId="77777777">
        <w:trPr>
          <w:trHeight w:hRule="exact" w:val="418"/>
          <w:jc w:val="center"/>
        </w:trPr>
        <w:tc>
          <w:tcPr>
            <w:tcW w:w="8721" w:type="dxa"/>
            <w:gridSpan w:val="2"/>
          </w:tcPr>
          <w:p w14:paraId="4BFC9C75" w14:textId="77777777" w:rsidR="00BE24C4" w:rsidRPr="00560FA3" w:rsidRDefault="00560FA3">
            <w:pPr>
              <w:pStyle w:val="a3"/>
              <w:jc w:val="center"/>
              <w:rPr>
                <w:rFonts w:ascii="Tahoma" w:hAnsi="Tahoma" w:cs="Tahoma"/>
                <w:color w:val="000080"/>
                <w:rtl/>
              </w:rPr>
            </w:pPr>
            <w:bookmarkStart w:id="0" w:name="LastJudge"/>
            <w:r w:rsidRPr="00560FA3">
              <w:rPr>
                <w:rFonts w:ascii="Tahoma" w:hAnsi="Tahoma" w:cs="Tahoma"/>
                <w:b/>
                <w:bCs/>
                <w:color w:val="000080"/>
                <w:rtl/>
              </w:rPr>
              <w:t>בית משפט השלום בירושלים</w:t>
            </w:r>
          </w:p>
        </w:tc>
      </w:tr>
      <w:tr w:rsidR="00BE24C4" w:rsidRPr="00560FA3" w14:paraId="233DD204" w14:textId="77777777">
        <w:trPr>
          <w:trHeight w:val="337"/>
          <w:jc w:val="center"/>
        </w:trPr>
        <w:tc>
          <w:tcPr>
            <w:tcW w:w="5049" w:type="dxa"/>
          </w:tcPr>
          <w:p w14:paraId="0351E1BB" w14:textId="77777777" w:rsidR="00BE24C4" w:rsidRPr="00560FA3" w:rsidRDefault="00560FA3">
            <w:pPr>
              <w:rPr>
                <w:rFonts w:cs="FrankRuehl"/>
                <w:sz w:val="28"/>
                <w:szCs w:val="28"/>
                <w:rtl/>
              </w:rPr>
            </w:pPr>
            <w:r w:rsidRPr="00560FA3">
              <w:rPr>
                <w:rFonts w:cs="FrankRuehl"/>
                <w:sz w:val="28"/>
                <w:szCs w:val="28"/>
                <w:rtl/>
              </w:rPr>
              <w:t>ת"פ</w:t>
            </w:r>
            <w:r w:rsidRPr="00560FA3">
              <w:rPr>
                <w:rFonts w:cs="FrankRuehl" w:hint="cs"/>
                <w:sz w:val="28"/>
                <w:szCs w:val="28"/>
                <w:rtl/>
              </w:rPr>
              <w:t xml:space="preserve"> </w:t>
            </w:r>
            <w:r w:rsidRPr="00560FA3">
              <w:rPr>
                <w:rFonts w:cs="FrankRuehl"/>
                <w:sz w:val="28"/>
                <w:szCs w:val="28"/>
                <w:rtl/>
              </w:rPr>
              <w:t>47156-02-14</w:t>
            </w:r>
            <w:r w:rsidRPr="00560FA3">
              <w:rPr>
                <w:rFonts w:cs="FrankRuehl" w:hint="cs"/>
                <w:sz w:val="28"/>
                <w:szCs w:val="28"/>
                <w:rtl/>
              </w:rPr>
              <w:t xml:space="preserve"> </w:t>
            </w:r>
            <w:r w:rsidRPr="00560FA3">
              <w:rPr>
                <w:rFonts w:cs="FrankRuehl"/>
                <w:sz w:val="28"/>
                <w:szCs w:val="28"/>
                <w:rtl/>
              </w:rPr>
              <w:t>מדינת ישראל נ' נחום(עציר)</w:t>
            </w:r>
          </w:p>
          <w:p w14:paraId="774D847E" w14:textId="77777777" w:rsidR="00BE24C4" w:rsidRPr="00560FA3" w:rsidRDefault="00BE24C4">
            <w:pPr>
              <w:pStyle w:val="a3"/>
              <w:rPr>
                <w:rtl/>
              </w:rPr>
            </w:pPr>
          </w:p>
          <w:p w14:paraId="73E0D381" w14:textId="77777777" w:rsidR="00BE24C4" w:rsidRPr="00560FA3" w:rsidRDefault="00BE24C4">
            <w:pPr>
              <w:pStyle w:val="a3"/>
              <w:rPr>
                <w:rFonts w:cs="FrankRuehl"/>
                <w:sz w:val="28"/>
                <w:szCs w:val="28"/>
                <w:rtl/>
              </w:rPr>
            </w:pPr>
          </w:p>
        </w:tc>
        <w:tc>
          <w:tcPr>
            <w:tcW w:w="3672" w:type="dxa"/>
          </w:tcPr>
          <w:p w14:paraId="131EE4D7" w14:textId="77777777" w:rsidR="00BE24C4" w:rsidRPr="00560FA3" w:rsidRDefault="00560FA3">
            <w:pPr>
              <w:pStyle w:val="a3"/>
              <w:jc w:val="right"/>
              <w:rPr>
                <w:rFonts w:cs="FrankRuehl"/>
                <w:sz w:val="28"/>
                <w:szCs w:val="28"/>
                <w:rtl/>
              </w:rPr>
            </w:pPr>
            <w:r w:rsidRPr="00560FA3">
              <w:rPr>
                <w:rFonts w:cs="FrankRuehl"/>
                <w:sz w:val="28"/>
                <w:szCs w:val="28"/>
                <w:rtl/>
              </w:rPr>
              <w:t>07 ספטמבר 2014</w:t>
            </w:r>
          </w:p>
        </w:tc>
      </w:tr>
    </w:tbl>
    <w:p w14:paraId="15AEA8FD" w14:textId="77777777" w:rsidR="00BE24C4" w:rsidRPr="00560FA3" w:rsidRDefault="00560FA3">
      <w:pPr>
        <w:pStyle w:val="a3"/>
        <w:rPr>
          <w:rtl/>
        </w:rPr>
      </w:pPr>
      <w:r w:rsidRPr="00560FA3">
        <w:rPr>
          <w:rFonts w:hint="cs"/>
          <w:rtl/>
        </w:rPr>
        <w:t xml:space="preserve"> </w:t>
      </w:r>
    </w:p>
    <w:p w14:paraId="6895BAF7" w14:textId="77777777" w:rsidR="00BE24C4" w:rsidRPr="00560FA3" w:rsidRDefault="00560FA3">
      <w:pPr>
        <w:pStyle w:val="a3"/>
      </w:pPr>
      <w:r w:rsidRPr="00560FA3">
        <w:rPr>
          <w:rFonts w:cs="Times New Roman" w:hint="cs"/>
          <w:b/>
          <w:bCs/>
          <w:sz w:val="26"/>
          <w:szCs w:val="28"/>
          <w:rtl/>
        </w:rPr>
        <w:t xml:space="preserve"> </w:t>
      </w:r>
    </w:p>
    <w:p w14:paraId="53327364" w14:textId="77777777" w:rsidR="00BE24C4" w:rsidRPr="00560FA3" w:rsidRDefault="00BE24C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E24C4" w:rsidRPr="00560FA3" w14:paraId="409AAB45" w14:textId="77777777">
        <w:trPr>
          <w:trHeight w:val="295"/>
          <w:jc w:val="center"/>
        </w:trPr>
        <w:tc>
          <w:tcPr>
            <w:tcW w:w="923" w:type="dxa"/>
            <w:tcBorders>
              <w:top w:val="nil"/>
              <w:left w:val="nil"/>
              <w:bottom w:val="nil"/>
              <w:right w:val="nil"/>
            </w:tcBorders>
          </w:tcPr>
          <w:p w14:paraId="51819F1D" w14:textId="77777777" w:rsidR="00BE24C4" w:rsidRPr="00560FA3" w:rsidRDefault="00560FA3">
            <w:pPr>
              <w:jc w:val="both"/>
              <w:rPr>
                <w:rFonts w:ascii="Arial" w:hAnsi="Arial" w:cs="FrankRuehl"/>
                <w:sz w:val="28"/>
                <w:szCs w:val="28"/>
              </w:rPr>
            </w:pPr>
            <w:r w:rsidRPr="00560FA3">
              <w:rPr>
                <w:rFonts w:ascii="Arial" w:hAnsi="Arial" w:cs="FrankRuehl" w:hint="cs"/>
                <w:sz w:val="28"/>
                <w:szCs w:val="28"/>
                <w:rtl/>
              </w:rPr>
              <w:t>ב</w:t>
            </w:r>
            <w:r w:rsidRPr="00560FA3">
              <w:rPr>
                <w:rFonts w:ascii="Arial" w:hAnsi="Arial" w:cs="FrankRuehl"/>
                <w:sz w:val="28"/>
                <w:szCs w:val="28"/>
                <w:rtl/>
              </w:rPr>
              <w:t xml:space="preserve">פני </w:t>
            </w:r>
          </w:p>
        </w:tc>
        <w:tc>
          <w:tcPr>
            <w:tcW w:w="7897" w:type="dxa"/>
            <w:gridSpan w:val="2"/>
            <w:tcBorders>
              <w:top w:val="nil"/>
              <w:left w:val="nil"/>
              <w:bottom w:val="nil"/>
              <w:right w:val="nil"/>
            </w:tcBorders>
          </w:tcPr>
          <w:p w14:paraId="74C208ED" w14:textId="77777777" w:rsidR="00BE24C4" w:rsidRPr="00560FA3" w:rsidRDefault="00560FA3">
            <w:pPr>
              <w:rPr>
                <w:rFonts w:ascii="Arial" w:hAnsi="Arial"/>
                <w:b/>
                <w:bCs/>
                <w:rtl/>
              </w:rPr>
            </w:pPr>
            <w:r w:rsidRPr="00560FA3">
              <w:rPr>
                <w:rFonts w:ascii="Arial" w:hAnsi="Arial" w:hint="cs"/>
                <w:b/>
                <w:bCs/>
                <w:rtl/>
              </w:rPr>
              <w:t>כב' ה</w:t>
            </w:r>
            <w:r w:rsidRPr="00560FA3">
              <w:rPr>
                <w:rFonts w:hint="cs"/>
                <w:rtl/>
              </w:rPr>
              <w:t>שופטת</w:t>
            </w:r>
            <w:r w:rsidRPr="00560FA3">
              <w:rPr>
                <w:rFonts w:ascii="Arial" w:hAnsi="Arial" w:hint="cs"/>
                <w:b/>
                <w:bCs/>
                <w:rtl/>
              </w:rPr>
              <w:t xml:space="preserve">  </w:t>
            </w:r>
            <w:r w:rsidRPr="00560FA3">
              <w:rPr>
                <w:rFonts w:hint="cs"/>
                <w:rtl/>
              </w:rPr>
              <w:t>דנה כהן-לקח</w:t>
            </w:r>
          </w:p>
          <w:p w14:paraId="52DD73CB" w14:textId="77777777" w:rsidR="00BE24C4" w:rsidRPr="00560FA3" w:rsidRDefault="00BE24C4">
            <w:pPr>
              <w:rPr>
                <w:rtl/>
              </w:rPr>
            </w:pPr>
          </w:p>
          <w:p w14:paraId="14B00ACA" w14:textId="77777777" w:rsidR="00BE24C4" w:rsidRPr="00560FA3" w:rsidRDefault="00BE24C4">
            <w:pPr>
              <w:jc w:val="both"/>
              <w:rPr>
                <w:rFonts w:ascii="Arial" w:hAnsi="Arial" w:cs="FrankRuehl"/>
                <w:sz w:val="28"/>
                <w:szCs w:val="28"/>
              </w:rPr>
            </w:pPr>
          </w:p>
        </w:tc>
      </w:tr>
      <w:tr w:rsidR="00BE24C4" w:rsidRPr="00560FA3" w14:paraId="3CD1B39D" w14:textId="77777777">
        <w:trPr>
          <w:trHeight w:val="355"/>
          <w:jc w:val="center"/>
        </w:trPr>
        <w:tc>
          <w:tcPr>
            <w:tcW w:w="923" w:type="dxa"/>
            <w:tcBorders>
              <w:top w:val="nil"/>
              <w:left w:val="nil"/>
              <w:bottom w:val="nil"/>
              <w:right w:val="nil"/>
            </w:tcBorders>
          </w:tcPr>
          <w:p w14:paraId="08A93F46" w14:textId="77777777" w:rsidR="00BE24C4" w:rsidRPr="00560FA3" w:rsidRDefault="00BE24C4">
            <w:pPr>
              <w:jc w:val="both"/>
              <w:rPr>
                <w:rFonts w:ascii="Arial" w:hAnsi="Arial" w:cs="FrankRuehl"/>
                <w:sz w:val="28"/>
                <w:szCs w:val="28"/>
                <w:rtl/>
              </w:rPr>
            </w:pPr>
            <w:bookmarkStart w:id="1" w:name="FirstAppellant"/>
          </w:p>
          <w:p w14:paraId="5FED25A9" w14:textId="77777777" w:rsidR="00BE24C4" w:rsidRPr="00560FA3" w:rsidRDefault="00560FA3">
            <w:pPr>
              <w:jc w:val="both"/>
              <w:rPr>
                <w:rFonts w:ascii="Arial" w:hAnsi="Arial" w:cs="FrankRuehl"/>
                <w:sz w:val="28"/>
                <w:szCs w:val="28"/>
              </w:rPr>
            </w:pPr>
            <w:r w:rsidRPr="00560FA3">
              <w:rPr>
                <w:rFonts w:ascii="Arial" w:hAnsi="Arial" w:cs="FrankRuehl" w:hint="cs"/>
                <w:sz w:val="28"/>
                <w:szCs w:val="28"/>
                <w:rtl/>
              </w:rPr>
              <w:t>בעניין:</w:t>
            </w:r>
          </w:p>
        </w:tc>
        <w:tc>
          <w:tcPr>
            <w:tcW w:w="4126" w:type="dxa"/>
            <w:tcBorders>
              <w:top w:val="nil"/>
              <w:left w:val="nil"/>
              <w:bottom w:val="nil"/>
              <w:right w:val="nil"/>
            </w:tcBorders>
          </w:tcPr>
          <w:p w14:paraId="27CABE4E" w14:textId="77777777" w:rsidR="00BE24C4" w:rsidRPr="00560FA3" w:rsidRDefault="00BE24C4">
            <w:pPr>
              <w:jc w:val="both"/>
              <w:rPr>
                <w:rFonts w:ascii="Arial" w:hAnsi="Arial" w:cs="FrankRuehl"/>
                <w:sz w:val="28"/>
                <w:szCs w:val="28"/>
                <w:rtl/>
              </w:rPr>
            </w:pPr>
          </w:p>
          <w:p w14:paraId="27F37E1E" w14:textId="77777777" w:rsidR="00BE24C4" w:rsidRPr="00560FA3" w:rsidRDefault="00560FA3">
            <w:r w:rsidRPr="00560FA3">
              <w:rPr>
                <w:rFonts w:hint="cs"/>
                <w:rtl/>
              </w:rPr>
              <w:t>מדינת ישראל</w:t>
            </w:r>
          </w:p>
          <w:p w14:paraId="433A1F30" w14:textId="77777777" w:rsidR="00BE24C4" w:rsidRPr="00560FA3" w:rsidRDefault="00BE24C4">
            <w:pPr>
              <w:jc w:val="both"/>
              <w:rPr>
                <w:rFonts w:ascii="Arial" w:hAnsi="Arial" w:cs="FrankRuehl"/>
                <w:sz w:val="28"/>
                <w:szCs w:val="28"/>
              </w:rPr>
            </w:pPr>
          </w:p>
        </w:tc>
        <w:tc>
          <w:tcPr>
            <w:tcW w:w="3771" w:type="dxa"/>
            <w:tcBorders>
              <w:top w:val="nil"/>
              <w:left w:val="nil"/>
              <w:bottom w:val="nil"/>
              <w:right w:val="nil"/>
            </w:tcBorders>
          </w:tcPr>
          <w:p w14:paraId="27CB498F" w14:textId="77777777" w:rsidR="00BE24C4" w:rsidRPr="00560FA3" w:rsidRDefault="00BE24C4">
            <w:pPr>
              <w:jc w:val="both"/>
              <w:rPr>
                <w:rFonts w:ascii="Arial" w:hAnsi="Arial" w:cs="FrankRuehl"/>
                <w:sz w:val="28"/>
                <w:szCs w:val="28"/>
              </w:rPr>
            </w:pPr>
          </w:p>
        </w:tc>
      </w:tr>
      <w:bookmarkEnd w:id="1"/>
      <w:tr w:rsidR="00BE24C4" w:rsidRPr="00560FA3" w14:paraId="6C2719A1" w14:textId="77777777">
        <w:trPr>
          <w:trHeight w:val="355"/>
          <w:jc w:val="center"/>
        </w:trPr>
        <w:tc>
          <w:tcPr>
            <w:tcW w:w="923" w:type="dxa"/>
            <w:tcBorders>
              <w:top w:val="nil"/>
              <w:left w:val="nil"/>
              <w:bottom w:val="nil"/>
              <w:right w:val="nil"/>
            </w:tcBorders>
          </w:tcPr>
          <w:p w14:paraId="53E45E82" w14:textId="77777777" w:rsidR="00BE24C4" w:rsidRPr="00560FA3" w:rsidRDefault="00BE24C4">
            <w:pPr>
              <w:jc w:val="both"/>
              <w:rPr>
                <w:rFonts w:ascii="Arial" w:hAnsi="Arial" w:cs="FrankRuehl"/>
                <w:sz w:val="28"/>
                <w:szCs w:val="28"/>
                <w:rtl/>
              </w:rPr>
            </w:pPr>
          </w:p>
        </w:tc>
        <w:tc>
          <w:tcPr>
            <w:tcW w:w="4126" w:type="dxa"/>
            <w:tcBorders>
              <w:top w:val="nil"/>
              <w:left w:val="nil"/>
              <w:bottom w:val="nil"/>
              <w:right w:val="nil"/>
            </w:tcBorders>
          </w:tcPr>
          <w:p w14:paraId="7B0A7E36" w14:textId="77777777" w:rsidR="00BE24C4" w:rsidRPr="00560FA3" w:rsidRDefault="00BE24C4">
            <w:pPr>
              <w:jc w:val="both"/>
              <w:rPr>
                <w:rtl/>
              </w:rPr>
            </w:pPr>
          </w:p>
        </w:tc>
        <w:tc>
          <w:tcPr>
            <w:tcW w:w="3771" w:type="dxa"/>
            <w:tcBorders>
              <w:top w:val="nil"/>
              <w:left w:val="nil"/>
              <w:bottom w:val="nil"/>
              <w:right w:val="nil"/>
            </w:tcBorders>
          </w:tcPr>
          <w:p w14:paraId="5C98C76A" w14:textId="77777777" w:rsidR="00BE24C4" w:rsidRPr="00560FA3" w:rsidRDefault="00560FA3">
            <w:pPr>
              <w:jc w:val="right"/>
              <w:rPr>
                <w:rFonts w:ascii="Arial" w:hAnsi="Arial" w:cs="FrankRuehl"/>
                <w:sz w:val="28"/>
                <w:szCs w:val="28"/>
                <w:rtl/>
              </w:rPr>
            </w:pPr>
            <w:r w:rsidRPr="00560FA3">
              <w:rPr>
                <w:rFonts w:ascii="Arial" w:hAnsi="Arial" w:cs="FrankRuehl" w:hint="cs"/>
                <w:sz w:val="28"/>
                <w:szCs w:val="28"/>
                <w:rtl/>
              </w:rPr>
              <w:t>ה</w:t>
            </w:r>
            <w:r w:rsidRPr="00560FA3">
              <w:rPr>
                <w:rFonts w:hint="cs"/>
                <w:rtl/>
              </w:rPr>
              <w:t>מאשימה</w:t>
            </w:r>
          </w:p>
        </w:tc>
      </w:tr>
      <w:tr w:rsidR="00BE24C4" w:rsidRPr="00560FA3" w14:paraId="467183FA" w14:textId="77777777">
        <w:trPr>
          <w:trHeight w:val="355"/>
          <w:jc w:val="center"/>
        </w:trPr>
        <w:tc>
          <w:tcPr>
            <w:tcW w:w="923" w:type="dxa"/>
            <w:tcBorders>
              <w:top w:val="nil"/>
              <w:left w:val="nil"/>
              <w:bottom w:val="nil"/>
              <w:right w:val="nil"/>
            </w:tcBorders>
          </w:tcPr>
          <w:p w14:paraId="330F1373" w14:textId="77777777" w:rsidR="00BE24C4" w:rsidRPr="00560FA3" w:rsidRDefault="00BE24C4">
            <w:pPr>
              <w:jc w:val="both"/>
              <w:rPr>
                <w:rFonts w:ascii="Arial" w:hAnsi="Arial" w:cs="FrankRuehl"/>
                <w:sz w:val="28"/>
                <w:szCs w:val="28"/>
                <w:rtl/>
              </w:rPr>
            </w:pPr>
          </w:p>
        </w:tc>
        <w:tc>
          <w:tcPr>
            <w:tcW w:w="7897" w:type="dxa"/>
            <w:gridSpan w:val="2"/>
            <w:tcBorders>
              <w:top w:val="nil"/>
              <w:left w:val="nil"/>
              <w:bottom w:val="nil"/>
              <w:right w:val="nil"/>
            </w:tcBorders>
          </w:tcPr>
          <w:p w14:paraId="6469F439" w14:textId="77777777" w:rsidR="00BE24C4" w:rsidRPr="00560FA3" w:rsidRDefault="00BE24C4">
            <w:pPr>
              <w:jc w:val="center"/>
              <w:rPr>
                <w:rFonts w:ascii="Arial" w:hAnsi="Arial" w:cs="FrankRuehl"/>
                <w:b/>
                <w:bCs/>
                <w:sz w:val="28"/>
                <w:szCs w:val="28"/>
                <w:rtl/>
              </w:rPr>
            </w:pPr>
          </w:p>
          <w:p w14:paraId="4FCB198E" w14:textId="77777777" w:rsidR="00BE24C4" w:rsidRPr="00560FA3" w:rsidRDefault="00560FA3">
            <w:pPr>
              <w:jc w:val="center"/>
              <w:rPr>
                <w:rFonts w:ascii="Arial" w:hAnsi="Arial" w:cs="FrankRuehl"/>
                <w:b/>
                <w:bCs/>
                <w:sz w:val="28"/>
                <w:szCs w:val="28"/>
                <w:rtl/>
              </w:rPr>
            </w:pPr>
            <w:r w:rsidRPr="00560FA3">
              <w:rPr>
                <w:rFonts w:ascii="Arial" w:hAnsi="Arial" w:cs="FrankRuehl"/>
                <w:b/>
                <w:bCs/>
                <w:sz w:val="28"/>
                <w:szCs w:val="28"/>
                <w:rtl/>
              </w:rPr>
              <w:t>נגד</w:t>
            </w:r>
          </w:p>
          <w:p w14:paraId="3DA0372D" w14:textId="77777777" w:rsidR="00BE24C4" w:rsidRPr="00560FA3" w:rsidRDefault="00BE24C4">
            <w:pPr>
              <w:jc w:val="both"/>
              <w:rPr>
                <w:rFonts w:ascii="Arial" w:hAnsi="Arial" w:cs="FrankRuehl"/>
                <w:sz w:val="28"/>
                <w:szCs w:val="28"/>
              </w:rPr>
            </w:pPr>
          </w:p>
        </w:tc>
      </w:tr>
      <w:tr w:rsidR="00BE24C4" w:rsidRPr="00560FA3" w14:paraId="11BB00FB" w14:textId="77777777">
        <w:trPr>
          <w:trHeight w:val="355"/>
          <w:jc w:val="center"/>
        </w:trPr>
        <w:tc>
          <w:tcPr>
            <w:tcW w:w="923" w:type="dxa"/>
            <w:tcBorders>
              <w:top w:val="nil"/>
              <w:left w:val="nil"/>
              <w:bottom w:val="nil"/>
              <w:right w:val="nil"/>
            </w:tcBorders>
          </w:tcPr>
          <w:p w14:paraId="0BE0E45E" w14:textId="77777777" w:rsidR="00BE24C4" w:rsidRPr="00560FA3" w:rsidRDefault="00BE24C4">
            <w:pPr>
              <w:jc w:val="both"/>
              <w:rPr>
                <w:rFonts w:ascii="Arial" w:hAnsi="Arial" w:cs="FrankRuehl"/>
                <w:sz w:val="28"/>
                <w:szCs w:val="28"/>
                <w:rtl/>
              </w:rPr>
            </w:pPr>
          </w:p>
        </w:tc>
        <w:tc>
          <w:tcPr>
            <w:tcW w:w="4126" w:type="dxa"/>
            <w:tcBorders>
              <w:top w:val="nil"/>
              <w:left w:val="nil"/>
              <w:bottom w:val="nil"/>
              <w:right w:val="nil"/>
            </w:tcBorders>
          </w:tcPr>
          <w:p w14:paraId="4DA595C2" w14:textId="77777777" w:rsidR="00BE24C4" w:rsidRPr="00560FA3" w:rsidRDefault="00560FA3">
            <w:pPr>
              <w:jc w:val="both"/>
              <w:rPr>
                <w:rtl/>
              </w:rPr>
            </w:pPr>
            <w:r w:rsidRPr="00560FA3">
              <w:rPr>
                <w:rFonts w:hint="cs"/>
                <w:rtl/>
              </w:rPr>
              <w:t>רפאל נחום (עציר)</w:t>
            </w:r>
          </w:p>
        </w:tc>
        <w:tc>
          <w:tcPr>
            <w:tcW w:w="3771" w:type="dxa"/>
            <w:tcBorders>
              <w:top w:val="nil"/>
              <w:left w:val="nil"/>
              <w:bottom w:val="nil"/>
              <w:right w:val="nil"/>
            </w:tcBorders>
          </w:tcPr>
          <w:p w14:paraId="646F0260" w14:textId="77777777" w:rsidR="00BE24C4" w:rsidRPr="00560FA3" w:rsidRDefault="00BE24C4">
            <w:pPr>
              <w:jc w:val="right"/>
              <w:rPr>
                <w:rFonts w:ascii="Arial" w:hAnsi="Arial" w:cs="FrankRuehl"/>
                <w:sz w:val="28"/>
                <w:szCs w:val="28"/>
              </w:rPr>
            </w:pPr>
          </w:p>
        </w:tc>
      </w:tr>
      <w:tr w:rsidR="00BE24C4" w:rsidRPr="00560FA3" w14:paraId="39AE9CBA" w14:textId="77777777">
        <w:trPr>
          <w:trHeight w:val="355"/>
          <w:jc w:val="center"/>
        </w:trPr>
        <w:tc>
          <w:tcPr>
            <w:tcW w:w="923" w:type="dxa"/>
            <w:tcBorders>
              <w:top w:val="nil"/>
              <w:left w:val="nil"/>
              <w:bottom w:val="nil"/>
              <w:right w:val="nil"/>
            </w:tcBorders>
          </w:tcPr>
          <w:p w14:paraId="4E216A6F" w14:textId="77777777" w:rsidR="00BE24C4" w:rsidRPr="00560FA3" w:rsidRDefault="00BE24C4">
            <w:pPr>
              <w:jc w:val="both"/>
              <w:rPr>
                <w:rFonts w:ascii="Arial" w:hAnsi="Arial" w:cs="FrankRuehl"/>
                <w:sz w:val="28"/>
                <w:szCs w:val="28"/>
                <w:rtl/>
              </w:rPr>
            </w:pPr>
          </w:p>
        </w:tc>
        <w:tc>
          <w:tcPr>
            <w:tcW w:w="4126" w:type="dxa"/>
            <w:tcBorders>
              <w:top w:val="nil"/>
              <w:left w:val="nil"/>
              <w:bottom w:val="nil"/>
              <w:right w:val="nil"/>
            </w:tcBorders>
          </w:tcPr>
          <w:p w14:paraId="72FD0893" w14:textId="77777777" w:rsidR="00BE24C4" w:rsidRPr="00560FA3" w:rsidRDefault="00BE24C4">
            <w:pPr>
              <w:jc w:val="both"/>
              <w:rPr>
                <w:rtl/>
              </w:rPr>
            </w:pPr>
          </w:p>
        </w:tc>
        <w:tc>
          <w:tcPr>
            <w:tcW w:w="3771" w:type="dxa"/>
            <w:tcBorders>
              <w:top w:val="nil"/>
              <w:left w:val="nil"/>
              <w:bottom w:val="nil"/>
              <w:right w:val="nil"/>
            </w:tcBorders>
          </w:tcPr>
          <w:p w14:paraId="703EF0F3" w14:textId="77777777" w:rsidR="00BE24C4" w:rsidRPr="00560FA3" w:rsidRDefault="00560FA3">
            <w:pPr>
              <w:jc w:val="right"/>
              <w:rPr>
                <w:rFonts w:ascii="Arial" w:hAnsi="Arial" w:cs="FrankRuehl"/>
                <w:sz w:val="28"/>
                <w:szCs w:val="28"/>
              </w:rPr>
            </w:pPr>
            <w:r w:rsidRPr="00560FA3">
              <w:rPr>
                <w:rFonts w:ascii="Arial" w:hAnsi="Arial" w:cs="FrankRuehl" w:hint="cs"/>
                <w:sz w:val="28"/>
                <w:szCs w:val="28"/>
                <w:rtl/>
              </w:rPr>
              <w:t>ה</w:t>
            </w:r>
            <w:r w:rsidRPr="00560FA3">
              <w:rPr>
                <w:rFonts w:hint="cs"/>
                <w:rtl/>
              </w:rPr>
              <w:t>נאשמים</w:t>
            </w:r>
          </w:p>
        </w:tc>
      </w:tr>
    </w:tbl>
    <w:p w14:paraId="7ABF6E8C" w14:textId="77777777" w:rsidR="003709C4" w:rsidRDefault="003709C4">
      <w:pPr>
        <w:rPr>
          <w:rFonts w:cs="FrankRuehl"/>
          <w:sz w:val="28"/>
          <w:szCs w:val="28"/>
          <w:rtl/>
        </w:rPr>
      </w:pPr>
      <w:bookmarkStart w:id="2" w:name="LawTable"/>
      <w:bookmarkEnd w:id="2"/>
    </w:p>
    <w:p w14:paraId="1D00EF0B" w14:textId="77777777" w:rsidR="003709C4" w:rsidRPr="003709C4" w:rsidRDefault="003709C4" w:rsidP="003709C4">
      <w:pPr>
        <w:spacing w:after="120" w:line="240" w:lineRule="exact"/>
        <w:ind w:left="283" w:hanging="283"/>
        <w:jc w:val="both"/>
        <w:rPr>
          <w:rFonts w:ascii="FrankRuehl" w:hAnsi="FrankRuehl" w:cs="FrankRuehl"/>
          <w:rtl/>
        </w:rPr>
      </w:pPr>
      <w:r w:rsidRPr="003709C4">
        <w:rPr>
          <w:rFonts w:ascii="FrankRuehl" w:hAnsi="FrankRuehl" w:cs="FrankRuehl"/>
          <w:rtl/>
        </w:rPr>
        <w:t xml:space="preserve">חקיקה שאוזכרה: </w:t>
      </w:r>
    </w:p>
    <w:p w14:paraId="47DF27FA" w14:textId="77777777" w:rsidR="003709C4" w:rsidRPr="003709C4" w:rsidRDefault="003709C4" w:rsidP="003709C4">
      <w:pPr>
        <w:spacing w:after="120" w:line="240" w:lineRule="exact"/>
        <w:ind w:left="283" w:hanging="283"/>
        <w:jc w:val="both"/>
        <w:rPr>
          <w:rFonts w:ascii="FrankRuehl" w:hAnsi="FrankRuehl" w:cs="FrankRuehl"/>
          <w:color w:val="0000FF"/>
          <w:u w:val="single"/>
          <w:rtl/>
        </w:rPr>
      </w:pPr>
      <w:hyperlink r:id="rId6" w:history="1">
        <w:r w:rsidRPr="003709C4">
          <w:rPr>
            <w:rStyle w:val="Hyperlink"/>
            <w:rFonts w:ascii="FrankRuehl" w:hAnsi="FrankRuehl" w:cs="FrankRuehl"/>
            <w:rtl/>
          </w:rPr>
          <w:t>פקודת הסמים המסוכנים [נוסח חדש], תשל"ג-1973</w:t>
        </w:r>
      </w:hyperlink>
      <w:r w:rsidRPr="003709C4">
        <w:rPr>
          <w:rFonts w:ascii="FrankRuehl" w:hAnsi="FrankRuehl" w:cs="FrankRuehl"/>
          <w:color w:val="0000FF"/>
          <w:u w:val="single"/>
          <w:rtl/>
        </w:rPr>
        <w:t xml:space="preserve">: סע'  </w:t>
      </w:r>
      <w:hyperlink r:id="rId7" w:history="1">
        <w:r w:rsidRPr="003709C4">
          <w:rPr>
            <w:rStyle w:val="Hyperlink"/>
            <w:rFonts w:ascii="FrankRuehl" w:hAnsi="FrankRuehl" w:cs="FrankRuehl"/>
          </w:rPr>
          <w:t>13</w:t>
        </w:r>
      </w:hyperlink>
      <w:r w:rsidRPr="003709C4">
        <w:rPr>
          <w:rFonts w:ascii="FrankRuehl" w:hAnsi="FrankRuehl" w:cs="FrankRuehl"/>
          <w:color w:val="0000FF"/>
          <w:u w:val="single"/>
          <w:rtl/>
        </w:rPr>
        <w:t xml:space="preserve">, </w:t>
      </w:r>
      <w:hyperlink r:id="rId8" w:history="1">
        <w:r w:rsidRPr="003709C4">
          <w:rPr>
            <w:rStyle w:val="Hyperlink"/>
            <w:rFonts w:ascii="FrankRuehl" w:hAnsi="FrankRuehl" w:cs="FrankRuehl"/>
          </w:rPr>
          <w:t>19</w:t>
        </w:r>
        <w:r w:rsidRPr="003709C4">
          <w:rPr>
            <w:rStyle w:val="Hyperlink"/>
            <w:rFonts w:ascii="FrankRuehl" w:hAnsi="FrankRuehl" w:cs="FrankRuehl"/>
            <w:rtl/>
          </w:rPr>
          <w:t>א</w:t>
        </w:r>
      </w:hyperlink>
    </w:p>
    <w:p w14:paraId="570D7763" w14:textId="77777777" w:rsidR="003709C4" w:rsidRPr="003709C4" w:rsidRDefault="003709C4" w:rsidP="003709C4">
      <w:pPr>
        <w:spacing w:after="120" w:line="240" w:lineRule="exact"/>
        <w:ind w:left="283" w:hanging="283"/>
        <w:jc w:val="both"/>
        <w:rPr>
          <w:rFonts w:ascii="FrankRuehl" w:hAnsi="FrankRuehl" w:cs="FrankRuehl"/>
          <w:color w:val="0000FF"/>
          <w:u w:val="single"/>
          <w:rtl/>
        </w:rPr>
      </w:pPr>
      <w:hyperlink r:id="rId9" w:history="1">
        <w:r w:rsidRPr="003709C4">
          <w:rPr>
            <w:rStyle w:val="Hyperlink"/>
            <w:rFonts w:ascii="FrankRuehl" w:hAnsi="FrankRuehl" w:cs="FrankRuehl"/>
            <w:rtl/>
          </w:rPr>
          <w:t>חוק העונשין, תשל"ז-1977</w:t>
        </w:r>
      </w:hyperlink>
      <w:r w:rsidRPr="003709C4">
        <w:rPr>
          <w:rFonts w:ascii="FrankRuehl" w:hAnsi="FrankRuehl" w:cs="FrankRuehl"/>
          <w:color w:val="0000FF"/>
          <w:u w:val="single"/>
          <w:rtl/>
        </w:rPr>
        <w:t xml:space="preserve">: סע'  </w:t>
      </w:r>
      <w:hyperlink r:id="rId10" w:history="1">
        <w:r w:rsidRPr="003709C4">
          <w:rPr>
            <w:rStyle w:val="Hyperlink"/>
            <w:rFonts w:ascii="FrankRuehl" w:hAnsi="FrankRuehl" w:cs="FrankRuehl"/>
          </w:rPr>
          <w:t>40</w:t>
        </w:r>
        <w:r w:rsidRPr="003709C4">
          <w:rPr>
            <w:rStyle w:val="Hyperlink"/>
            <w:rFonts w:ascii="FrankRuehl" w:hAnsi="FrankRuehl" w:cs="FrankRuehl"/>
            <w:rtl/>
          </w:rPr>
          <w:t>ג(א</w:t>
        </w:r>
        <w:r w:rsidRPr="003709C4">
          <w:rPr>
            <w:rStyle w:val="Hyperlink"/>
            <w:rFonts w:ascii="FrankRuehl" w:hAnsi="FrankRuehl" w:cs="FrankRuehl"/>
          </w:rPr>
          <w:t>)</w:t>
        </w:r>
      </w:hyperlink>
      <w:r w:rsidRPr="003709C4">
        <w:rPr>
          <w:rFonts w:ascii="FrankRuehl" w:hAnsi="FrankRuehl" w:cs="FrankRuehl"/>
          <w:color w:val="0000FF"/>
          <w:u w:val="single"/>
          <w:rtl/>
        </w:rPr>
        <w:t xml:space="preserve">, </w:t>
      </w:r>
      <w:hyperlink r:id="rId11" w:history="1">
        <w:r w:rsidRPr="003709C4">
          <w:rPr>
            <w:rStyle w:val="Hyperlink"/>
            <w:rFonts w:ascii="FrankRuehl" w:hAnsi="FrankRuehl" w:cs="FrankRuehl"/>
          </w:rPr>
          <w:t>40</w:t>
        </w:r>
        <w:r w:rsidRPr="003709C4">
          <w:rPr>
            <w:rStyle w:val="Hyperlink"/>
            <w:rFonts w:ascii="FrankRuehl" w:hAnsi="FrankRuehl" w:cs="FrankRuehl"/>
            <w:rtl/>
          </w:rPr>
          <w:t>יא</w:t>
        </w:r>
      </w:hyperlink>
      <w:r w:rsidRPr="003709C4">
        <w:rPr>
          <w:rFonts w:ascii="FrankRuehl" w:hAnsi="FrankRuehl" w:cs="FrankRuehl"/>
          <w:color w:val="0000FF"/>
          <w:u w:val="single"/>
          <w:rtl/>
        </w:rPr>
        <w:t xml:space="preserve">, </w:t>
      </w:r>
      <w:hyperlink r:id="rId12" w:history="1">
        <w:r w:rsidRPr="003709C4">
          <w:rPr>
            <w:rStyle w:val="Hyperlink"/>
            <w:rFonts w:ascii="FrankRuehl" w:hAnsi="FrankRuehl" w:cs="FrankRuehl"/>
          </w:rPr>
          <w:t>40</w:t>
        </w:r>
        <w:r w:rsidRPr="003709C4">
          <w:rPr>
            <w:rStyle w:val="Hyperlink"/>
            <w:rFonts w:ascii="FrankRuehl" w:hAnsi="FrankRuehl" w:cs="FrankRuehl"/>
            <w:rtl/>
          </w:rPr>
          <w:t>יג(ב</w:t>
        </w:r>
        <w:r w:rsidRPr="003709C4">
          <w:rPr>
            <w:rStyle w:val="Hyperlink"/>
            <w:rFonts w:ascii="FrankRuehl" w:hAnsi="FrankRuehl" w:cs="FrankRuehl"/>
          </w:rPr>
          <w:t>)</w:t>
        </w:r>
      </w:hyperlink>
    </w:p>
    <w:p w14:paraId="3AA9FB70" w14:textId="77777777" w:rsidR="003709C4" w:rsidRPr="003709C4" w:rsidRDefault="003709C4" w:rsidP="003709C4">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E24C4" w14:paraId="46E74EA3" w14:textId="77777777">
        <w:trPr>
          <w:trHeight w:val="355"/>
          <w:jc w:val="center"/>
        </w:trPr>
        <w:tc>
          <w:tcPr>
            <w:tcW w:w="8820" w:type="dxa"/>
            <w:tcBorders>
              <w:top w:val="nil"/>
              <w:left w:val="nil"/>
              <w:bottom w:val="nil"/>
              <w:right w:val="nil"/>
            </w:tcBorders>
          </w:tcPr>
          <w:p w14:paraId="261FD5CD" w14:textId="77777777" w:rsidR="00560FA3" w:rsidRPr="00560FA3" w:rsidRDefault="00560FA3" w:rsidP="00560FA3">
            <w:pPr>
              <w:jc w:val="center"/>
              <w:rPr>
                <w:rFonts w:ascii="Arial" w:hAnsi="Arial" w:cs="FrankRuehl"/>
                <w:b/>
                <w:bCs/>
                <w:sz w:val="34"/>
                <w:szCs w:val="34"/>
                <w:u w:val="single"/>
                <w:rtl/>
              </w:rPr>
            </w:pPr>
            <w:bookmarkStart w:id="3" w:name="LawTable_End"/>
            <w:bookmarkStart w:id="4" w:name="PsakDin" w:colFirst="0" w:colLast="0"/>
            <w:bookmarkEnd w:id="0"/>
            <w:bookmarkEnd w:id="3"/>
            <w:r w:rsidRPr="00560FA3">
              <w:rPr>
                <w:rFonts w:ascii="Arial" w:hAnsi="Arial" w:cs="FrankRuehl"/>
                <w:b/>
                <w:bCs/>
                <w:sz w:val="34"/>
                <w:szCs w:val="34"/>
                <w:u w:val="single"/>
                <w:rtl/>
              </w:rPr>
              <w:t>גזר דין</w:t>
            </w:r>
          </w:p>
          <w:p w14:paraId="2E59D258" w14:textId="77777777" w:rsidR="00BE24C4" w:rsidRPr="00560FA3" w:rsidRDefault="00BE24C4" w:rsidP="00560FA3">
            <w:pPr>
              <w:jc w:val="center"/>
              <w:rPr>
                <w:rFonts w:ascii="Arial" w:hAnsi="Arial" w:cs="FrankRuehl"/>
                <w:bCs/>
                <w:sz w:val="34"/>
                <w:szCs w:val="34"/>
                <w:u w:val="single"/>
                <w:rtl/>
              </w:rPr>
            </w:pPr>
          </w:p>
        </w:tc>
      </w:tr>
      <w:bookmarkEnd w:id="4"/>
    </w:tbl>
    <w:p w14:paraId="32C0A6CC" w14:textId="77777777" w:rsidR="00BE24C4" w:rsidRDefault="00BE24C4">
      <w:pPr>
        <w:rPr>
          <w:rFonts w:ascii="Arial" w:hAnsi="Arial" w:cs="FrankRuehl"/>
          <w:sz w:val="28"/>
          <w:szCs w:val="28"/>
          <w:rtl/>
        </w:rPr>
      </w:pPr>
    </w:p>
    <w:p w14:paraId="23CBA2F3" w14:textId="77777777" w:rsidR="00BE24C4" w:rsidRDefault="00560FA3">
      <w:pPr>
        <w:spacing w:after="120" w:line="360" w:lineRule="auto"/>
        <w:rPr>
          <w:rFonts w:ascii="David" w:hAnsi="David" w:cs="FrankRuehl"/>
          <w:sz w:val="28"/>
          <w:szCs w:val="28"/>
          <w:u w:val="single"/>
          <w:rtl/>
        </w:rPr>
      </w:pPr>
      <w:bookmarkStart w:id="5" w:name="_GoBack"/>
      <w:bookmarkEnd w:id="5"/>
      <w:r>
        <w:rPr>
          <w:rFonts w:cs="FrankRuehl" w:hint="cs"/>
          <w:sz w:val="28"/>
          <w:szCs w:val="28"/>
          <w:u w:val="single"/>
          <w:rtl/>
        </w:rPr>
        <w:t>רקע</w:t>
      </w:r>
      <w:r>
        <w:rPr>
          <w:rFonts w:hint="cs"/>
          <w:rtl/>
        </w:rPr>
        <w:t xml:space="preserve"> </w:t>
      </w:r>
    </w:p>
    <w:p w14:paraId="5636F8A7" w14:textId="77777777" w:rsidR="00BE24C4" w:rsidRDefault="00560FA3">
      <w:pPr>
        <w:spacing w:after="120" w:line="360" w:lineRule="auto"/>
        <w:jc w:val="both"/>
        <w:rPr>
          <w:rFonts w:cs="FrankRuehl"/>
          <w:sz w:val="28"/>
          <w:szCs w:val="28"/>
          <w:rtl/>
        </w:rPr>
      </w:pPr>
      <w:r>
        <w:rPr>
          <w:rFonts w:cs="FrankRuehl" w:hint="cs"/>
          <w:sz w:val="28"/>
          <w:szCs w:val="28"/>
          <w:rtl/>
        </w:rPr>
        <w:t>1.</w:t>
      </w:r>
      <w:r>
        <w:rPr>
          <w:rFonts w:cs="FrankRuehl" w:hint="cs"/>
          <w:sz w:val="28"/>
          <w:szCs w:val="28"/>
          <w:rtl/>
        </w:rPr>
        <w:tab/>
      </w:r>
      <w:bookmarkStart w:id="6" w:name="ABSTRACT_START"/>
      <w:bookmarkEnd w:id="6"/>
      <w:r>
        <w:rPr>
          <w:rFonts w:cs="FrankRuehl" w:hint="cs"/>
          <w:sz w:val="28"/>
          <w:szCs w:val="28"/>
          <w:rtl/>
        </w:rPr>
        <w:t xml:space="preserve">ביום 2.9.2014 הורשע הנאשם על-יסוד הודאתו, בעבירה אחת של הספקת סם מסוכן וכן בשלוש עבירות של סחר בסם מסוכן, וזאת לפי </w:t>
      </w:r>
      <w:hyperlink r:id="rId13" w:history="1">
        <w:r w:rsidR="003709C4" w:rsidRPr="003709C4">
          <w:rPr>
            <w:rStyle w:val="Hyperlink"/>
            <w:rFonts w:cs="FrankRuehl" w:hint="eastAsia"/>
            <w:sz w:val="28"/>
            <w:szCs w:val="28"/>
            <w:rtl/>
          </w:rPr>
          <w:t>סעיפים</w:t>
        </w:r>
        <w:r w:rsidR="003709C4" w:rsidRPr="003709C4">
          <w:rPr>
            <w:rStyle w:val="Hyperlink"/>
            <w:rFonts w:cs="FrankRuehl"/>
            <w:sz w:val="28"/>
            <w:szCs w:val="28"/>
            <w:rtl/>
          </w:rPr>
          <w:t xml:space="preserve"> 13</w:t>
        </w:r>
      </w:hyperlink>
      <w:r>
        <w:rPr>
          <w:rFonts w:cs="FrankRuehl" w:hint="cs"/>
          <w:sz w:val="28"/>
          <w:szCs w:val="28"/>
          <w:rtl/>
        </w:rPr>
        <w:t xml:space="preserve"> ו- </w:t>
      </w:r>
      <w:hyperlink r:id="rId14" w:history="1">
        <w:r w:rsidR="003709C4" w:rsidRPr="003709C4">
          <w:rPr>
            <w:rStyle w:val="Hyperlink"/>
            <w:rFonts w:cs="FrankRuehl"/>
            <w:sz w:val="28"/>
            <w:szCs w:val="28"/>
            <w:rtl/>
          </w:rPr>
          <w:t>19א</w:t>
        </w:r>
      </w:hyperlink>
      <w:r>
        <w:rPr>
          <w:rFonts w:cs="FrankRuehl" w:hint="cs"/>
          <w:sz w:val="28"/>
          <w:szCs w:val="28"/>
          <w:rtl/>
        </w:rPr>
        <w:t xml:space="preserve"> ל</w:t>
      </w:r>
      <w:hyperlink r:id="rId15" w:history="1">
        <w:r w:rsidRPr="00560FA3">
          <w:rPr>
            <w:rFonts w:cs="FrankRuehl"/>
            <w:color w:val="0000FF"/>
            <w:sz w:val="28"/>
            <w:szCs w:val="28"/>
            <w:u w:val="single"/>
            <w:rtl/>
          </w:rPr>
          <w:t>פקודת הסמים המסוכנים</w:t>
        </w:r>
      </w:hyperlink>
      <w:r>
        <w:rPr>
          <w:rFonts w:cs="FrankRuehl" w:hint="cs"/>
          <w:sz w:val="28"/>
          <w:szCs w:val="28"/>
          <w:rtl/>
        </w:rPr>
        <w:t xml:space="preserve"> [נוסח חדש], התשל"ג-1973 </w:t>
      </w:r>
      <w:bookmarkStart w:id="7" w:name="ABSTRACT_END"/>
      <w:bookmarkEnd w:id="7"/>
      <w:r>
        <w:rPr>
          <w:rFonts w:cs="FrankRuehl" w:hint="cs"/>
          <w:sz w:val="28"/>
          <w:szCs w:val="28"/>
          <w:rtl/>
        </w:rPr>
        <w:t xml:space="preserve">(להלן: </w:t>
      </w:r>
      <w:r>
        <w:rPr>
          <w:rFonts w:cs="Miriam" w:hint="cs"/>
          <w:rtl/>
        </w:rPr>
        <w:t>פקודת הסמים</w:t>
      </w:r>
      <w:r>
        <w:rPr>
          <w:rFonts w:cs="FrankRuehl" w:hint="cs"/>
          <w:sz w:val="28"/>
          <w:szCs w:val="28"/>
          <w:rtl/>
        </w:rPr>
        <w:t xml:space="preserve">).  </w:t>
      </w:r>
    </w:p>
    <w:p w14:paraId="15EDF73C" w14:textId="77777777" w:rsidR="00BE24C4" w:rsidRDefault="00BE24C4">
      <w:pPr>
        <w:spacing w:after="120" w:line="360" w:lineRule="auto"/>
        <w:jc w:val="both"/>
        <w:rPr>
          <w:rFonts w:cs="FrankRuehl"/>
          <w:sz w:val="28"/>
          <w:szCs w:val="28"/>
          <w:rtl/>
        </w:rPr>
      </w:pPr>
    </w:p>
    <w:p w14:paraId="65328718" w14:textId="77777777" w:rsidR="00BE24C4" w:rsidRDefault="00560FA3">
      <w:pPr>
        <w:spacing w:after="120" w:line="360" w:lineRule="auto"/>
        <w:jc w:val="both"/>
        <w:rPr>
          <w:rFonts w:cs="FrankRuehl"/>
          <w:sz w:val="28"/>
          <w:szCs w:val="28"/>
          <w:rtl/>
        </w:rPr>
      </w:pPr>
      <w:r>
        <w:rPr>
          <w:rFonts w:cs="FrankRuehl" w:hint="cs"/>
          <w:sz w:val="28"/>
          <w:szCs w:val="28"/>
          <w:rtl/>
        </w:rPr>
        <w:tab/>
        <w:t xml:space="preserve">כתב-האישום המתוקן שבעובדותיו הודה הנאשם, מחזיק ארבעה אישומים (זאת לאחר שהאישום הרביעי שנכלל בכתב-האישום המקורי, נמחק בהסכמת הצדדים). </w:t>
      </w:r>
      <w:r>
        <w:rPr>
          <w:rFonts w:cs="FrankRuehl" w:hint="cs"/>
          <w:b/>
          <w:bCs/>
          <w:sz w:val="28"/>
          <w:szCs w:val="28"/>
          <w:rtl/>
        </w:rPr>
        <w:t>לפי עובדות האישום הראשון</w:t>
      </w:r>
      <w:r>
        <w:rPr>
          <w:rFonts w:cs="FrankRuehl" w:hint="cs"/>
          <w:sz w:val="28"/>
          <w:szCs w:val="28"/>
          <w:rtl/>
        </w:rPr>
        <w:t xml:space="preserve">, ביום 16.2.2014 בסמוך לשעה 19:00, נפגש הנאשם בבית שברח' אליעזר הגדול בירושלים (להלן: </w:t>
      </w:r>
      <w:r>
        <w:rPr>
          <w:rFonts w:cs="Miriam" w:hint="cs"/>
          <w:rtl/>
        </w:rPr>
        <w:t>הבית</w:t>
      </w:r>
      <w:r>
        <w:rPr>
          <w:rFonts w:cs="FrankRuehl" w:hint="cs"/>
          <w:sz w:val="28"/>
          <w:szCs w:val="28"/>
          <w:rtl/>
        </w:rPr>
        <w:t xml:space="preserve">) עם אדם בשם חביליו. חביליו העביר לנאשם דבר-מה, ובתמורה העביר </w:t>
      </w:r>
      <w:r>
        <w:rPr>
          <w:rFonts w:cs="FrankRuehl" w:hint="cs"/>
          <w:sz w:val="28"/>
          <w:szCs w:val="28"/>
          <w:rtl/>
        </w:rPr>
        <w:lastRenderedPageBreak/>
        <w:t xml:space="preserve">לו הנאשם חשיש במשקל של </w:t>
      </w:r>
      <w:smartTag w:uri="urn:schemas-microsoft-com:office:smarttags" w:element="metricconverter">
        <w:smartTagPr>
          <w:attr w:name="ProductID" w:val="0.81 גרם"/>
        </w:smartTagPr>
        <w:r>
          <w:rPr>
            <w:rFonts w:cs="FrankRuehl" w:hint="cs"/>
            <w:sz w:val="28"/>
            <w:szCs w:val="28"/>
            <w:rtl/>
          </w:rPr>
          <w:t>0.81 גרם</w:t>
        </w:r>
      </w:smartTag>
      <w:r>
        <w:rPr>
          <w:rFonts w:cs="FrankRuehl" w:hint="cs"/>
          <w:sz w:val="28"/>
          <w:szCs w:val="28"/>
          <w:rtl/>
        </w:rPr>
        <w:t xml:space="preserve"> נטו. בגין אישום זה, הורשע הנאשם לפי הודאתו בעבירה של הספקת סם מסוכן. </w:t>
      </w:r>
      <w:r>
        <w:rPr>
          <w:rFonts w:cs="FrankRuehl" w:hint="cs"/>
          <w:b/>
          <w:bCs/>
          <w:sz w:val="28"/>
          <w:szCs w:val="28"/>
          <w:rtl/>
        </w:rPr>
        <w:t>לפי עובדות האישום השני</w:t>
      </w:r>
      <w:r>
        <w:rPr>
          <w:rFonts w:cs="FrankRuehl" w:hint="cs"/>
          <w:sz w:val="28"/>
          <w:szCs w:val="28"/>
          <w:rtl/>
        </w:rPr>
        <w:t xml:space="preserve">, ביום 12.1.2014 בסמוך לשעה 19:00, הגיע לאזור הבית אדם בשם חמו וקרא לנאשם. הנאשם יצא מהבית, חמו העביר לנאשם 20 ₪, ובתמורה העביר לו הנאשם חשיש במשקל של </w:t>
      </w:r>
      <w:smartTag w:uri="urn:schemas-microsoft-com:office:smarttags" w:element="metricconverter">
        <w:smartTagPr>
          <w:attr w:name="ProductID" w:val="0.18 גרם"/>
        </w:smartTagPr>
        <w:r>
          <w:rPr>
            <w:rFonts w:cs="FrankRuehl" w:hint="cs"/>
            <w:sz w:val="28"/>
            <w:szCs w:val="28"/>
            <w:rtl/>
          </w:rPr>
          <w:t>0.18 גרם</w:t>
        </w:r>
      </w:smartTag>
      <w:r>
        <w:rPr>
          <w:rFonts w:cs="FrankRuehl" w:hint="cs"/>
          <w:sz w:val="28"/>
          <w:szCs w:val="28"/>
          <w:rtl/>
        </w:rPr>
        <w:t xml:space="preserve"> נטו. בגין אישום זה, הורשע הנאשם לפי הודאתו בעבירה של סחר בסם מסוכן. </w:t>
      </w:r>
      <w:r>
        <w:rPr>
          <w:rFonts w:cs="FrankRuehl" w:hint="cs"/>
          <w:b/>
          <w:bCs/>
          <w:sz w:val="28"/>
          <w:szCs w:val="28"/>
          <w:rtl/>
        </w:rPr>
        <w:t>לפי עובדות האישום השלישי</w:t>
      </w:r>
      <w:r>
        <w:rPr>
          <w:rFonts w:cs="FrankRuehl" w:hint="cs"/>
          <w:sz w:val="28"/>
          <w:szCs w:val="28"/>
          <w:rtl/>
        </w:rPr>
        <w:t xml:space="preserve">, בלילה שבין 31.12.2013 ל- 1.1.2014 הגיע אותו חמו לאזור הבית וקרא לנאשם. הנאשם יצא לקראת חמו. בשלב זה, חמו העביר לנאשם 50 ₪, והנאשם העביר לו בתמורה חתיכת חשיש (יוער כי במסגרת אישום זה לא מצוין משקל הסם). בגין האישום האמוּר, הורשע הנאשם לפי הודאתו בעבירה של סחר בסם מסוכן. </w:t>
      </w:r>
      <w:r>
        <w:rPr>
          <w:rFonts w:cs="FrankRuehl" w:hint="cs"/>
          <w:b/>
          <w:bCs/>
          <w:sz w:val="28"/>
          <w:szCs w:val="28"/>
          <w:rtl/>
        </w:rPr>
        <w:t>לפי עובדות האישום החמישי</w:t>
      </w:r>
      <w:r>
        <w:rPr>
          <w:rFonts w:cs="FrankRuehl" w:hint="cs"/>
          <w:sz w:val="28"/>
          <w:szCs w:val="28"/>
          <w:rtl/>
        </w:rPr>
        <w:t xml:space="preserve">, ביום 8.9.2013 בסמוך לשעה 19:00 הגיעה לרח' אליעזר הגדול, הגב' שטרית ברכב יונדאי. הנאשם ניגש לרכב ונצמד לחלון הקדמי שלו. בשלב זה, העבירה הגב' שטרית לנאשם סכום של 100 ₪, ובתמורה העביר לה הנאשם חשיש במשקל של </w:t>
      </w:r>
      <w:smartTag w:uri="urn:schemas-microsoft-com:office:smarttags" w:element="metricconverter">
        <w:smartTagPr>
          <w:attr w:name="ProductID" w:val="1.34 גרם"/>
        </w:smartTagPr>
        <w:r>
          <w:rPr>
            <w:rFonts w:cs="FrankRuehl" w:hint="cs"/>
            <w:sz w:val="28"/>
            <w:szCs w:val="28"/>
            <w:rtl/>
          </w:rPr>
          <w:t>1.34 גרם</w:t>
        </w:r>
      </w:smartTag>
      <w:r>
        <w:rPr>
          <w:rFonts w:cs="FrankRuehl" w:hint="cs"/>
          <w:sz w:val="28"/>
          <w:szCs w:val="28"/>
          <w:rtl/>
        </w:rPr>
        <w:t xml:space="preserve"> נטו. גם בגין אישום זה, הורשע הנאשם לפי הודאתו בעבירה של סחר בסם מסוכן.  </w:t>
      </w:r>
    </w:p>
    <w:p w14:paraId="5E759CCD" w14:textId="77777777" w:rsidR="00BE24C4" w:rsidRDefault="00BE24C4">
      <w:pPr>
        <w:spacing w:after="120" w:line="360" w:lineRule="auto"/>
        <w:jc w:val="both"/>
        <w:rPr>
          <w:rFonts w:cs="FrankRuehl"/>
          <w:sz w:val="28"/>
          <w:szCs w:val="28"/>
          <w:rtl/>
        </w:rPr>
      </w:pPr>
    </w:p>
    <w:p w14:paraId="610D52B1" w14:textId="77777777" w:rsidR="00BE24C4" w:rsidRDefault="00560FA3">
      <w:pPr>
        <w:spacing w:after="120" w:line="360" w:lineRule="auto"/>
        <w:jc w:val="both"/>
        <w:rPr>
          <w:rFonts w:cs="FrankRuehl"/>
          <w:sz w:val="28"/>
          <w:szCs w:val="28"/>
          <w:rtl/>
        </w:rPr>
      </w:pPr>
      <w:r>
        <w:rPr>
          <w:rFonts w:cs="FrankRuehl" w:hint="cs"/>
          <w:sz w:val="28"/>
          <w:szCs w:val="28"/>
          <w:rtl/>
        </w:rPr>
        <w:t>2.</w:t>
      </w:r>
      <w:r>
        <w:rPr>
          <w:rFonts w:cs="FrankRuehl" w:hint="cs"/>
          <w:sz w:val="28"/>
          <w:szCs w:val="28"/>
          <w:rtl/>
        </w:rPr>
        <w:tab/>
        <w:t>הסדר-הטיעון בין הצדדים לא כלל הסכמה לעניין העונש, וכל צד היה חופשי בטיעוניו.</w:t>
      </w:r>
    </w:p>
    <w:p w14:paraId="572A318E" w14:textId="77777777" w:rsidR="00BE24C4" w:rsidRDefault="00BE24C4">
      <w:pPr>
        <w:spacing w:after="120" w:line="360" w:lineRule="auto"/>
        <w:jc w:val="both"/>
        <w:rPr>
          <w:rFonts w:cs="FrankRuehl"/>
          <w:sz w:val="28"/>
          <w:szCs w:val="28"/>
          <w:rtl/>
        </w:rPr>
      </w:pPr>
    </w:p>
    <w:p w14:paraId="08BC0BF3" w14:textId="77777777" w:rsidR="00BE24C4" w:rsidRDefault="00560FA3">
      <w:pPr>
        <w:spacing w:after="120" w:line="360" w:lineRule="auto"/>
        <w:jc w:val="both"/>
        <w:rPr>
          <w:rFonts w:cs="FrankRuehl"/>
          <w:sz w:val="28"/>
          <w:szCs w:val="28"/>
          <w:u w:val="single"/>
          <w:rtl/>
        </w:rPr>
      </w:pPr>
      <w:r>
        <w:rPr>
          <w:rFonts w:cs="FrankRuehl" w:hint="cs"/>
          <w:sz w:val="28"/>
          <w:szCs w:val="28"/>
          <w:u w:val="single"/>
          <w:rtl/>
        </w:rPr>
        <w:t xml:space="preserve">טיעוני הצדדים לעונש </w:t>
      </w:r>
    </w:p>
    <w:p w14:paraId="31232A51" w14:textId="77777777" w:rsidR="00BE24C4" w:rsidRDefault="00560FA3">
      <w:pPr>
        <w:spacing w:after="120" w:line="360" w:lineRule="auto"/>
        <w:jc w:val="both"/>
        <w:rPr>
          <w:rFonts w:cs="FrankRuehl"/>
          <w:sz w:val="28"/>
          <w:szCs w:val="28"/>
          <w:rtl/>
        </w:rPr>
      </w:pPr>
      <w:r>
        <w:rPr>
          <w:rFonts w:cs="FrankRuehl" w:hint="cs"/>
          <w:sz w:val="28"/>
          <w:szCs w:val="28"/>
          <w:rtl/>
        </w:rPr>
        <w:t>3.</w:t>
      </w:r>
      <w:r>
        <w:rPr>
          <w:rFonts w:cs="FrankRuehl" w:hint="cs"/>
          <w:sz w:val="28"/>
          <w:szCs w:val="28"/>
          <w:rtl/>
        </w:rPr>
        <w:tab/>
        <w:t>בא-כוח המאשימה הפנה בטיעוניו ל</w:t>
      </w:r>
      <w:hyperlink r:id="rId16" w:history="1">
        <w:r w:rsidRPr="00560FA3">
          <w:rPr>
            <w:rFonts w:cs="FrankRuehl"/>
            <w:color w:val="0000FF"/>
            <w:sz w:val="28"/>
            <w:szCs w:val="28"/>
            <w:u w:val="single"/>
            <w:rtl/>
          </w:rPr>
          <w:t>רע"פ 7996/12</w:t>
        </w:r>
      </w:hyperlink>
      <w:r>
        <w:rPr>
          <w:rFonts w:cs="FrankRuehl" w:hint="cs"/>
          <w:sz w:val="28"/>
          <w:szCs w:val="28"/>
          <w:rtl/>
        </w:rPr>
        <w:t xml:space="preserve"> </w:t>
      </w:r>
      <w:r>
        <w:rPr>
          <w:rFonts w:cs="Miriam" w:hint="cs"/>
          <w:rtl/>
        </w:rPr>
        <w:t>יוסף נ' מדינת ישראל</w:t>
      </w:r>
      <w:r>
        <w:rPr>
          <w:rFonts w:cs="FrankRuehl" w:hint="cs"/>
          <w:sz w:val="28"/>
          <w:szCs w:val="28"/>
          <w:rtl/>
        </w:rPr>
        <w:t xml:space="preserve"> (23.1.2013) וטען כי מתחם הענישה ההולמת בגין כל אישום נע בין 7 ל- 18 חודשי מאסר בפועל. בא-כוח המאשימה עמד על עברו הפלילי המכביד של הנאשם וטען כי לגבי כל אחת משלוש עבירות הסחר בסם מסוכן בהן הורשע הנאשם, יש להעמיד את העונש ברף הגבוה של המתחם הנטען; ואילו לגבי העבירה של הספקת סם מסוכן, ניתן להסתפק בעונש המצוי ברף הנמוך של המתחם הנטען. בנוסף, עתר בא-כוח המאשימה להטלת עונשי מאסר מותנים.</w:t>
      </w:r>
    </w:p>
    <w:p w14:paraId="2D1B3261" w14:textId="77777777" w:rsidR="00BE24C4" w:rsidRDefault="00BE24C4">
      <w:pPr>
        <w:spacing w:after="120" w:line="360" w:lineRule="auto"/>
        <w:jc w:val="both"/>
        <w:rPr>
          <w:rFonts w:cs="FrankRuehl"/>
          <w:sz w:val="28"/>
          <w:szCs w:val="28"/>
          <w:rtl/>
        </w:rPr>
      </w:pPr>
    </w:p>
    <w:p w14:paraId="07687B9F" w14:textId="77777777" w:rsidR="00BE24C4" w:rsidRDefault="00560FA3">
      <w:pPr>
        <w:spacing w:after="120" w:line="360" w:lineRule="auto"/>
        <w:jc w:val="both"/>
        <w:rPr>
          <w:rFonts w:cs="FrankRuehl"/>
          <w:sz w:val="28"/>
          <w:szCs w:val="28"/>
          <w:rtl/>
        </w:rPr>
      </w:pPr>
      <w:r>
        <w:rPr>
          <w:rFonts w:cs="FrankRuehl" w:hint="cs"/>
          <w:sz w:val="28"/>
          <w:szCs w:val="28"/>
          <w:rtl/>
        </w:rPr>
        <w:t>4.</w:t>
      </w:r>
      <w:r>
        <w:rPr>
          <w:rFonts w:cs="FrankRuehl" w:hint="cs"/>
          <w:sz w:val="28"/>
          <w:szCs w:val="28"/>
          <w:rtl/>
        </w:rPr>
        <w:tab/>
        <w:t xml:space="preserve">מנגד, בא-כוח הנאשם עמד על כמויות הסם הקטנות ועל סכומי הכסף הנמוכים כמפורט בכתב-האישום המתוקן, וטען כי מתחם הענישה ההולמת מתחיל מחודשיים מאסר בפועל לכל אישום. הסנגור הוסיף ועמד על נסיבותיו האישיות של הנאשם וטען כי בנסיבות העניין יש להסתפק בימי מעצרו של הנאשם עד כה (כשישה חודשים), ולחלופין - טען כי ניתן להסתפק </w:t>
      </w:r>
      <w:r>
        <w:rPr>
          <w:rFonts w:cs="FrankRuehl" w:hint="cs"/>
          <w:sz w:val="28"/>
          <w:szCs w:val="28"/>
          <w:rtl/>
        </w:rPr>
        <w:lastRenderedPageBreak/>
        <w:t>בתוספת תקופת מאסר בפועל בת מספר שבועות בלבד. הסנגור הפנה בטיעוניו לאסמכתאות מן הפסיקה.</w:t>
      </w:r>
    </w:p>
    <w:p w14:paraId="4E5B4812" w14:textId="77777777" w:rsidR="00BE24C4" w:rsidRDefault="00BE24C4">
      <w:pPr>
        <w:spacing w:after="120" w:line="360" w:lineRule="auto"/>
        <w:jc w:val="both"/>
        <w:rPr>
          <w:rFonts w:cs="FrankRuehl"/>
          <w:sz w:val="28"/>
          <w:szCs w:val="28"/>
          <w:rtl/>
        </w:rPr>
      </w:pPr>
    </w:p>
    <w:p w14:paraId="1EE8B50E" w14:textId="77777777" w:rsidR="00BE24C4" w:rsidRDefault="00560FA3">
      <w:pPr>
        <w:spacing w:after="120" w:line="360" w:lineRule="auto"/>
        <w:jc w:val="both"/>
        <w:rPr>
          <w:rFonts w:cs="FrankRuehl"/>
          <w:sz w:val="28"/>
          <w:szCs w:val="28"/>
          <w:rtl/>
        </w:rPr>
      </w:pPr>
      <w:r>
        <w:rPr>
          <w:rFonts w:cs="FrankRuehl" w:hint="cs"/>
          <w:sz w:val="28"/>
          <w:szCs w:val="28"/>
          <w:rtl/>
        </w:rPr>
        <w:t>5.</w:t>
      </w:r>
      <w:r>
        <w:rPr>
          <w:rFonts w:cs="FrankRuehl" w:hint="cs"/>
          <w:sz w:val="28"/>
          <w:szCs w:val="28"/>
          <w:rtl/>
        </w:rPr>
        <w:tab/>
        <w:t>הנאשם בדבריו לפניי סיפר על ילדותו הקשה. הוא טען שהתמכר לסמים בעקבות כך שה"בסטה" ממנה התפרנס בשנים האחרונות בצומת פת בירושלים, נסגרה. לטענתו, העבירות בגינן הורשע בתיק זה בוצעו על רקע התמכרותו לסמים והיוו בגדר "סחר נרקומנים".</w:t>
      </w:r>
    </w:p>
    <w:p w14:paraId="60769DBF" w14:textId="77777777" w:rsidR="00BE24C4" w:rsidRDefault="00BE24C4">
      <w:pPr>
        <w:spacing w:after="120" w:line="360" w:lineRule="auto"/>
        <w:jc w:val="both"/>
        <w:rPr>
          <w:rFonts w:cs="FrankRuehl"/>
          <w:sz w:val="28"/>
          <w:szCs w:val="28"/>
          <w:rtl/>
        </w:rPr>
      </w:pPr>
    </w:p>
    <w:p w14:paraId="418E830D" w14:textId="77777777" w:rsidR="00BE24C4" w:rsidRDefault="00560FA3">
      <w:pPr>
        <w:spacing w:after="120" w:line="360" w:lineRule="auto"/>
        <w:jc w:val="both"/>
        <w:rPr>
          <w:rFonts w:cs="FrankRuehl"/>
          <w:sz w:val="28"/>
          <w:szCs w:val="28"/>
          <w:u w:val="single"/>
          <w:rtl/>
        </w:rPr>
      </w:pPr>
      <w:r>
        <w:rPr>
          <w:rFonts w:cs="FrankRuehl" w:hint="cs"/>
          <w:sz w:val="28"/>
          <w:szCs w:val="28"/>
          <w:u w:val="single"/>
          <w:rtl/>
        </w:rPr>
        <w:t>ריבוי עבירות</w:t>
      </w:r>
    </w:p>
    <w:p w14:paraId="13465B53" w14:textId="77777777" w:rsidR="00BE24C4" w:rsidRDefault="00560FA3">
      <w:pPr>
        <w:spacing w:after="120" w:line="360" w:lineRule="auto"/>
        <w:jc w:val="both"/>
        <w:rPr>
          <w:rFonts w:cs="FrankRuehl"/>
          <w:sz w:val="28"/>
          <w:szCs w:val="28"/>
          <w:rtl/>
        </w:rPr>
      </w:pPr>
      <w:r>
        <w:rPr>
          <w:rFonts w:cs="FrankRuehl" w:hint="cs"/>
          <w:sz w:val="28"/>
          <w:szCs w:val="28"/>
          <w:rtl/>
        </w:rPr>
        <w:t>6.</w:t>
      </w:r>
      <w:r>
        <w:rPr>
          <w:rFonts w:cs="FrankRuehl" w:hint="cs"/>
          <w:sz w:val="28"/>
          <w:szCs w:val="28"/>
          <w:rtl/>
        </w:rPr>
        <w:tab/>
        <w:t xml:space="preserve">כמו באי-כוח הצדדים בטיעוניהם לפניי, אף אני סבורה כי יש לראות בכל אישום בגינו הורשע הנאשם, אירוע נפרד לצורך קביעת מתחם ענישה הולמת (ראו: ההסדר הקבוּע </w:t>
      </w:r>
      <w:hyperlink r:id="rId17" w:history="1">
        <w:r w:rsidR="003709C4" w:rsidRPr="003709C4">
          <w:rPr>
            <w:rStyle w:val="Hyperlink"/>
            <w:rFonts w:cs="FrankRuehl" w:hint="eastAsia"/>
            <w:sz w:val="28"/>
            <w:szCs w:val="28"/>
            <w:rtl/>
          </w:rPr>
          <w:t>בסעיף</w:t>
        </w:r>
        <w:r w:rsidR="003709C4" w:rsidRPr="003709C4">
          <w:rPr>
            <w:rStyle w:val="Hyperlink"/>
            <w:rFonts w:cs="FrankRuehl"/>
            <w:sz w:val="28"/>
            <w:szCs w:val="28"/>
            <w:rtl/>
          </w:rPr>
          <w:t xml:space="preserve"> 40יג(ב)</w:t>
        </w:r>
      </w:hyperlink>
      <w:r>
        <w:rPr>
          <w:rFonts w:cs="FrankRuehl" w:hint="cs"/>
          <w:sz w:val="28"/>
          <w:szCs w:val="28"/>
          <w:rtl/>
        </w:rPr>
        <w:t xml:space="preserve"> ל</w:t>
      </w:r>
      <w:hyperlink r:id="rId18" w:history="1">
        <w:r w:rsidRPr="00560FA3">
          <w:rPr>
            <w:rFonts w:cs="FrankRuehl"/>
            <w:color w:val="0000FF"/>
            <w:sz w:val="28"/>
            <w:szCs w:val="28"/>
            <w:u w:val="single"/>
            <w:rtl/>
          </w:rPr>
          <w:t>חוק העונשין</w:t>
        </w:r>
      </w:hyperlink>
      <w:r>
        <w:rPr>
          <w:rFonts w:cs="FrankRuehl" w:hint="cs"/>
          <w:sz w:val="28"/>
          <w:szCs w:val="28"/>
          <w:rtl/>
        </w:rPr>
        <w:t xml:space="preserve">, התשל"ז-1977 (להלן: </w:t>
      </w:r>
      <w:r>
        <w:rPr>
          <w:rFonts w:cs="Miriam" w:hint="cs"/>
          <w:rtl/>
        </w:rPr>
        <w:t>חוק העונשין</w:t>
      </w:r>
      <w:r>
        <w:rPr>
          <w:rFonts w:cs="FrankRuehl" w:hint="cs"/>
          <w:sz w:val="28"/>
          <w:szCs w:val="28"/>
          <w:rtl/>
        </w:rPr>
        <w:t xml:space="preserve">)). כך הוא הדבר, נוכח חומרתה של כל אחת מן העבירות בהן הורשע הנאשם; העובדה כי הנאשם ביצע את העבירות מול שלושה אנשים שונים; וכן העובדה שכל עבירה התבצעה במועד שונה במשך תקופה שנפרשה על-פני כחצי שנה (ראו בעניין זה: </w:t>
      </w:r>
      <w:hyperlink r:id="rId19" w:history="1">
        <w:r w:rsidRPr="00560FA3">
          <w:rPr>
            <w:rFonts w:cs="FrankRuehl"/>
            <w:color w:val="0000FF"/>
            <w:sz w:val="28"/>
            <w:szCs w:val="28"/>
            <w:u w:val="single"/>
            <w:rtl/>
          </w:rPr>
          <w:t>עפ"ג (י-ם) 13299-02-14</w:t>
        </w:r>
      </w:hyperlink>
      <w:r>
        <w:rPr>
          <w:rFonts w:cs="FrankRuehl" w:hint="cs"/>
          <w:sz w:val="28"/>
          <w:szCs w:val="28"/>
          <w:rtl/>
        </w:rPr>
        <w:t xml:space="preserve"> </w:t>
      </w:r>
      <w:r>
        <w:rPr>
          <w:rFonts w:cs="Miriam" w:hint="cs"/>
          <w:rtl/>
        </w:rPr>
        <w:t>מדינת ישראל נ' שאמביק</w:t>
      </w:r>
      <w:r>
        <w:rPr>
          <w:rFonts w:cs="FrankRuehl" w:hint="cs"/>
          <w:sz w:val="28"/>
          <w:szCs w:val="28"/>
          <w:rtl/>
        </w:rPr>
        <w:t xml:space="preserve">, פסקאות 5 ו- 9 (10.4.2014); </w:t>
      </w:r>
      <w:hyperlink r:id="rId20" w:history="1">
        <w:r w:rsidRPr="00560FA3">
          <w:rPr>
            <w:rFonts w:cs="FrankRuehl"/>
            <w:color w:val="0000FF"/>
            <w:sz w:val="28"/>
            <w:szCs w:val="28"/>
            <w:u w:val="single"/>
            <w:rtl/>
          </w:rPr>
          <w:t>עפ"ג (ב"ש) 39844-08-13</w:t>
        </w:r>
      </w:hyperlink>
      <w:r>
        <w:rPr>
          <w:rFonts w:cs="FrankRuehl" w:hint="cs"/>
          <w:sz w:val="28"/>
          <w:szCs w:val="28"/>
          <w:rtl/>
        </w:rPr>
        <w:t xml:space="preserve"> </w:t>
      </w:r>
      <w:r>
        <w:rPr>
          <w:rFonts w:cs="Miriam" w:hint="cs"/>
          <w:rtl/>
        </w:rPr>
        <w:t>מדינת ישראל נ' אבו רקייק</w:t>
      </w:r>
      <w:r>
        <w:rPr>
          <w:rFonts w:cs="FrankRuehl" w:hint="cs"/>
          <w:sz w:val="28"/>
          <w:szCs w:val="28"/>
          <w:rtl/>
        </w:rPr>
        <w:t xml:space="preserve"> (26.12.2013)). יחד עם זאת, בהתחשב בכך שמדובר בעסקאות שבוצעו בקרבת אותו מקום ולגבי אותו סוג סם, ונגעו לכמויות סם ולסכומי כסף דומים, אני סבורה כי ראוי לגזור עונש כולל בגין ארבעת האישומים כאמור </w:t>
      </w:r>
      <w:hyperlink r:id="rId21" w:history="1">
        <w:r w:rsidR="003709C4" w:rsidRPr="003709C4">
          <w:rPr>
            <w:rStyle w:val="Hyperlink"/>
            <w:rFonts w:cs="FrankRuehl" w:hint="eastAsia"/>
            <w:sz w:val="28"/>
            <w:szCs w:val="28"/>
            <w:rtl/>
          </w:rPr>
          <w:t>בסעיף</w:t>
        </w:r>
        <w:r w:rsidR="003709C4" w:rsidRPr="003709C4">
          <w:rPr>
            <w:rStyle w:val="Hyperlink"/>
            <w:rFonts w:cs="FrankRuehl"/>
            <w:sz w:val="28"/>
            <w:szCs w:val="28"/>
            <w:rtl/>
          </w:rPr>
          <w:t xml:space="preserve"> 40יג(ב)</w:t>
        </w:r>
      </w:hyperlink>
      <w:r>
        <w:rPr>
          <w:rFonts w:cs="FrankRuehl" w:hint="cs"/>
          <w:sz w:val="28"/>
          <w:szCs w:val="28"/>
          <w:rtl/>
        </w:rPr>
        <w:t xml:space="preserve"> הנ"ל.  </w:t>
      </w:r>
    </w:p>
    <w:p w14:paraId="0D2A2B37" w14:textId="77777777" w:rsidR="00BE24C4" w:rsidRDefault="00BE24C4">
      <w:pPr>
        <w:spacing w:after="120" w:line="360" w:lineRule="auto"/>
        <w:jc w:val="both"/>
        <w:rPr>
          <w:rFonts w:cs="FrankRuehl"/>
          <w:sz w:val="28"/>
          <w:szCs w:val="28"/>
          <w:rtl/>
        </w:rPr>
      </w:pPr>
    </w:p>
    <w:p w14:paraId="25C888F7" w14:textId="77777777" w:rsidR="00BE24C4" w:rsidRDefault="00560FA3">
      <w:pPr>
        <w:spacing w:after="120" w:line="360" w:lineRule="auto"/>
        <w:jc w:val="both"/>
        <w:rPr>
          <w:rFonts w:cs="FrankRuehl"/>
          <w:sz w:val="28"/>
          <w:szCs w:val="28"/>
          <w:u w:val="single"/>
          <w:rtl/>
        </w:rPr>
      </w:pPr>
      <w:r>
        <w:rPr>
          <w:rFonts w:cs="FrankRuehl" w:hint="cs"/>
          <w:sz w:val="28"/>
          <w:szCs w:val="28"/>
          <w:u w:val="single"/>
          <w:rtl/>
        </w:rPr>
        <w:t>מתחמי הענישה ההולמת</w:t>
      </w:r>
    </w:p>
    <w:p w14:paraId="193B371C" w14:textId="77777777" w:rsidR="00BE24C4" w:rsidRDefault="00560FA3">
      <w:pPr>
        <w:spacing w:after="120" w:line="360" w:lineRule="auto"/>
        <w:jc w:val="both"/>
        <w:rPr>
          <w:rFonts w:cs="FrankRuehl"/>
          <w:sz w:val="28"/>
          <w:szCs w:val="28"/>
          <w:rtl/>
        </w:rPr>
      </w:pPr>
      <w:r>
        <w:rPr>
          <w:rFonts w:cs="FrankRuehl" w:hint="cs"/>
          <w:sz w:val="28"/>
          <w:szCs w:val="28"/>
          <w:rtl/>
        </w:rPr>
        <w:t>7.</w:t>
      </w:r>
      <w:r>
        <w:rPr>
          <w:rFonts w:cs="FrankRuehl" w:hint="cs"/>
          <w:sz w:val="28"/>
          <w:szCs w:val="28"/>
          <w:rtl/>
        </w:rPr>
        <w:tab/>
        <w:t xml:space="preserve">בהתאם </w:t>
      </w:r>
      <w:hyperlink r:id="rId22" w:history="1">
        <w:r w:rsidR="003709C4" w:rsidRPr="003709C4">
          <w:rPr>
            <w:rStyle w:val="Hyperlink"/>
            <w:rFonts w:cs="FrankRuehl" w:hint="eastAsia"/>
            <w:sz w:val="28"/>
            <w:szCs w:val="28"/>
            <w:rtl/>
          </w:rPr>
          <w:t>לסעיף</w:t>
        </w:r>
        <w:r w:rsidR="003709C4" w:rsidRPr="003709C4">
          <w:rPr>
            <w:rStyle w:val="Hyperlink"/>
            <w:rFonts w:cs="FrankRuehl"/>
            <w:sz w:val="28"/>
            <w:szCs w:val="28"/>
            <w:rtl/>
          </w:rPr>
          <w:t xml:space="preserve"> 40ג(א)</w:t>
        </w:r>
      </w:hyperlink>
      <w:r>
        <w:rPr>
          <w:rFonts w:cs="FrankRuehl" w:hint="cs"/>
          <w:sz w:val="28"/>
          <w:szCs w:val="28"/>
          <w:rtl/>
        </w:rPr>
        <w:t xml:space="preserve"> ל</w:t>
      </w:r>
      <w:hyperlink r:id="rId23" w:history="1">
        <w:r w:rsidRPr="00560FA3">
          <w:rPr>
            <w:rFonts w:cs="FrankRuehl"/>
            <w:color w:val="0000FF"/>
            <w:sz w:val="28"/>
            <w:szCs w:val="28"/>
            <w:u w:val="single"/>
            <w:rtl/>
          </w:rPr>
          <w:t>חוק העונשין</w:t>
        </w:r>
      </w:hyperlink>
      <w:r>
        <w:rPr>
          <w:rFonts w:cs="FrankRuehl" w:hint="cs"/>
          <w:sz w:val="28"/>
          <w:szCs w:val="28"/>
          <w:rtl/>
        </w:rPr>
        <w:t>,</w:t>
      </w:r>
      <w:r>
        <w:rPr>
          <w:rFonts w:cs="FrankRuehl" w:hint="cs"/>
          <w:sz w:val="28"/>
          <w:szCs w:val="28"/>
        </w:rPr>
        <w:t xml:space="preserve"> </w:t>
      </w:r>
      <w:r>
        <w:rPr>
          <w:rFonts w:cs="FrankRuehl" w:hint="cs"/>
          <w:sz w:val="28"/>
          <w:szCs w:val="28"/>
          <w:rtl/>
        </w:rPr>
        <w:t xml:space="preserve">יש לקבוע את מתחם העונש ההולם בהתאם לעקרון ההלימה, תוך התחשבות בערך החברתי שנפגע, במידת הפגיעה בו, בנסיבות הקשורות בביצוע העבירות ובמדיניות הענישה הנהוגה. </w:t>
      </w:r>
    </w:p>
    <w:p w14:paraId="0FBDFCAD" w14:textId="77777777" w:rsidR="00BE24C4" w:rsidRDefault="00560FA3">
      <w:pPr>
        <w:spacing w:after="120" w:line="360" w:lineRule="auto"/>
        <w:jc w:val="both"/>
        <w:rPr>
          <w:rFonts w:cs="FrankRuehl"/>
          <w:sz w:val="28"/>
          <w:szCs w:val="28"/>
          <w:rtl/>
        </w:rPr>
      </w:pPr>
      <w:r>
        <w:rPr>
          <w:rFonts w:cs="FrankRuehl" w:hint="cs"/>
          <w:sz w:val="28"/>
          <w:szCs w:val="28"/>
          <w:rtl/>
        </w:rPr>
        <w:tab/>
      </w:r>
    </w:p>
    <w:p w14:paraId="0693219D" w14:textId="77777777" w:rsidR="00BE24C4" w:rsidRDefault="00560FA3">
      <w:pPr>
        <w:spacing w:after="120" w:line="360" w:lineRule="auto"/>
        <w:jc w:val="both"/>
        <w:rPr>
          <w:rFonts w:cs="FrankRuehl"/>
          <w:sz w:val="28"/>
          <w:szCs w:val="28"/>
          <w:u w:val="single"/>
          <w:rtl/>
        </w:rPr>
      </w:pPr>
      <w:r>
        <w:rPr>
          <w:rFonts w:cs="FrankRuehl" w:hint="cs"/>
          <w:sz w:val="28"/>
          <w:szCs w:val="28"/>
          <w:rtl/>
        </w:rPr>
        <w:t>8.</w:t>
      </w:r>
      <w:r>
        <w:rPr>
          <w:rFonts w:cs="FrankRuehl" w:hint="cs"/>
          <w:sz w:val="28"/>
          <w:szCs w:val="28"/>
          <w:rtl/>
        </w:rPr>
        <w:tab/>
        <w:t xml:space="preserve">דומה כי אין צורך להכביר מילים על חומרת העבירות של הספקת סמים וסחר בסמים, ועל </w:t>
      </w:r>
      <w:r>
        <w:rPr>
          <w:rFonts w:cs="FrankRuehl" w:hint="cs"/>
          <w:b/>
          <w:bCs/>
          <w:sz w:val="28"/>
          <w:szCs w:val="28"/>
          <w:rtl/>
        </w:rPr>
        <w:t xml:space="preserve">הערכים המוגנים </w:t>
      </w:r>
      <w:r>
        <w:rPr>
          <w:rFonts w:cs="FrankRuehl" w:hint="cs"/>
          <w:sz w:val="28"/>
          <w:szCs w:val="28"/>
          <w:rtl/>
        </w:rPr>
        <w:t>המונחים בבסיסן. פעמים רבות הובהר בפסיקת בתי-המשפט כי עבירות אלה מובילות לפגיעה במשתמשים עצמם, וכן לפגיעה עקיפה בציבור כולו עקב העבירות הנלוות לשימוש בסמים. ההלכה הפסוקה עמדה על ההכרח להיאבק בנגע הסמים ועל הצורך להעביר מסר מרתיע מפני עיסוק בהספקה ובסחר בסמים, בין היתר על-ידי הטלת עונשים מחמירים על מי שנותן ידו למעגל הפצת הסמים ברבים ולהפיכת הסמים לזמינים ולנגישים. לא בכדי קבע המחוקק עונש חמור של עשרים שנות מאסר לגבי עבירות של הספקת סמים וסחר בהם.</w:t>
      </w:r>
    </w:p>
    <w:p w14:paraId="557D3051" w14:textId="77777777" w:rsidR="00BE24C4" w:rsidRDefault="00560FA3">
      <w:pPr>
        <w:spacing w:after="120" w:line="360" w:lineRule="auto"/>
        <w:jc w:val="both"/>
        <w:rPr>
          <w:rFonts w:cs="FrankRuehl"/>
          <w:sz w:val="28"/>
          <w:szCs w:val="28"/>
          <w:rtl/>
        </w:rPr>
      </w:pPr>
      <w:r>
        <w:rPr>
          <w:rFonts w:cs="FrankRuehl" w:hint="cs"/>
          <w:sz w:val="28"/>
          <w:szCs w:val="28"/>
          <w:rtl/>
        </w:rPr>
        <w:tab/>
      </w:r>
    </w:p>
    <w:p w14:paraId="3EB37AAD" w14:textId="77777777" w:rsidR="00BE24C4" w:rsidRDefault="00560FA3">
      <w:pPr>
        <w:spacing w:after="120" w:line="360" w:lineRule="auto"/>
        <w:jc w:val="both"/>
        <w:rPr>
          <w:rFonts w:cs="FrankRuehl"/>
          <w:sz w:val="28"/>
          <w:szCs w:val="28"/>
          <w:rtl/>
        </w:rPr>
      </w:pPr>
      <w:r>
        <w:rPr>
          <w:rFonts w:cs="FrankRuehl" w:hint="cs"/>
          <w:sz w:val="28"/>
          <w:szCs w:val="28"/>
          <w:rtl/>
        </w:rPr>
        <w:t>9.</w:t>
      </w:r>
      <w:r>
        <w:rPr>
          <w:rFonts w:cs="FrankRuehl" w:hint="cs"/>
          <w:sz w:val="28"/>
          <w:szCs w:val="28"/>
          <w:rtl/>
        </w:rPr>
        <w:tab/>
        <w:t xml:space="preserve">אשר </w:t>
      </w:r>
      <w:r>
        <w:rPr>
          <w:rFonts w:cs="FrankRuehl" w:hint="cs"/>
          <w:b/>
          <w:bCs/>
          <w:sz w:val="28"/>
          <w:szCs w:val="28"/>
          <w:rtl/>
        </w:rPr>
        <w:t>לנסיבות ביצוע העבירות</w:t>
      </w:r>
      <w:r>
        <w:rPr>
          <w:rFonts w:cs="FrankRuehl" w:hint="cs"/>
          <w:sz w:val="28"/>
          <w:szCs w:val="28"/>
          <w:rtl/>
        </w:rPr>
        <w:t xml:space="preserve"> - הנאשם הורשע בעבירה אחת של הספקת סם וכן בשלוש עבירות של סחר בסם. העבירות בוצעו בסביבתו של אותו בית בשכונת מגורים בירושלים; מול שלושה אנשים שונים; ובמועדים נפרדים, שכאמור נפרשו על-פני תקופה בת כחצי שנה. לקוּלא יש לציין כי מדובר בסם מסוג חשיש שאינו נחשב מן הסמים המוגדרים כ"קשים". זאת ועוד; הן בנוגע לעבירה הבודדת של הספקת סם והן בנוגע לעבירות של סחר בסם, המדובר בכמויות קטנות יחסית של חשיש (באישום הראשון שעניינו בעבירה של הספקת סם, היה מדובר בחשיש במשקל של </w:t>
      </w:r>
      <w:smartTag w:uri="urn:schemas-microsoft-com:office:smarttags" w:element="metricconverter">
        <w:smartTagPr>
          <w:attr w:name="ProductID" w:val="0.81 גרם"/>
        </w:smartTagPr>
        <w:r>
          <w:rPr>
            <w:rFonts w:cs="FrankRuehl" w:hint="cs"/>
            <w:sz w:val="28"/>
            <w:szCs w:val="28"/>
            <w:rtl/>
          </w:rPr>
          <w:t>0.81 גרם</w:t>
        </w:r>
      </w:smartTag>
      <w:r>
        <w:rPr>
          <w:rFonts w:cs="FrankRuehl" w:hint="cs"/>
          <w:sz w:val="28"/>
          <w:szCs w:val="28"/>
          <w:rtl/>
        </w:rPr>
        <w:t xml:space="preserve"> נטו; באישום השני שעניינו בעבירה של סחר בסם, היה מדובר בחשיש במשקל של </w:t>
      </w:r>
      <w:smartTag w:uri="urn:schemas-microsoft-com:office:smarttags" w:element="metricconverter">
        <w:smartTagPr>
          <w:attr w:name="ProductID" w:val="0.18 גרם"/>
        </w:smartTagPr>
        <w:r>
          <w:rPr>
            <w:rFonts w:cs="FrankRuehl" w:hint="cs"/>
            <w:sz w:val="28"/>
            <w:szCs w:val="28"/>
            <w:rtl/>
          </w:rPr>
          <w:t>0.18 גרם</w:t>
        </w:r>
      </w:smartTag>
      <w:r>
        <w:rPr>
          <w:rFonts w:cs="FrankRuehl" w:hint="cs"/>
          <w:sz w:val="28"/>
          <w:szCs w:val="28"/>
          <w:rtl/>
        </w:rPr>
        <w:t xml:space="preserve"> נטו; באישום השלישי שעניינו בעבירה של סחר בסם, כלל לא מצוין משקלו של הסם; ובאישום החמישי שעניינו אף הוא בעבירה של סחר בסם, היה מדובר בחשיש במשקל של </w:t>
      </w:r>
      <w:smartTag w:uri="urn:schemas-microsoft-com:office:smarttags" w:element="metricconverter">
        <w:smartTagPr>
          <w:attr w:name="ProductID" w:val="1.34 גרם"/>
        </w:smartTagPr>
        <w:r>
          <w:rPr>
            <w:rFonts w:cs="FrankRuehl" w:hint="cs"/>
            <w:sz w:val="28"/>
            <w:szCs w:val="28"/>
            <w:rtl/>
          </w:rPr>
          <w:t>1.34 גרם</w:t>
        </w:r>
      </w:smartTag>
      <w:r>
        <w:rPr>
          <w:rFonts w:cs="FrankRuehl" w:hint="cs"/>
          <w:sz w:val="28"/>
          <w:szCs w:val="28"/>
          <w:rtl/>
        </w:rPr>
        <w:t>). סכומי הכסף תמורתם מכר הנאשם את הסם באישומים השני, השלישי והחמישי היו נמוכים בכל פעם (20 ₪; 50 ₪; ו- 100 ₪). הסיבה שהובילה את הנאשם לביצוע העבירות הינה התמכרותו לסמים. לטענת הנאשם, הוא הצליח לעלות על דרך השיקום למשך מספר שנים בהם היה משוחרר מהכלא, אולם התדרדר לשימוש בסמים לאחר משבר אישי שחווה, בין היתר על רקע סגירת ה"בסטה" ממנה התפרנס לאחר שבמשך שנים ארוכות ריצה עונשי מאסר בכלא.</w:t>
      </w:r>
    </w:p>
    <w:p w14:paraId="0676243B" w14:textId="77777777" w:rsidR="00BE24C4" w:rsidRDefault="00BE24C4">
      <w:pPr>
        <w:spacing w:after="120" w:line="360" w:lineRule="auto"/>
        <w:jc w:val="both"/>
        <w:rPr>
          <w:rFonts w:cs="FrankRuehl"/>
          <w:sz w:val="28"/>
          <w:szCs w:val="28"/>
          <w:rtl/>
        </w:rPr>
      </w:pPr>
    </w:p>
    <w:p w14:paraId="7D5895B1" w14:textId="77777777" w:rsidR="00BE24C4" w:rsidRDefault="00560FA3">
      <w:pPr>
        <w:spacing w:after="120" w:line="360" w:lineRule="auto"/>
        <w:jc w:val="both"/>
        <w:rPr>
          <w:rFonts w:cs="FrankRuehl"/>
          <w:sz w:val="28"/>
          <w:szCs w:val="28"/>
          <w:rtl/>
        </w:rPr>
      </w:pPr>
      <w:r>
        <w:rPr>
          <w:rFonts w:cs="FrankRuehl" w:hint="cs"/>
          <w:sz w:val="28"/>
          <w:szCs w:val="28"/>
          <w:rtl/>
        </w:rPr>
        <w:t>10.</w:t>
      </w:r>
      <w:r>
        <w:rPr>
          <w:rFonts w:cs="FrankRuehl" w:hint="cs"/>
          <w:sz w:val="28"/>
          <w:szCs w:val="28"/>
          <w:rtl/>
        </w:rPr>
        <w:tab/>
        <w:t xml:space="preserve">בחינת </w:t>
      </w:r>
      <w:r>
        <w:rPr>
          <w:rFonts w:cs="FrankRuehl" w:hint="cs"/>
          <w:b/>
          <w:bCs/>
          <w:sz w:val="28"/>
          <w:szCs w:val="28"/>
          <w:rtl/>
        </w:rPr>
        <w:t>הענישה הנוהגת</w:t>
      </w:r>
      <w:r>
        <w:rPr>
          <w:rFonts w:cs="FrankRuehl" w:hint="cs"/>
          <w:sz w:val="28"/>
          <w:szCs w:val="28"/>
          <w:rtl/>
        </w:rPr>
        <w:t xml:space="preserve"> מעלה כי בגין עבירות של הספקת סם וכן סחר בחשיש בכמויות קטנות, נוהגים בתי המשפט להטיל עונשים הנעים מעונשי מאסר בפועל לריצוי בעבודות שירות ועד עונשי מאסר בפועל לריצוי מאחורי סורג ובריח. </w:t>
      </w:r>
    </w:p>
    <w:p w14:paraId="4A739239" w14:textId="77777777" w:rsidR="00BE24C4" w:rsidRDefault="00BE24C4">
      <w:pPr>
        <w:spacing w:after="120" w:line="360" w:lineRule="auto"/>
        <w:ind w:firstLine="720"/>
        <w:jc w:val="both"/>
        <w:rPr>
          <w:rFonts w:cs="FrankRuehl"/>
          <w:sz w:val="28"/>
          <w:szCs w:val="28"/>
          <w:rtl/>
        </w:rPr>
      </w:pPr>
    </w:p>
    <w:p w14:paraId="4EBD7657" w14:textId="77777777" w:rsidR="00BE24C4" w:rsidRDefault="00560FA3">
      <w:pPr>
        <w:spacing w:after="120" w:line="360" w:lineRule="auto"/>
        <w:jc w:val="both"/>
        <w:rPr>
          <w:rFonts w:cs="FrankRuehl"/>
          <w:sz w:val="28"/>
          <w:szCs w:val="28"/>
          <w:rtl/>
        </w:rPr>
      </w:pPr>
      <w:r>
        <w:rPr>
          <w:rFonts w:cs="FrankRuehl" w:hint="cs"/>
          <w:sz w:val="28"/>
          <w:szCs w:val="28"/>
          <w:rtl/>
        </w:rPr>
        <w:t>11.</w:t>
      </w:r>
      <w:r>
        <w:rPr>
          <w:rFonts w:cs="FrankRuehl" w:hint="cs"/>
          <w:sz w:val="28"/>
          <w:szCs w:val="28"/>
          <w:rtl/>
        </w:rPr>
        <w:tab/>
        <w:t xml:space="preserve">בהתחשב בעקרון ההלימה המנחה בענישה; בשים לב לפגיעה בערכים המוגנים; בהתחשב בחומרת המעשים ונסיבות ביצועם; ובהתחשב במדיניות הענישה הנוהגת במקרים דומים; אני סבורה כי </w:t>
      </w:r>
      <w:r>
        <w:rPr>
          <w:rFonts w:cs="FrankRuehl" w:hint="cs"/>
          <w:b/>
          <w:bCs/>
          <w:sz w:val="28"/>
          <w:szCs w:val="28"/>
          <w:rtl/>
        </w:rPr>
        <w:t xml:space="preserve">מתחם העונש ההולם לאישום הראשון </w:t>
      </w:r>
      <w:r>
        <w:rPr>
          <w:rFonts w:cs="FrankRuehl" w:hint="cs"/>
          <w:sz w:val="28"/>
          <w:szCs w:val="28"/>
          <w:rtl/>
        </w:rPr>
        <w:t xml:space="preserve">(שעניינו בעבירה של הספקת סם מסוג חשיש במשקל של </w:t>
      </w:r>
      <w:smartTag w:uri="urn:schemas-microsoft-com:office:smarttags" w:element="metricconverter">
        <w:smartTagPr>
          <w:attr w:name="ProductID" w:val="0.81 גרם"/>
        </w:smartTagPr>
        <w:r>
          <w:rPr>
            <w:rFonts w:cs="FrankRuehl" w:hint="cs"/>
            <w:sz w:val="28"/>
            <w:szCs w:val="28"/>
            <w:rtl/>
          </w:rPr>
          <w:t>0.81 גרם</w:t>
        </w:r>
      </w:smartTag>
      <w:r>
        <w:rPr>
          <w:rFonts w:cs="FrankRuehl" w:hint="cs"/>
          <w:sz w:val="28"/>
          <w:szCs w:val="28"/>
          <w:rtl/>
        </w:rPr>
        <w:t xml:space="preserve"> נטו), נע ממאסר בפועל קצר ועד 10 חודשי מאסר בפועל. </w:t>
      </w:r>
      <w:r>
        <w:rPr>
          <w:rFonts w:cs="FrankRuehl" w:hint="cs"/>
          <w:b/>
          <w:bCs/>
          <w:sz w:val="28"/>
          <w:szCs w:val="28"/>
          <w:rtl/>
        </w:rPr>
        <w:t>מתחם העונש ההולם לכל אחד מהאישומים השני, השלישי והחמישי</w:t>
      </w:r>
      <w:r>
        <w:rPr>
          <w:rFonts w:cs="FrankRuehl" w:hint="cs"/>
          <w:sz w:val="28"/>
          <w:szCs w:val="28"/>
          <w:rtl/>
        </w:rPr>
        <w:t xml:space="preserve"> (שעניינם בעבירה של סחר בסם תמורת 20 ₪, 50 ₪ או 100 ₪ בכל פעם), נע ממספר בודד של חודשי מאסר בפועל ועד 12 חודשי מאסר בפועל לכל אישום. בנסיבות העניין, לא ראיתי לסטות ממתחמי העונש ההולם לקולא או לחומרה. </w:t>
      </w:r>
    </w:p>
    <w:p w14:paraId="5571B515" w14:textId="77777777" w:rsidR="00BE24C4" w:rsidRDefault="00BE24C4">
      <w:pPr>
        <w:spacing w:after="120" w:line="360" w:lineRule="auto"/>
        <w:jc w:val="both"/>
        <w:rPr>
          <w:rFonts w:cs="FrankRuehl"/>
          <w:sz w:val="28"/>
          <w:szCs w:val="28"/>
          <w:rtl/>
        </w:rPr>
      </w:pPr>
    </w:p>
    <w:p w14:paraId="063CB96E" w14:textId="77777777" w:rsidR="00BE24C4" w:rsidRDefault="00560FA3">
      <w:pPr>
        <w:spacing w:after="120" w:line="360" w:lineRule="auto"/>
        <w:jc w:val="both"/>
        <w:rPr>
          <w:rFonts w:cs="FrankRuehl"/>
          <w:sz w:val="28"/>
          <w:szCs w:val="28"/>
          <w:u w:val="single"/>
          <w:rtl/>
        </w:rPr>
      </w:pPr>
      <w:r>
        <w:rPr>
          <w:rFonts w:cs="FrankRuehl" w:hint="cs"/>
          <w:sz w:val="28"/>
          <w:szCs w:val="28"/>
          <w:u w:val="single"/>
          <w:rtl/>
        </w:rPr>
        <w:t>העונש המתאים</w:t>
      </w:r>
    </w:p>
    <w:p w14:paraId="62A2596C" w14:textId="77777777" w:rsidR="00BE24C4" w:rsidRDefault="00560FA3">
      <w:pPr>
        <w:spacing w:after="120" w:line="360" w:lineRule="auto"/>
        <w:jc w:val="both"/>
        <w:rPr>
          <w:rFonts w:cs="Miriam"/>
          <w:rtl/>
        </w:rPr>
      </w:pPr>
      <w:r>
        <w:rPr>
          <w:rFonts w:cs="FrankRuehl" w:hint="cs"/>
          <w:sz w:val="28"/>
          <w:szCs w:val="28"/>
          <w:rtl/>
        </w:rPr>
        <w:t>12.</w:t>
      </w:r>
      <w:r>
        <w:rPr>
          <w:rFonts w:cs="FrankRuehl" w:hint="cs"/>
          <w:sz w:val="28"/>
          <w:szCs w:val="28"/>
          <w:rtl/>
        </w:rPr>
        <w:tab/>
        <w:t xml:space="preserve">לצורך גזירת עונשו של הנאשם בגדרי המתחמים שנקבעו, יש לשקול נסיבות שאינן קשורות לביצוע העבירות כאמוּר </w:t>
      </w:r>
      <w:hyperlink r:id="rId24" w:history="1">
        <w:r w:rsidR="003709C4" w:rsidRPr="003709C4">
          <w:rPr>
            <w:rStyle w:val="Hyperlink"/>
            <w:rFonts w:cs="FrankRuehl" w:hint="eastAsia"/>
            <w:sz w:val="28"/>
            <w:szCs w:val="28"/>
            <w:rtl/>
          </w:rPr>
          <w:t>בסעיף</w:t>
        </w:r>
        <w:r w:rsidR="003709C4" w:rsidRPr="003709C4">
          <w:rPr>
            <w:rStyle w:val="Hyperlink"/>
            <w:rFonts w:cs="FrankRuehl"/>
            <w:sz w:val="28"/>
            <w:szCs w:val="28"/>
            <w:rtl/>
          </w:rPr>
          <w:t xml:space="preserve"> 40יא</w:t>
        </w:r>
      </w:hyperlink>
      <w:r>
        <w:rPr>
          <w:rFonts w:cs="FrankRuehl" w:hint="cs"/>
          <w:sz w:val="28"/>
          <w:szCs w:val="28"/>
          <w:rtl/>
        </w:rPr>
        <w:t xml:space="preserve"> ל</w:t>
      </w:r>
      <w:hyperlink r:id="rId25" w:history="1">
        <w:r w:rsidRPr="00560FA3">
          <w:rPr>
            <w:rFonts w:cs="FrankRuehl"/>
            <w:color w:val="0000FF"/>
            <w:sz w:val="28"/>
            <w:szCs w:val="28"/>
            <w:u w:val="single"/>
            <w:rtl/>
          </w:rPr>
          <w:t>חוק העונשין</w:t>
        </w:r>
      </w:hyperlink>
      <w:r>
        <w:rPr>
          <w:rFonts w:cs="FrankRuehl" w:hint="cs"/>
          <w:sz w:val="28"/>
          <w:szCs w:val="28"/>
          <w:rtl/>
        </w:rPr>
        <w:t xml:space="preserve">. </w:t>
      </w:r>
    </w:p>
    <w:p w14:paraId="094D6160" w14:textId="77777777" w:rsidR="00BE24C4" w:rsidRDefault="00BE24C4">
      <w:pPr>
        <w:spacing w:after="120" w:line="360" w:lineRule="auto"/>
        <w:jc w:val="both"/>
        <w:rPr>
          <w:rFonts w:cs="Miriam"/>
          <w:rtl/>
        </w:rPr>
      </w:pPr>
    </w:p>
    <w:p w14:paraId="789D4AE1" w14:textId="77777777" w:rsidR="00BE24C4" w:rsidRDefault="00560FA3">
      <w:pPr>
        <w:spacing w:after="120" w:line="360" w:lineRule="auto"/>
        <w:jc w:val="both"/>
        <w:rPr>
          <w:rFonts w:cs="FrankRuehl"/>
          <w:sz w:val="28"/>
          <w:szCs w:val="28"/>
          <w:rtl/>
        </w:rPr>
      </w:pPr>
      <w:r>
        <w:rPr>
          <w:rFonts w:cs="FrankRuehl" w:hint="cs"/>
          <w:sz w:val="28"/>
          <w:szCs w:val="28"/>
          <w:rtl/>
        </w:rPr>
        <w:t>13.</w:t>
      </w:r>
      <w:r>
        <w:rPr>
          <w:rFonts w:cs="FrankRuehl" w:hint="cs"/>
          <w:sz w:val="28"/>
          <w:szCs w:val="28"/>
          <w:rtl/>
        </w:rPr>
        <w:tab/>
      </w:r>
      <w:r>
        <w:rPr>
          <w:rFonts w:cs="Miriam" w:hint="cs"/>
          <w:rtl/>
        </w:rPr>
        <w:t>מחד גיסא</w:t>
      </w:r>
      <w:r>
        <w:rPr>
          <w:rFonts w:cs="FrankRuehl" w:hint="cs"/>
          <w:sz w:val="28"/>
          <w:szCs w:val="28"/>
          <w:rtl/>
        </w:rPr>
        <w:t xml:space="preserve">, ראיתי ליתן משקל ממשי להודאת הנאשם וללקיחת האחריות מצידו. עוד לקחתי בחשבון את נסיבותיו האישיות של הנאשם אותן פירט בדבריו לפניי; את העובדה שהנאשם עצור מזה כשישה חודשים (וכידוע תנאי מעצר קשים מתנאי מאסר); וכן את טענת הסנגור לפיה כאשר הנאשם התקשה לעמוד בתנאי מעצר הבית אליו שוחרר בהליך המעצר בנוגע לתיק זה, הוא פנה מיוזמתו לשופט המעצרים ונעצר מחדש, וזאת על-מנת שלא להפר את תנאי השחרור. </w:t>
      </w:r>
    </w:p>
    <w:p w14:paraId="454EA3FB" w14:textId="77777777" w:rsidR="00BE24C4" w:rsidRDefault="00BE24C4">
      <w:pPr>
        <w:spacing w:after="120" w:line="360" w:lineRule="auto"/>
        <w:jc w:val="both"/>
        <w:rPr>
          <w:rFonts w:cs="Miriam"/>
          <w:rtl/>
        </w:rPr>
      </w:pPr>
    </w:p>
    <w:p w14:paraId="74F5B2F7" w14:textId="77777777" w:rsidR="00BE24C4" w:rsidRDefault="00560FA3">
      <w:pPr>
        <w:spacing w:after="120" w:line="360" w:lineRule="auto"/>
        <w:jc w:val="both"/>
        <w:rPr>
          <w:rFonts w:cs="FrankRuehl"/>
          <w:sz w:val="28"/>
          <w:szCs w:val="28"/>
          <w:rtl/>
        </w:rPr>
      </w:pPr>
      <w:r>
        <w:rPr>
          <w:rFonts w:cs="FrankRuehl" w:hint="cs"/>
          <w:sz w:val="28"/>
          <w:szCs w:val="28"/>
          <w:rtl/>
        </w:rPr>
        <w:t>14.</w:t>
      </w:r>
      <w:r>
        <w:rPr>
          <w:rFonts w:cs="FrankRuehl" w:hint="cs"/>
          <w:sz w:val="28"/>
          <w:szCs w:val="28"/>
          <w:rtl/>
        </w:rPr>
        <w:tab/>
      </w:r>
      <w:r>
        <w:rPr>
          <w:rFonts w:cs="Miriam" w:hint="cs"/>
          <w:rtl/>
        </w:rPr>
        <w:t>מאידך גיסא</w:t>
      </w:r>
      <w:r>
        <w:rPr>
          <w:rFonts w:cs="FrankRuehl" w:hint="cs"/>
          <w:sz w:val="28"/>
          <w:szCs w:val="28"/>
          <w:rtl/>
        </w:rPr>
        <w:t xml:space="preserve">, מן הראוי ליתן משקל ממשי לצורך להעביר מסר עונשי ברור כנגד ביצוע עבירות מן הסוג בו עסקינן, על-מנת להרתיע הן את היחיד והן את הרבים מפני הישנות המעשים. העובדה כי לטענת הנאשם היה מדובר ב"סחר נרקומנים" בכמויות קטנות של סם, אינה פוטרת מהצורך במיגור העבירות הנדונות ובהטלת ענישה מוחשית ומרתיעה בגינן. </w:t>
      </w:r>
    </w:p>
    <w:p w14:paraId="10DFA552" w14:textId="77777777" w:rsidR="00BE24C4" w:rsidRDefault="00BE24C4">
      <w:pPr>
        <w:spacing w:after="120" w:line="360" w:lineRule="auto"/>
        <w:jc w:val="both"/>
        <w:rPr>
          <w:rFonts w:cs="FrankRuehl"/>
          <w:sz w:val="28"/>
          <w:szCs w:val="28"/>
          <w:rtl/>
        </w:rPr>
      </w:pPr>
    </w:p>
    <w:p w14:paraId="6ED5EA5E" w14:textId="77777777" w:rsidR="00BE24C4" w:rsidRDefault="00560FA3">
      <w:pPr>
        <w:spacing w:after="120" w:line="360" w:lineRule="auto"/>
        <w:ind w:firstLine="720"/>
        <w:jc w:val="both"/>
        <w:rPr>
          <w:rFonts w:cs="FrankRuehl"/>
          <w:sz w:val="28"/>
          <w:szCs w:val="28"/>
          <w:rtl/>
        </w:rPr>
      </w:pPr>
      <w:r>
        <w:rPr>
          <w:rFonts w:cs="FrankRuehl" w:hint="cs"/>
          <w:sz w:val="28"/>
          <w:szCs w:val="28"/>
          <w:rtl/>
        </w:rPr>
        <w:t xml:space="preserve">זאת ועוד; לחובת הנאשם, יש לשקול את עברו הפלילי המכביד, הכולל הרשעות רבות בשלל עבירות של אלימות ורכוש, החל משנות ה- 80 של המאה הקודמת ואילך. בגין מכלול הרשעותיו, ריצה הנאשם עד היום תקופה מצטברת של עשרות חודשי מאסר בפועל מאחורי סורג ובריח. לצד זאת, יש לציין שניים: </w:t>
      </w:r>
      <w:r>
        <w:rPr>
          <w:rFonts w:cs="Miriam" w:hint="cs"/>
          <w:rtl/>
        </w:rPr>
        <w:t>ראשית</w:t>
      </w:r>
      <w:r>
        <w:rPr>
          <w:rFonts w:cs="FrankRuehl" w:hint="cs"/>
          <w:sz w:val="28"/>
          <w:szCs w:val="28"/>
          <w:rtl/>
        </w:rPr>
        <w:t xml:space="preserve">, הרשעתו הקודמת היחידה של הנאשם בעבירות סמים היתה בשנת 1988 (בגינה הוטל על הנאשם בשעתו עונש של צו מבחן לשנה). מאז אותה הרשעה משנת 1988 ועד התיק הנוכחי, לא הורשע הנאשם בעבירות סמים כלשהן. הדבר מלמד כי אין מדובר באדם שדרך עיסוקו הקבוע לאורך השנים היה בסחר בסמים. </w:t>
      </w:r>
      <w:r>
        <w:rPr>
          <w:rFonts w:cs="Miriam" w:hint="cs"/>
          <w:rtl/>
        </w:rPr>
        <w:t>שנית</w:t>
      </w:r>
      <w:r>
        <w:rPr>
          <w:rFonts w:cs="FrankRuehl" w:hint="cs"/>
          <w:sz w:val="28"/>
          <w:szCs w:val="28"/>
          <w:rtl/>
        </w:rPr>
        <w:t xml:space="preserve">, עיון מדוקדק בגיליון הרישום הפלילי של הנאשם מעלה כי על-אף שהוא עשיר בהרשעות קודמות בעבירות של אלימות ורכוש, הרי משנת 2005 ועד התיק הנוכחי, לא הורשע הנאשם בכל עבירה שהיא (למעט הרשעה בעבירה של הסגת גבול פלילית משנת 2013, שעניינה היה בכך שהנאשם פלש לדירת עמידר שהיתה בחזקת קרוב משפחתו שנפטר, והתגורר בה. בגין אותה הרשעה, הוטלה על הנאשם ענישה צופה פני עתיד: </w:t>
      </w:r>
      <w:hyperlink r:id="rId26" w:history="1">
        <w:r w:rsidRPr="00560FA3">
          <w:rPr>
            <w:rFonts w:cs="FrankRuehl"/>
            <w:color w:val="0000FF"/>
            <w:sz w:val="28"/>
            <w:szCs w:val="28"/>
            <w:u w:val="single"/>
            <w:rtl/>
          </w:rPr>
          <w:t>ת"פ (י-ם) 43955-02-13</w:t>
        </w:r>
      </w:hyperlink>
      <w:r>
        <w:rPr>
          <w:rFonts w:cs="FrankRuehl" w:hint="cs"/>
          <w:sz w:val="28"/>
          <w:szCs w:val="28"/>
          <w:rtl/>
        </w:rPr>
        <w:t>). מכאן שבמשך מספר שנים ניכר, הצליח הנאשם להימנע מהסתבכויות משמעותיות עם החוק.</w:t>
      </w:r>
    </w:p>
    <w:p w14:paraId="1F8CFF1A" w14:textId="77777777" w:rsidR="00BE24C4" w:rsidRDefault="00BE24C4">
      <w:pPr>
        <w:spacing w:after="120" w:line="360" w:lineRule="auto"/>
        <w:jc w:val="both"/>
        <w:rPr>
          <w:rFonts w:cs="FrankRuehl"/>
          <w:sz w:val="28"/>
          <w:szCs w:val="28"/>
          <w:rtl/>
        </w:rPr>
      </w:pPr>
    </w:p>
    <w:p w14:paraId="7F235219" w14:textId="77777777" w:rsidR="00BE24C4" w:rsidRDefault="00560FA3">
      <w:pPr>
        <w:pStyle w:val="Ruller40"/>
        <w:rPr>
          <w:rtl/>
        </w:rPr>
      </w:pPr>
      <w:r>
        <w:rPr>
          <w:rFonts w:hint="cs"/>
          <w:rtl/>
        </w:rPr>
        <w:t>15</w:t>
      </w:r>
      <w:r>
        <w:rPr>
          <w:rFonts w:ascii="Times New Roman" w:hAnsi="Times New Roman" w:hint="cs"/>
          <w:spacing w:val="0"/>
          <w:rtl/>
        </w:rPr>
        <w:t>.</w:t>
      </w:r>
      <w:r>
        <w:rPr>
          <w:rFonts w:ascii="Times New Roman" w:hAnsi="Times New Roman" w:hint="cs"/>
          <w:spacing w:val="0"/>
          <w:rtl/>
        </w:rPr>
        <w:tab/>
        <w:t>בסופה של דרך, באיזון בין מכלול השיקולים שפורטו לקולא ולחומרה, ראיתי לגזור על הנאשם בגין כל אישום עונש מאסר בפועל המצוי קרוב לרף הבינוני של המתחמים שנקבעו, וזאת לצד הטלת עונש מאסר מותנה הצופה פני עתיד. נוכח מכלול הנסיבות לקולא, ראיתי לחפוף במידה חלקית את העונשים בגין כל אחת מהעבירות בהן הנאשם הורשע, וזאת במסגרת קביעת העונש הכולל כאמור בסוף פיסקה 6 לעיל.</w:t>
      </w:r>
    </w:p>
    <w:p w14:paraId="09117821" w14:textId="77777777" w:rsidR="00BE24C4" w:rsidRDefault="00BE24C4">
      <w:pPr>
        <w:pStyle w:val="Ruller40"/>
        <w:rPr>
          <w:rtl/>
        </w:rPr>
      </w:pPr>
    </w:p>
    <w:p w14:paraId="7E3A44F4" w14:textId="77777777" w:rsidR="00BE24C4" w:rsidRDefault="00560FA3">
      <w:pPr>
        <w:pStyle w:val="Ruller40"/>
        <w:rPr>
          <w:u w:val="single"/>
          <w:rtl/>
        </w:rPr>
      </w:pPr>
      <w:r>
        <w:rPr>
          <w:rFonts w:hint="cs"/>
          <w:u w:val="single"/>
          <w:rtl/>
        </w:rPr>
        <w:t>סוף דבר</w:t>
      </w:r>
    </w:p>
    <w:p w14:paraId="1C7442F9" w14:textId="77777777" w:rsidR="00BE24C4" w:rsidRDefault="00560FA3">
      <w:pPr>
        <w:spacing w:after="120" w:line="360" w:lineRule="auto"/>
        <w:jc w:val="both"/>
        <w:rPr>
          <w:rFonts w:cs="FrankRuehl"/>
          <w:sz w:val="28"/>
          <w:szCs w:val="28"/>
          <w:rtl/>
        </w:rPr>
      </w:pPr>
      <w:r>
        <w:rPr>
          <w:rFonts w:cs="FrankRuehl" w:hint="cs"/>
          <w:sz w:val="28"/>
          <w:szCs w:val="28"/>
          <w:rtl/>
        </w:rPr>
        <w:t>16.</w:t>
      </w:r>
      <w:r>
        <w:rPr>
          <w:rFonts w:cs="FrankRuehl" w:hint="cs"/>
          <w:sz w:val="28"/>
          <w:szCs w:val="28"/>
          <w:rtl/>
        </w:rPr>
        <w:tab/>
        <w:t>אשר על כן, אני גוזרת על הנאשם את העונשים הבאים:</w:t>
      </w:r>
    </w:p>
    <w:p w14:paraId="333A0786" w14:textId="77777777" w:rsidR="00BE24C4" w:rsidRDefault="00560FA3">
      <w:pPr>
        <w:spacing w:after="120" w:line="360" w:lineRule="auto"/>
        <w:jc w:val="both"/>
        <w:rPr>
          <w:rFonts w:cs="FrankRuehl"/>
          <w:sz w:val="28"/>
          <w:szCs w:val="28"/>
          <w:rtl/>
        </w:rPr>
      </w:pPr>
      <w:r>
        <w:rPr>
          <w:rFonts w:cs="FrankRuehl" w:hint="cs"/>
          <w:sz w:val="28"/>
          <w:szCs w:val="28"/>
          <w:rtl/>
        </w:rPr>
        <w:t>א.</w:t>
      </w:r>
      <w:r>
        <w:rPr>
          <w:rFonts w:cs="FrankRuehl" w:hint="cs"/>
          <w:sz w:val="28"/>
          <w:szCs w:val="28"/>
          <w:rtl/>
        </w:rPr>
        <w:tab/>
        <w:t xml:space="preserve">9 חודשי מאסר בפועל, בניכוי ימי מעצרו. </w:t>
      </w:r>
    </w:p>
    <w:p w14:paraId="543F7AF1" w14:textId="77777777" w:rsidR="00BE24C4" w:rsidRDefault="00560FA3">
      <w:pPr>
        <w:spacing w:after="120" w:line="360" w:lineRule="auto"/>
        <w:jc w:val="both"/>
        <w:rPr>
          <w:rFonts w:cs="FrankRuehl"/>
          <w:sz w:val="28"/>
          <w:szCs w:val="28"/>
          <w:rtl/>
        </w:rPr>
      </w:pPr>
      <w:r>
        <w:rPr>
          <w:rFonts w:cs="FrankRuehl" w:hint="cs"/>
          <w:sz w:val="28"/>
          <w:szCs w:val="28"/>
          <w:rtl/>
        </w:rPr>
        <w:t>ב.</w:t>
      </w:r>
      <w:r>
        <w:rPr>
          <w:rFonts w:cs="FrankRuehl" w:hint="cs"/>
          <w:sz w:val="28"/>
          <w:szCs w:val="28"/>
          <w:rtl/>
        </w:rPr>
        <w:tab/>
        <w:t>מאסר על תנאי לתקופה של 7 חודשים למשך שלוש שנים מיום השחרור ממאסר. התנאי הוא שהנאשם לא יעבור כל עבירת סמים מסוג פשע.</w:t>
      </w:r>
    </w:p>
    <w:p w14:paraId="225C5288" w14:textId="77777777" w:rsidR="00BE24C4" w:rsidRDefault="00560FA3">
      <w:pPr>
        <w:spacing w:after="120" w:line="360" w:lineRule="auto"/>
        <w:jc w:val="both"/>
        <w:rPr>
          <w:rFonts w:cs="FrankRuehl"/>
          <w:sz w:val="28"/>
          <w:szCs w:val="28"/>
          <w:rtl/>
        </w:rPr>
      </w:pPr>
      <w:r>
        <w:rPr>
          <w:rFonts w:cs="FrankRuehl" w:hint="cs"/>
          <w:sz w:val="28"/>
          <w:szCs w:val="28"/>
          <w:rtl/>
        </w:rPr>
        <w:t>ג.</w:t>
      </w:r>
      <w:r>
        <w:rPr>
          <w:rFonts w:cs="FrankRuehl" w:hint="cs"/>
          <w:sz w:val="28"/>
          <w:szCs w:val="28"/>
          <w:rtl/>
        </w:rPr>
        <w:tab/>
        <w:t>מאסר על תנאי לתקופה של 4 חודשים למשך שלוש שנים מיום השחרור ממאסר. התנאי הוא שהנאשם לא יעבור כל עבירת סמים מסוג עוון.</w:t>
      </w:r>
    </w:p>
    <w:p w14:paraId="4AD70339" w14:textId="77777777" w:rsidR="00BE24C4" w:rsidRDefault="00560FA3">
      <w:pPr>
        <w:spacing w:after="120" w:line="360" w:lineRule="auto"/>
        <w:jc w:val="both"/>
        <w:rPr>
          <w:rFonts w:cs="FrankRuehl"/>
          <w:sz w:val="28"/>
          <w:szCs w:val="28"/>
          <w:rtl/>
        </w:rPr>
      </w:pPr>
      <w:r>
        <w:rPr>
          <w:rFonts w:cs="FrankRuehl" w:hint="cs"/>
          <w:sz w:val="28"/>
          <w:szCs w:val="28"/>
          <w:rtl/>
        </w:rPr>
        <w:t>ד.</w:t>
      </w:r>
      <w:r>
        <w:rPr>
          <w:rFonts w:cs="FrankRuehl" w:hint="cs"/>
          <w:sz w:val="28"/>
          <w:szCs w:val="28"/>
          <w:rtl/>
        </w:rPr>
        <w:tab/>
        <w:t>ככל שנתפסו סמים, יש להשמידם.</w:t>
      </w:r>
    </w:p>
    <w:p w14:paraId="35A3770D" w14:textId="77777777" w:rsidR="00BE24C4" w:rsidRDefault="00560FA3">
      <w:pPr>
        <w:pStyle w:val="Ruller40"/>
        <w:rPr>
          <w:b/>
          <w:bCs/>
          <w:rtl/>
        </w:rPr>
      </w:pPr>
      <w:r>
        <w:rPr>
          <w:rFonts w:hint="cs"/>
          <w:b/>
          <w:bCs/>
          <w:rtl/>
        </w:rPr>
        <w:tab/>
      </w:r>
    </w:p>
    <w:p w14:paraId="5B1B034A" w14:textId="77777777" w:rsidR="00BE24C4" w:rsidRDefault="00560FA3">
      <w:pPr>
        <w:pStyle w:val="Ruller40"/>
        <w:rPr>
          <w:b/>
          <w:bCs/>
          <w:rtl/>
        </w:rPr>
      </w:pPr>
      <w:r>
        <w:rPr>
          <w:rFonts w:hint="cs"/>
          <w:b/>
          <w:bCs/>
          <w:rtl/>
        </w:rPr>
        <w:tab/>
        <w:t>זכות ערעור לבית-המשפט המחוזי בתוך 45 ימים מהיום.</w:t>
      </w:r>
    </w:p>
    <w:p w14:paraId="365A185B" w14:textId="77777777" w:rsidR="00BE24C4" w:rsidRDefault="00560FA3">
      <w:pPr>
        <w:spacing w:line="360" w:lineRule="auto"/>
        <w:jc w:val="both"/>
        <w:rPr>
          <w:rtl/>
        </w:rPr>
      </w:pPr>
      <w:r>
        <w:rPr>
          <w:rFonts w:hint="cs"/>
          <w:rtl/>
        </w:rPr>
        <w:t xml:space="preserve"> </w:t>
      </w:r>
    </w:p>
    <w:p w14:paraId="3965392B" w14:textId="77777777" w:rsidR="00BE24C4" w:rsidRDefault="00560FA3">
      <w:pPr>
        <w:spacing w:line="360" w:lineRule="auto"/>
        <w:jc w:val="both"/>
        <w:rPr>
          <w:sz w:val="6"/>
          <w:szCs w:val="6"/>
          <w:rtl/>
        </w:rPr>
      </w:pPr>
      <w:r>
        <w:rPr>
          <w:rFonts w:hint="cs"/>
          <w:sz w:val="6"/>
          <w:szCs w:val="6"/>
          <w:rtl/>
        </w:rPr>
        <w:t>&lt;#4#&gt;</w:t>
      </w:r>
    </w:p>
    <w:p w14:paraId="7B4F05DA" w14:textId="77777777" w:rsidR="00BE24C4" w:rsidRPr="00560FA3" w:rsidRDefault="00560FA3">
      <w:pPr>
        <w:jc w:val="right"/>
        <w:rPr>
          <w:color w:val="FFFFFF"/>
          <w:sz w:val="2"/>
          <w:szCs w:val="2"/>
          <w:rtl/>
        </w:rPr>
      </w:pPr>
      <w:r w:rsidRPr="00560FA3">
        <w:rPr>
          <w:color w:val="FFFFFF"/>
          <w:sz w:val="2"/>
          <w:szCs w:val="2"/>
          <w:rtl/>
        </w:rPr>
        <w:t>5129371</w:t>
      </w:r>
    </w:p>
    <w:p w14:paraId="21A0773B" w14:textId="77777777" w:rsidR="00BE24C4" w:rsidRDefault="00560FA3">
      <w:pPr>
        <w:rPr>
          <w:rFonts w:cs="FrankRuehl"/>
          <w:sz w:val="28"/>
          <w:szCs w:val="28"/>
          <w:rtl/>
        </w:rPr>
      </w:pPr>
      <w:r w:rsidRPr="00560FA3">
        <w:rPr>
          <w:rFonts w:ascii="Arial" w:hAnsi="Arial" w:cs="FrankRuehl"/>
          <w:b/>
          <w:bCs/>
          <w:color w:val="FFFFFF"/>
          <w:sz w:val="2"/>
          <w:szCs w:val="2"/>
          <w:rtl/>
        </w:rPr>
        <w:t>54678313</w:t>
      </w:r>
      <w:r>
        <w:rPr>
          <w:rFonts w:ascii="Arial" w:hAnsi="Arial" w:cs="FrankRuehl"/>
          <w:b/>
          <w:bCs/>
          <w:sz w:val="28"/>
          <w:szCs w:val="28"/>
          <w:rtl/>
        </w:rPr>
        <w:t xml:space="preserve">ניתן היום,  י"ב אלול תשע"ד, 07 ספטמבר 2014, במעמד הצדדים.  </w:t>
      </w:r>
    </w:p>
    <w:p w14:paraId="240ACFCD" w14:textId="77777777" w:rsidR="00BE24C4" w:rsidRDefault="00BE24C4">
      <w:pPr>
        <w:jc w:val="right"/>
      </w:pPr>
    </w:p>
    <w:p w14:paraId="4DD2BC3F" w14:textId="77777777" w:rsidR="00BE24C4" w:rsidRDefault="00BE24C4">
      <w:pPr>
        <w:jc w:val="right"/>
        <w:rPr>
          <w:rFonts w:ascii="Arial" w:hAnsi="Arial" w:cs="FrankRuehl"/>
          <w:sz w:val="28"/>
          <w:szCs w:val="28"/>
          <w:rtl/>
        </w:rPr>
      </w:pPr>
    </w:p>
    <w:p w14:paraId="288C8F62" w14:textId="77777777" w:rsidR="00BE24C4" w:rsidRDefault="00BE24C4">
      <w:pPr>
        <w:rPr>
          <w:rFonts w:cs="FrankRuehl"/>
          <w:sz w:val="28"/>
          <w:szCs w:val="28"/>
          <w:rtl/>
        </w:rPr>
      </w:pPr>
    </w:p>
    <w:p w14:paraId="33657BEB" w14:textId="77777777" w:rsidR="00BE24C4" w:rsidRDefault="00BE24C4">
      <w:pPr>
        <w:pStyle w:val="a3"/>
        <w:jc w:val="center"/>
        <w:rPr>
          <w:rtl/>
        </w:rPr>
      </w:pPr>
    </w:p>
    <w:p w14:paraId="574FADA0" w14:textId="77777777" w:rsidR="00560FA3" w:rsidRPr="00560FA3" w:rsidRDefault="00560FA3" w:rsidP="00560FA3">
      <w:pPr>
        <w:keepNext/>
        <w:rPr>
          <w:rFonts w:ascii="David" w:hAnsi="David"/>
          <w:color w:val="000000"/>
          <w:sz w:val="22"/>
          <w:szCs w:val="22"/>
          <w:rtl/>
        </w:rPr>
      </w:pPr>
    </w:p>
    <w:p w14:paraId="26C4C95D" w14:textId="77777777" w:rsidR="00560FA3" w:rsidRPr="00560FA3" w:rsidRDefault="00560FA3" w:rsidP="00560FA3">
      <w:pPr>
        <w:keepNext/>
        <w:rPr>
          <w:rFonts w:ascii="David" w:hAnsi="David"/>
          <w:color w:val="000000"/>
          <w:sz w:val="22"/>
          <w:szCs w:val="22"/>
          <w:rtl/>
        </w:rPr>
      </w:pPr>
      <w:r w:rsidRPr="00560FA3">
        <w:rPr>
          <w:rFonts w:ascii="David" w:hAnsi="David"/>
          <w:color w:val="000000"/>
          <w:sz w:val="22"/>
          <w:szCs w:val="22"/>
          <w:rtl/>
        </w:rPr>
        <w:t>דנה כהן לקח 54678313</w:t>
      </w:r>
    </w:p>
    <w:p w14:paraId="666DC063" w14:textId="77777777" w:rsidR="00560FA3" w:rsidRDefault="00560FA3" w:rsidP="00560FA3">
      <w:r w:rsidRPr="00560FA3">
        <w:rPr>
          <w:color w:val="000000"/>
          <w:rtl/>
        </w:rPr>
        <w:t>נוסח מסמך זה כפוף לשינויי ניסוח ועריכה</w:t>
      </w:r>
    </w:p>
    <w:p w14:paraId="1B7A7A5F" w14:textId="77777777" w:rsidR="00560FA3" w:rsidRDefault="00560FA3" w:rsidP="00560FA3">
      <w:pPr>
        <w:rPr>
          <w:rtl/>
        </w:rPr>
      </w:pPr>
    </w:p>
    <w:p w14:paraId="44B55146" w14:textId="77777777" w:rsidR="00560FA3" w:rsidRDefault="00560FA3" w:rsidP="00560FA3">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7AFBBE32" w14:textId="77777777" w:rsidR="00BE24C4" w:rsidRPr="00560FA3" w:rsidRDefault="00BE24C4" w:rsidP="00560FA3">
      <w:pPr>
        <w:jc w:val="center"/>
        <w:rPr>
          <w:color w:val="0000FF"/>
          <w:u w:val="single"/>
        </w:rPr>
      </w:pPr>
    </w:p>
    <w:sectPr w:rsidR="00BE24C4" w:rsidRPr="00560FA3" w:rsidSect="00560FA3">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CA4DD7" w14:textId="77777777" w:rsidR="007F371C" w:rsidRPr="002C64D3" w:rsidRDefault="007F371C">
      <w:pPr>
        <w:rPr>
          <w:rFonts w:cs="Arial"/>
          <w:szCs w:val="20"/>
        </w:rPr>
      </w:pPr>
      <w:r>
        <w:separator/>
      </w:r>
    </w:p>
  </w:endnote>
  <w:endnote w:type="continuationSeparator" w:id="0">
    <w:p w14:paraId="10A8765A" w14:textId="77777777" w:rsidR="007F371C" w:rsidRPr="002C64D3" w:rsidRDefault="007F371C">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E3A5E" w14:textId="77777777" w:rsidR="00560FA3" w:rsidRDefault="00560FA3" w:rsidP="00560FA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8B1F28E" w14:textId="77777777" w:rsidR="00BE24C4" w:rsidRPr="00560FA3" w:rsidRDefault="00560FA3" w:rsidP="00560FA3">
    <w:pPr>
      <w:pStyle w:val="a4"/>
      <w:pBdr>
        <w:top w:val="single" w:sz="4" w:space="1" w:color="auto"/>
        <w:between w:val="single" w:sz="4" w:space="0" w:color="auto"/>
      </w:pBdr>
      <w:spacing w:after="60"/>
      <w:jc w:val="center"/>
      <w:rPr>
        <w:rFonts w:ascii="FrankRuehl" w:hAnsi="FrankRuehl" w:cs="FrankRuehl"/>
        <w:color w:val="000000"/>
      </w:rPr>
    </w:pPr>
    <w:r w:rsidRPr="00560FA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9B00A" w14:textId="77777777" w:rsidR="00560FA3" w:rsidRDefault="00560FA3" w:rsidP="00560FA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E533D">
      <w:rPr>
        <w:rFonts w:ascii="FrankRuehl" w:hAnsi="FrankRuehl" w:cs="FrankRuehl"/>
        <w:noProof/>
        <w:rtl/>
      </w:rPr>
      <w:t>1</w:t>
    </w:r>
    <w:r>
      <w:rPr>
        <w:rFonts w:ascii="FrankRuehl" w:hAnsi="FrankRuehl" w:cs="FrankRuehl"/>
        <w:rtl/>
      </w:rPr>
      <w:fldChar w:fldCharType="end"/>
    </w:r>
  </w:p>
  <w:p w14:paraId="5B5363C5" w14:textId="77777777" w:rsidR="00BE24C4" w:rsidRPr="00560FA3" w:rsidRDefault="00560FA3" w:rsidP="00560FA3">
    <w:pPr>
      <w:pStyle w:val="a4"/>
      <w:pBdr>
        <w:top w:val="single" w:sz="4" w:space="1" w:color="auto"/>
        <w:between w:val="single" w:sz="4" w:space="0" w:color="auto"/>
      </w:pBdr>
      <w:spacing w:after="60"/>
      <w:jc w:val="center"/>
      <w:rPr>
        <w:rFonts w:ascii="FrankRuehl" w:hAnsi="FrankRuehl" w:cs="FrankRuehl"/>
        <w:color w:val="000000"/>
      </w:rPr>
    </w:pPr>
    <w:r w:rsidRPr="00560FA3">
      <w:rPr>
        <w:rFonts w:ascii="FrankRuehl" w:hAnsi="FrankRuehl" w:cs="FrankRuehl"/>
        <w:color w:val="000000"/>
      </w:rPr>
      <w:pict w14:anchorId="4D1DFD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9C16FC" w14:textId="77777777" w:rsidR="007F371C" w:rsidRPr="002C64D3" w:rsidRDefault="007F371C">
      <w:pPr>
        <w:rPr>
          <w:rFonts w:cs="Arial"/>
          <w:szCs w:val="20"/>
        </w:rPr>
      </w:pPr>
      <w:r>
        <w:separator/>
      </w:r>
    </w:p>
  </w:footnote>
  <w:footnote w:type="continuationSeparator" w:id="0">
    <w:p w14:paraId="4C599308" w14:textId="77777777" w:rsidR="007F371C" w:rsidRPr="002C64D3" w:rsidRDefault="007F371C">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4A0670" w14:textId="77777777" w:rsidR="00560FA3" w:rsidRPr="00560FA3" w:rsidRDefault="00560FA3" w:rsidP="00560FA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47156-02-14</w:t>
    </w:r>
    <w:r>
      <w:rPr>
        <w:rFonts w:ascii="David" w:hAnsi="David"/>
        <w:color w:val="000000"/>
        <w:sz w:val="22"/>
        <w:szCs w:val="22"/>
        <w:rtl/>
      </w:rPr>
      <w:tab/>
      <w:t xml:space="preserve"> מדינת ישראל נ' רפאל נחום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9FA00" w14:textId="77777777" w:rsidR="00560FA3" w:rsidRPr="00560FA3" w:rsidRDefault="00560FA3" w:rsidP="00560FA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47156-02-14</w:t>
    </w:r>
    <w:r>
      <w:rPr>
        <w:rFonts w:ascii="David" w:hAnsi="David"/>
        <w:color w:val="000000"/>
        <w:sz w:val="22"/>
        <w:szCs w:val="22"/>
        <w:rtl/>
      </w:rPr>
      <w:tab/>
      <w:t xml:space="preserve"> מדינת ישראל נ' רפאל נחום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E24C4"/>
    <w:rsid w:val="000E533D"/>
    <w:rsid w:val="00250560"/>
    <w:rsid w:val="003709C4"/>
    <w:rsid w:val="004F10CC"/>
    <w:rsid w:val="00560FA3"/>
    <w:rsid w:val="007F371C"/>
    <w:rsid w:val="00A62376"/>
    <w:rsid w:val="00BE24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0E2140ED"/>
  <w15:chartTrackingRefBased/>
  <w15:docId w15:val="{4CBE3F39-7434-47A4-85EC-C0789BE2B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E24C4"/>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BE24C4"/>
    <w:pPr>
      <w:tabs>
        <w:tab w:val="center" w:pos="4153"/>
        <w:tab w:val="right" w:pos="8306"/>
      </w:tabs>
    </w:pPr>
  </w:style>
  <w:style w:type="paragraph" w:styleId="a4">
    <w:name w:val="footer"/>
    <w:basedOn w:val="a"/>
    <w:rsid w:val="00BE24C4"/>
    <w:pPr>
      <w:tabs>
        <w:tab w:val="center" w:pos="4153"/>
        <w:tab w:val="right" w:pos="8306"/>
      </w:tabs>
    </w:pPr>
  </w:style>
  <w:style w:type="character" w:styleId="a5">
    <w:name w:val="page number"/>
    <w:basedOn w:val="a0"/>
    <w:rsid w:val="00BE24C4"/>
  </w:style>
  <w:style w:type="character" w:customStyle="1" w:styleId="Ruller4">
    <w:name w:val="Ruller4 תו"/>
    <w:link w:val="Ruller40"/>
    <w:locked/>
    <w:rsid w:val="00BE24C4"/>
    <w:rPr>
      <w:rFonts w:ascii="Arial TUR" w:hAnsi="Arial TUR"/>
      <w:spacing w:val="10"/>
      <w:sz w:val="28"/>
      <w:szCs w:val="28"/>
      <w:lang w:bidi="he-IL"/>
    </w:rPr>
  </w:style>
  <w:style w:type="paragraph" w:customStyle="1" w:styleId="Ruller40">
    <w:name w:val="Ruller4"/>
    <w:basedOn w:val="a"/>
    <w:link w:val="Ruller4"/>
    <w:rsid w:val="00BE24C4"/>
    <w:pPr>
      <w:tabs>
        <w:tab w:val="left" w:pos="800"/>
      </w:tabs>
      <w:overflowPunct w:val="0"/>
      <w:autoSpaceDE w:val="0"/>
      <w:autoSpaceDN w:val="0"/>
      <w:adjustRightInd w:val="0"/>
      <w:spacing w:line="360" w:lineRule="auto"/>
      <w:jc w:val="both"/>
    </w:pPr>
    <w:rPr>
      <w:rFonts w:ascii="Arial TUR" w:hAnsi="Arial TUR" w:cs="Times New Roman"/>
      <w:spacing w:val="10"/>
      <w:sz w:val="28"/>
      <w:szCs w:val="28"/>
    </w:rPr>
  </w:style>
  <w:style w:type="character" w:styleId="Hyperlink">
    <w:name w:val="Hyperlink"/>
    <w:basedOn w:val="a0"/>
    <w:rsid w:val="00560F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6554836" TargetMode="External"/><Relationship Id="rId3" Type="http://schemas.openxmlformats.org/officeDocument/2006/relationships/webSettings" Target="webSettings.xml"/><Relationship Id="rId21" Type="http://schemas.openxmlformats.org/officeDocument/2006/relationships/hyperlink" Target="http://www.nevo.co.il/law/70301/40jc.b" TargetMode="External"/><Relationship Id="rId7" Type="http://schemas.openxmlformats.org/officeDocument/2006/relationships/hyperlink" Target="http://www.nevo.co.il/law/4216/13" TargetMode="External"/><Relationship Id="rId12" Type="http://schemas.openxmlformats.org/officeDocument/2006/relationships/hyperlink" Target="http://www.nevo.co.il/law/70301/40jc.b" TargetMode="External"/><Relationship Id="rId17" Type="http://schemas.openxmlformats.org/officeDocument/2006/relationships/hyperlink" Target="http://www.nevo.co.il/law/70301/40jc.b" TargetMode="External"/><Relationship Id="rId25" Type="http://schemas.openxmlformats.org/officeDocument/2006/relationships/hyperlink" Target="http://www.nevo.co.il/law/70301"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case/5605484" TargetMode="External"/><Relationship Id="rId20" Type="http://schemas.openxmlformats.org/officeDocument/2006/relationships/hyperlink" Target="http://www.nevo.co.il/case/7971983" TargetMode="External"/><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40ja" TargetMode="External"/><Relationship Id="rId24" Type="http://schemas.openxmlformats.org/officeDocument/2006/relationships/hyperlink" Target="http://www.nevo.co.il/law/70301/40ja"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law/70301" TargetMode="External"/><Relationship Id="rId28" Type="http://schemas.openxmlformats.org/officeDocument/2006/relationships/header" Target="header1.xml"/><Relationship Id="rId10" Type="http://schemas.openxmlformats.org/officeDocument/2006/relationships/hyperlink" Target="http://www.nevo.co.il/law/70301/40c.a" TargetMode="External"/><Relationship Id="rId19" Type="http://schemas.openxmlformats.org/officeDocument/2006/relationships/hyperlink" Target="http://www.nevo.co.il/case/11300869" TargetMode="External"/><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4216/19a" TargetMode="External"/><Relationship Id="rId22" Type="http://schemas.openxmlformats.org/officeDocument/2006/relationships/hyperlink" Target="http://www.nevo.co.il/law/70301/40c.a"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4216/19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1734</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10384</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3997814</vt:i4>
      </vt:variant>
      <vt:variant>
        <vt:i4>60</vt:i4>
      </vt:variant>
      <vt:variant>
        <vt:i4>0</vt:i4>
      </vt:variant>
      <vt:variant>
        <vt:i4>5</vt:i4>
      </vt:variant>
      <vt:variant>
        <vt:lpwstr>http://www.nevo.co.il/case/6554836</vt:lpwstr>
      </vt:variant>
      <vt:variant>
        <vt:lpwstr/>
      </vt:variant>
      <vt:variant>
        <vt:i4>7995492</vt:i4>
      </vt:variant>
      <vt:variant>
        <vt:i4>57</vt:i4>
      </vt:variant>
      <vt:variant>
        <vt:i4>0</vt:i4>
      </vt:variant>
      <vt:variant>
        <vt:i4>5</vt:i4>
      </vt:variant>
      <vt:variant>
        <vt:lpwstr>http://www.nevo.co.il/law/70301</vt:lpwstr>
      </vt:variant>
      <vt:variant>
        <vt:lpwstr/>
      </vt:variant>
      <vt:variant>
        <vt:i4>262155</vt:i4>
      </vt:variant>
      <vt:variant>
        <vt:i4>54</vt:i4>
      </vt:variant>
      <vt:variant>
        <vt:i4>0</vt:i4>
      </vt:variant>
      <vt:variant>
        <vt:i4>5</vt:i4>
      </vt:variant>
      <vt:variant>
        <vt:lpwstr>http://www.nevo.co.il/law/70301/40ja</vt:lpwstr>
      </vt:variant>
      <vt:variant>
        <vt:lpwstr/>
      </vt:variant>
      <vt:variant>
        <vt:i4>7995492</vt:i4>
      </vt:variant>
      <vt:variant>
        <vt:i4>51</vt:i4>
      </vt:variant>
      <vt:variant>
        <vt:i4>0</vt:i4>
      </vt:variant>
      <vt:variant>
        <vt:i4>5</vt:i4>
      </vt:variant>
      <vt:variant>
        <vt:lpwstr>http://www.nevo.co.il/law/70301</vt:lpwstr>
      </vt:variant>
      <vt:variant>
        <vt:lpwstr/>
      </vt:variant>
      <vt:variant>
        <vt:i4>4915202</vt:i4>
      </vt:variant>
      <vt:variant>
        <vt:i4>48</vt:i4>
      </vt:variant>
      <vt:variant>
        <vt:i4>0</vt:i4>
      </vt:variant>
      <vt:variant>
        <vt:i4>5</vt:i4>
      </vt:variant>
      <vt:variant>
        <vt:lpwstr>http://www.nevo.co.il/law/70301/40c.a</vt:lpwstr>
      </vt:variant>
      <vt:variant>
        <vt:lpwstr/>
      </vt:variant>
      <vt:variant>
        <vt:i4>6553637</vt:i4>
      </vt:variant>
      <vt:variant>
        <vt:i4>45</vt:i4>
      </vt:variant>
      <vt:variant>
        <vt:i4>0</vt:i4>
      </vt:variant>
      <vt:variant>
        <vt:i4>5</vt:i4>
      </vt:variant>
      <vt:variant>
        <vt:lpwstr>http://www.nevo.co.il/law/70301/40jc.b</vt:lpwstr>
      </vt:variant>
      <vt:variant>
        <vt:lpwstr/>
      </vt:variant>
      <vt:variant>
        <vt:i4>3801204</vt:i4>
      </vt:variant>
      <vt:variant>
        <vt:i4>42</vt:i4>
      </vt:variant>
      <vt:variant>
        <vt:i4>0</vt:i4>
      </vt:variant>
      <vt:variant>
        <vt:i4>5</vt:i4>
      </vt:variant>
      <vt:variant>
        <vt:lpwstr>http://www.nevo.co.il/case/7971983</vt:lpwstr>
      </vt:variant>
      <vt:variant>
        <vt:lpwstr/>
      </vt:variant>
      <vt:variant>
        <vt:i4>3407997</vt:i4>
      </vt:variant>
      <vt:variant>
        <vt:i4>39</vt:i4>
      </vt:variant>
      <vt:variant>
        <vt:i4>0</vt:i4>
      </vt:variant>
      <vt:variant>
        <vt:i4>5</vt:i4>
      </vt:variant>
      <vt:variant>
        <vt:lpwstr>http://www.nevo.co.il/case/11300869</vt:lpwstr>
      </vt:variant>
      <vt:variant>
        <vt:lpwstr/>
      </vt:variant>
      <vt:variant>
        <vt:i4>7995492</vt:i4>
      </vt:variant>
      <vt:variant>
        <vt:i4>36</vt:i4>
      </vt:variant>
      <vt:variant>
        <vt:i4>0</vt:i4>
      </vt:variant>
      <vt:variant>
        <vt:i4>5</vt:i4>
      </vt:variant>
      <vt:variant>
        <vt:lpwstr>http://www.nevo.co.il/law/70301</vt:lpwstr>
      </vt:variant>
      <vt:variant>
        <vt:lpwstr/>
      </vt:variant>
      <vt:variant>
        <vt:i4>6553637</vt:i4>
      </vt:variant>
      <vt:variant>
        <vt:i4>33</vt:i4>
      </vt:variant>
      <vt:variant>
        <vt:i4>0</vt:i4>
      </vt:variant>
      <vt:variant>
        <vt:i4>5</vt:i4>
      </vt:variant>
      <vt:variant>
        <vt:lpwstr>http://www.nevo.co.il/law/70301/40jc.b</vt:lpwstr>
      </vt:variant>
      <vt:variant>
        <vt:lpwstr/>
      </vt:variant>
      <vt:variant>
        <vt:i4>3473535</vt:i4>
      </vt:variant>
      <vt:variant>
        <vt:i4>30</vt:i4>
      </vt:variant>
      <vt:variant>
        <vt:i4>0</vt:i4>
      </vt:variant>
      <vt:variant>
        <vt:i4>5</vt:i4>
      </vt:variant>
      <vt:variant>
        <vt:lpwstr>http://www.nevo.co.il/case/5605484</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6553637</vt:i4>
      </vt:variant>
      <vt:variant>
        <vt:i4>18</vt:i4>
      </vt:variant>
      <vt:variant>
        <vt:i4>0</vt:i4>
      </vt:variant>
      <vt:variant>
        <vt:i4>5</vt:i4>
      </vt:variant>
      <vt:variant>
        <vt:lpwstr>http://www.nevo.co.il/law/70301/40jc.b</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2025-04-22T22:15:00Z</dcterms:created>
  <dcterms:modified xsi:type="dcterms:W3CDTF">2025-04-22T22:15:00Z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47156</vt:lpwstr>
  </property>
  <property fmtid="{D5CDD505-2E9C-101B-9397-08002B2CF9AE}" pid="6" name="NEWPARTB">
    <vt:lpwstr>02</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רפאל נחום</vt:lpwstr>
  </property>
  <property fmtid="{D5CDD505-2E9C-101B-9397-08002B2CF9AE}" pid="10" name="JUDGE">
    <vt:lpwstr>דנה כהן לקח</vt:lpwstr>
  </property>
  <property fmtid="{D5CDD505-2E9C-101B-9397-08002B2CF9AE}" pid="11" name="CITY">
    <vt:lpwstr>י-ם</vt:lpwstr>
  </property>
  <property fmtid="{D5CDD505-2E9C-101B-9397-08002B2CF9AE}" pid="12" name="DATE">
    <vt:lpwstr>20140907</vt:lpwstr>
  </property>
  <property fmtid="{D5CDD505-2E9C-101B-9397-08002B2CF9AE}" pid="13" name="TYPE_N_DATE">
    <vt:lpwstr>38020140907</vt:lpwstr>
  </property>
  <property fmtid="{D5CDD505-2E9C-101B-9397-08002B2CF9AE}" pid="14" name="CASESLISTTMP1">
    <vt:lpwstr>5605484;11300869;7971983;6554836</vt:lpwstr>
  </property>
  <property fmtid="{D5CDD505-2E9C-101B-9397-08002B2CF9AE}" pid="15" name="WORDNUMPAGES">
    <vt:lpwstr>7</vt:lpwstr>
  </property>
  <property fmtid="{D5CDD505-2E9C-101B-9397-08002B2CF9AE}" pid="16" name="TYPE_ABS_DATE">
    <vt:lpwstr>380020140907</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4216/013;019a</vt:lpwstr>
  </property>
  <property fmtid="{D5CDD505-2E9C-101B-9397-08002B2CF9AE}" pid="37" name="LAWLISTTMP2">
    <vt:lpwstr>70301/40jc.b:2;040c.a;40ja</vt:lpwstr>
  </property>
</Properties>
</file>