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7390E9" w14:textId="77777777" w:rsidR="00190C81" w:rsidRDefault="00190C81"/>
    <w:tbl>
      <w:tblPr>
        <w:bidiVisual/>
        <w:tblW w:w="0" w:type="auto"/>
        <w:jc w:val="center"/>
        <w:tblLook w:val="0000" w:firstRow="0" w:lastRow="0" w:firstColumn="0" w:lastColumn="0" w:noHBand="0" w:noVBand="0"/>
      </w:tblPr>
      <w:tblGrid>
        <w:gridCol w:w="5056"/>
        <w:gridCol w:w="3665"/>
      </w:tblGrid>
      <w:tr w:rsidR="00A75E03" w:rsidRPr="009165C1" w14:paraId="10B75E0C" w14:textId="77777777">
        <w:trPr>
          <w:trHeight w:hRule="exact" w:val="418"/>
          <w:jc w:val="center"/>
        </w:trPr>
        <w:tc>
          <w:tcPr>
            <w:tcW w:w="8721" w:type="dxa"/>
            <w:gridSpan w:val="2"/>
          </w:tcPr>
          <w:p w14:paraId="418B1BD4" w14:textId="77777777" w:rsidR="00A75E03" w:rsidRPr="009165C1" w:rsidRDefault="009165C1">
            <w:pPr>
              <w:pStyle w:val="a3"/>
              <w:jc w:val="center"/>
              <w:rPr>
                <w:rFonts w:ascii="Tahoma" w:hAnsi="Tahoma" w:cs="Tahoma"/>
                <w:color w:val="000080"/>
                <w:rtl/>
              </w:rPr>
            </w:pPr>
            <w:bookmarkStart w:id="0" w:name="LastJudge"/>
            <w:r w:rsidRPr="009165C1">
              <w:rPr>
                <w:rFonts w:ascii="Tahoma" w:hAnsi="Tahoma" w:cs="Tahoma"/>
                <w:b/>
                <w:bCs/>
                <w:color w:val="000080"/>
                <w:rtl/>
              </w:rPr>
              <w:t>בית משפט השלום ברחובות</w:t>
            </w:r>
          </w:p>
        </w:tc>
      </w:tr>
      <w:tr w:rsidR="00A75E03" w:rsidRPr="009165C1" w14:paraId="4D9698A2" w14:textId="77777777">
        <w:trPr>
          <w:trHeight w:val="337"/>
          <w:jc w:val="center"/>
        </w:trPr>
        <w:tc>
          <w:tcPr>
            <w:tcW w:w="5056" w:type="dxa"/>
          </w:tcPr>
          <w:p w14:paraId="659FB784" w14:textId="77777777" w:rsidR="00A75E03" w:rsidRPr="009165C1" w:rsidRDefault="009165C1">
            <w:pPr>
              <w:rPr>
                <w:rFonts w:cs="FrankRuehl"/>
                <w:sz w:val="28"/>
                <w:szCs w:val="28"/>
                <w:rtl/>
              </w:rPr>
            </w:pPr>
            <w:r w:rsidRPr="009165C1">
              <w:rPr>
                <w:rFonts w:cs="FrankRuehl"/>
                <w:sz w:val="28"/>
                <w:szCs w:val="28"/>
                <w:rtl/>
              </w:rPr>
              <w:t>ת"פ</w:t>
            </w:r>
            <w:r w:rsidRPr="009165C1">
              <w:rPr>
                <w:rFonts w:cs="FrankRuehl" w:hint="cs"/>
                <w:sz w:val="28"/>
                <w:szCs w:val="28"/>
                <w:rtl/>
              </w:rPr>
              <w:t xml:space="preserve"> </w:t>
            </w:r>
            <w:r w:rsidRPr="009165C1">
              <w:rPr>
                <w:rFonts w:cs="FrankRuehl"/>
                <w:sz w:val="28"/>
                <w:szCs w:val="28"/>
                <w:rtl/>
              </w:rPr>
              <w:t>51848-02-14</w:t>
            </w:r>
            <w:r w:rsidRPr="009165C1">
              <w:rPr>
                <w:rFonts w:cs="FrankRuehl" w:hint="cs"/>
                <w:sz w:val="28"/>
                <w:szCs w:val="28"/>
                <w:rtl/>
              </w:rPr>
              <w:t xml:space="preserve"> </w:t>
            </w:r>
            <w:r w:rsidRPr="009165C1">
              <w:rPr>
                <w:rFonts w:cs="FrankRuehl"/>
                <w:sz w:val="28"/>
                <w:szCs w:val="28"/>
                <w:rtl/>
              </w:rPr>
              <w:t>פרקליטות מחוז מרכז נ' אמר</w:t>
            </w:r>
          </w:p>
          <w:p w14:paraId="3B5035E5" w14:textId="77777777" w:rsidR="00A75E03" w:rsidRPr="009165C1" w:rsidRDefault="00A75E03">
            <w:pPr>
              <w:pStyle w:val="a3"/>
              <w:rPr>
                <w:rFonts w:cs="FrankRuehl"/>
                <w:sz w:val="28"/>
                <w:szCs w:val="28"/>
                <w:rtl/>
              </w:rPr>
            </w:pPr>
          </w:p>
        </w:tc>
        <w:tc>
          <w:tcPr>
            <w:tcW w:w="3665" w:type="dxa"/>
          </w:tcPr>
          <w:p w14:paraId="0F305E19" w14:textId="77777777" w:rsidR="00A75E03" w:rsidRPr="009165C1" w:rsidRDefault="00A75E03">
            <w:pPr>
              <w:pStyle w:val="a3"/>
              <w:jc w:val="right"/>
              <w:rPr>
                <w:rFonts w:cs="FrankRuehl"/>
                <w:sz w:val="28"/>
                <w:szCs w:val="28"/>
                <w:rtl/>
              </w:rPr>
            </w:pPr>
          </w:p>
        </w:tc>
      </w:tr>
    </w:tbl>
    <w:p w14:paraId="256A577E" w14:textId="77777777" w:rsidR="00A75E03" w:rsidRPr="009165C1" w:rsidRDefault="009165C1">
      <w:pPr>
        <w:pStyle w:val="a3"/>
        <w:rPr>
          <w:rtl/>
        </w:rPr>
      </w:pPr>
      <w:r w:rsidRPr="009165C1">
        <w:rPr>
          <w:rFonts w:hint="cs"/>
          <w:rtl/>
        </w:rPr>
        <w:t xml:space="preserve"> </w:t>
      </w:r>
    </w:p>
    <w:p w14:paraId="7BAB520A" w14:textId="77777777" w:rsidR="00A75E03" w:rsidRPr="009165C1" w:rsidRDefault="00A75E03">
      <w:pPr>
        <w:spacing w:line="360" w:lineRule="auto"/>
        <w:jc w:val="both"/>
        <w:rPr>
          <w:b/>
          <w:bCs/>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A75E03" w:rsidRPr="009165C1" w14:paraId="1B813928" w14:textId="77777777">
        <w:trPr>
          <w:trHeight w:val="295"/>
          <w:jc w:val="center"/>
        </w:trPr>
        <w:tc>
          <w:tcPr>
            <w:tcW w:w="923" w:type="dxa"/>
            <w:tcBorders>
              <w:top w:val="nil"/>
              <w:left w:val="nil"/>
              <w:bottom w:val="nil"/>
              <w:right w:val="nil"/>
            </w:tcBorders>
          </w:tcPr>
          <w:p w14:paraId="76773E98" w14:textId="77777777" w:rsidR="00A75E03" w:rsidRPr="009165C1" w:rsidRDefault="009165C1">
            <w:pPr>
              <w:spacing w:line="360" w:lineRule="auto"/>
              <w:jc w:val="both"/>
              <w:rPr>
                <w:rFonts w:ascii="Arial" w:hAnsi="Arial" w:cs="FrankRuehl"/>
                <w:b/>
                <w:bCs/>
                <w:sz w:val="28"/>
                <w:szCs w:val="28"/>
              </w:rPr>
            </w:pPr>
            <w:r w:rsidRPr="009165C1">
              <w:rPr>
                <w:rFonts w:ascii="Arial" w:hAnsi="Arial" w:cs="FrankRuehl" w:hint="cs"/>
                <w:b/>
                <w:bCs/>
                <w:sz w:val="28"/>
                <w:szCs w:val="28"/>
                <w:rtl/>
              </w:rPr>
              <w:t>ב</w:t>
            </w:r>
            <w:r w:rsidRPr="009165C1">
              <w:rPr>
                <w:rFonts w:ascii="Arial" w:hAnsi="Arial" w:cs="FrankRuehl"/>
                <w:b/>
                <w:bCs/>
                <w:sz w:val="28"/>
                <w:szCs w:val="28"/>
                <w:rtl/>
              </w:rPr>
              <w:t xml:space="preserve">פני </w:t>
            </w:r>
          </w:p>
        </w:tc>
        <w:tc>
          <w:tcPr>
            <w:tcW w:w="7897" w:type="dxa"/>
            <w:gridSpan w:val="2"/>
            <w:tcBorders>
              <w:top w:val="nil"/>
              <w:left w:val="nil"/>
              <w:bottom w:val="nil"/>
              <w:right w:val="nil"/>
            </w:tcBorders>
          </w:tcPr>
          <w:p w14:paraId="57A93BE3" w14:textId="77777777" w:rsidR="00A75E03" w:rsidRPr="009165C1" w:rsidRDefault="009165C1">
            <w:pPr>
              <w:spacing w:line="360" w:lineRule="auto"/>
              <w:jc w:val="both"/>
              <w:rPr>
                <w:rFonts w:ascii="Arial" w:hAnsi="Arial"/>
                <w:b/>
                <w:bCs/>
                <w:rtl/>
              </w:rPr>
            </w:pPr>
            <w:r w:rsidRPr="009165C1">
              <w:rPr>
                <w:rFonts w:ascii="Arial" w:hAnsi="Arial" w:hint="cs"/>
                <w:b/>
                <w:bCs/>
                <w:rtl/>
              </w:rPr>
              <w:t>כב' ה</w:t>
            </w:r>
            <w:r w:rsidRPr="009165C1">
              <w:rPr>
                <w:rFonts w:hint="cs"/>
                <w:b/>
                <w:bCs/>
                <w:rtl/>
              </w:rPr>
              <w:t>סגנית נשיאה</w:t>
            </w:r>
            <w:r w:rsidRPr="009165C1">
              <w:rPr>
                <w:rFonts w:ascii="Arial" w:hAnsi="Arial" w:hint="cs"/>
                <w:b/>
                <w:bCs/>
                <w:rtl/>
              </w:rPr>
              <w:t xml:space="preserve">  </w:t>
            </w:r>
            <w:r w:rsidRPr="009165C1">
              <w:rPr>
                <w:rFonts w:hint="cs"/>
                <w:b/>
                <w:bCs/>
                <w:rtl/>
              </w:rPr>
              <w:t>עינת רון</w:t>
            </w:r>
          </w:p>
          <w:p w14:paraId="126B583F" w14:textId="77777777" w:rsidR="00A75E03" w:rsidRPr="009165C1" w:rsidRDefault="00A75E03">
            <w:pPr>
              <w:spacing w:line="360" w:lineRule="auto"/>
              <w:jc w:val="both"/>
              <w:rPr>
                <w:b/>
                <w:bCs/>
                <w:rtl/>
              </w:rPr>
            </w:pPr>
          </w:p>
          <w:p w14:paraId="3B252820" w14:textId="77777777" w:rsidR="00A75E03" w:rsidRPr="009165C1" w:rsidRDefault="00A75E03">
            <w:pPr>
              <w:spacing w:line="360" w:lineRule="auto"/>
              <w:jc w:val="both"/>
              <w:rPr>
                <w:rFonts w:ascii="Arial" w:hAnsi="Arial" w:cs="FrankRuehl"/>
                <w:b/>
                <w:bCs/>
                <w:sz w:val="28"/>
                <w:szCs w:val="28"/>
              </w:rPr>
            </w:pPr>
          </w:p>
        </w:tc>
      </w:tr>
      <w:tr w:rsidR="00A75E03" w:rsidRPr="009165C1" w14:paraId="2A788B6A" w14:textId="77777777">
        <w:trPr>
          <w:trHeight w:val="355"/>
          <w:jc w:val="center"/>
        </w:trPr>
        <w:tc>
          <w:tcPr>
            <w:tcW w:w="923" w:type="dxa"/>
            <w:tcBorders>
              <w:top w:val="nil"/>
              <w:left w:val="nil"/>
              <w:bottom w:val="nil"/>
              <w:right w:val="nil"/>
            </w:tcBorders>
          </w:tcPr>
          <w:p w14:paraId="477A6BBA" w14:textId="77777777" w:rsidR="00A75E03" w:rsidRPr="009165C1" w:rsidRDefault="009165C1">
            <w:pPr>
              <w:spacing w:line="360" w:lineRule="auto"/>
              <w:jc w:val="both"/>
              <w:rPr>
                <w:rFonts w:ascii="Arial" w:hAnsi="Arial" w:cs="FrankRuehl"/>
                <w:b/>
                <w:bCs/>
                <w:sz w:val="28"/>
                <w:szCs w:val="28"/>
              </w:rPr>
            </w:pPr>
            <w:bookmarkStart w:id="1" w:name="FirstAppellant"/>
            <w:r w:rsidRPr="009165C1">
              <w:rPr>
                <w:rFonts w:ascii="Arial" w:hAnsi="Arial" w:cs="FrankRuehl" w:hint="cs"/>
                <w:b/>
                <w:bCs/>
                <w:sz w:val="28"/>
                <w:szCs w:val="28"/>
                <w:rtl/>
              </w:rPr>
              <w:t>בעניין:</w:t>
            </w:r>
          </w:p>
        </w:tc>
        <w:tc>
          <w:tcPr>
            <w:tcW w:w="4126" w:type="dxa"/>
            <w:tcBorders>
              <w:top w:val="nil"/>
              <w:left w:val="nil"/>
              <w:bottom w:val="nil"/>
              <w:right w:val="nil"/>
            </w:tcBorders>
          </w:tcPr>
          <w:p w14:paraId="3E83A140" w14:textId="77777777" w:rsidR="00A75E03" w:rsidRPr="009165C1" w:rsidRDefault="009165C1">
            <w:pPr>
              <w:spacing w:line="360" w:lineRule="auto"/>
              <w:jc w:val="both"/>
              <w:rPr>
                <w:b/>
                <w:bCs/>
              </w:rPr>
            </w:pPr>
            <w:r w:rsidRPr="009165C1">
              <w:rPr>
                <w:rFonts w:hint="cs"/>
                <w:b/>
                <w:bCs/>
                <w:rtl/>
              </w:rPr>
              <w:t>פרקליטות מחוז מרכז</w:t>
            </w:r>
          </w:p>
        </w:tc>
        <w:tc>
          <w:tcPr>
            <w:tcW w:w="3771" w:type="dxa"/>
            <w:tcBorders>
              <w:top w:val="nil"/>
              <w:left w:val="nil"/>
              <w:bottom w:val="nil"/>
              <w:right w:val="nil"/>
            </w:tcBorders>
          </w:tcPr>
          <w:p w14:paraId="5ACDF68E" w14:textId="77777777" w:rsidR="00A75E03" w:rsidRPr="009165C1" w:rsidRDefault="00A75E03">
            <w:pPr>
              <w:spacing w:line="360" w:lineRule="auto"/>
              <w:jc w:val="both"/>
              <w:rPr>
                <w:rFonts w:ascii="Arial" w:hAnsi="Arial" w:cs="FrankRuehl"/>
                <w:b/>
                <w:bCs/>
                <w:sz w:val="28"/>
                <w:szCs w:val="28"/>
              </w:rPr>
            </w:pPr>
          </w:p>
        </w:tc>
      </w:tr>
      <w:bookmarkEnd w:id="1"/>
      <w:tr w:rsidR="00A75E03" w:rsidRPr="009165C1" w14:paraId="48A2AC99" w14:textId="77777777">
        <w:trPr>
          <w:trHeight w:val="355"/>
          <w:jc w:val="center"/>
        </w:trPr>
        <w:tc>
          <w:tcPr>
            <w:tcW w:w="923" w:type="dxa"/>
            <w:tcBorders>
              <w:top w:val="nil"/>
              <w:left w:val="nil"/>
              <w:bottom w:val="nil"/>
              <w:right w:val="nil"/>
            </w:tcBorders>
          </w:tcPr>
          <w:p w14:paraId="6D893593" w14:textId="77777777" w:rsidR="00A75E03" w:rsidRPr="009165C1" w:rsidRDefault="00A75E03">
            <w:pPr>
              <w:spacing w:line="360" w:lineRule="auto"/>
              <w:jc w:val="both"/>
              <w:rPr>
                <w:rFonts w:ascii="Arial" w:hAnsi="Arial" w:cs="FrankRuehl"/>
                <w:b/>
                <w:bCs/>
                <w:sz w:val="28"/>
                <w:szCs w:val="28"/>
                <w:rtl/>
              </w:rPr>
            </w:pPr>
          </w:p>
        </w:tc>
        <w:tc>
          <w:tcPr>
            <w:tcW w:w="4126" w:type="dxa"/>
            <w:tcBorders>
              <w:top w:val="nil"/>
              <w:left w:val="nil"/>
              <w:bottom w:val="nil"/>
              <w:right w:val="nil"/>
            </w:tcBorders>
          </w:tcPr>
          <w:p w14:paraId="43D940F6" w14:textId="77777777" w:rsidR="00A75E03" w:rsidRPr="009165C1" w:rsidRDefault="00A75E03">
            <w:pPr>
              <w:spacing w:line="360" w:lineRule="auto"/>
              <w:jc w:val="both"/>
              <w:rPr>
                <w:b/>
                <w:bCs/>
                <w:rtl/>
              </w:rPr>
            </w:pPr>
          </w:p>
        </w:tc>
        <w:tc>
          <w:tcPr>
            <w:tcW w:w="3771" w:type="dxa"/>
            <w:tcBorders>
              <w:top w:val="nil"/>
              <w:left w:val="nil"/>
              <w:bottom w:val="nil"/>
              <w:right w:val="nil"/>
            </w:tcBorders>
          </w:tcPr>
          <w:p w14:paraId="009E0140" w14:textId="77777777" w:rsidR="00A75E03" w:rsidRPr="009165C1" w:rsidRDefault="009165C1">
            <w:pPr>
              <w:spacing w:line="360" w:lineRule="auto"/>
              <w:jc w:val="both"/>
              <w:rPr>
                <w:rFonts w:ascii="Arial" w:hAnsi="Arial" w:cs="FrankRuehl"/>
                <w:b/>
                <w:bCs/>
                <w:sz w:val="28"/>
                <w:szCs w:val="28"/>
                <w:rtl/>
              </w:rPr>
            </w:pPr>
            <w:r w:rsidRPr="009165C1">
              <w:rPr>
                <w:rFonts w:ascii="Arial" w:hAnsi="Arial" w:cs="FrankRuehl" w:hint="cs"/>
                <w:b/>
                <w:bCs/>
                <w:sz w:val="28"/>
                <w:szCs w:val="28"/>
                <w:rtl/>
              </w:rPr>
              <w:t>ה</w:t>
            </w:r>
            <w:r w:rsidRPr="009165C1">
              <w:rPr>
                <w:rFonts w:hint="cs"/>
                <w:b/>
                <w:bCs/>
                <w:rtl/>
              </w:rPr>
              <w:t>מאשימה</w:t>
            </w:r>
          </w:p>
        </w:tc>
      </w:tr>
      <w:tr w:rsidR="00A75E03" w:rsidRPr="009165C1" w14:paraId="241CC025" w14:textId="77777777">
        <w:trPr>
          <w:trHeight w:val="355"/>
          <w:jc w:val="center"/>
        </w:trPr>
        <w:tc>
          <w:tcPr>
            <w:tcW w:w="923" w:type="dxa"/>
            <w:tcBorders>
              <w:top w:val="nil"/>
              <w:left w:val="nil"/>
              <w:bottom w:val="nil"/>
              <w:right w:val="nil"/>
            </w:tcBorders>
          </w:tcPr>
          <w:p w14:paraId="23C433D7" w14:textId="77777777" w:rsidR="00A75E03" w:rsidRPr="009165C1" w:rsidRDefault="00A75E03">
            <w:pPr>
              <w:spacing w:line="360" w:lineRule="auto"/>
              <w:jc w:val="both"/>
              <w:rPr>
                <w:rFonts w:ascii="Arial" w:hAnsi="Arial" w:cs="FrankRuehl"/>
                <w:b/>
                <w:bCs/>
                <w:sz w:val="28"/>
                <w:szCs w:val="28"/>
                <w:rtl/>
              </w:rPr>
            </w:pPr>
          </w:p>
        </w:tc>
        <w:tc>
          <w:tcPr>
            <w:tcW w:w="7897" w:type="dxa"/>
            <w:gridSpan w:val="2"/>
            <w:tcBorders>
              <w:top w:val="nil"/>
              <w:left w:val="nil"/>
              <w:bottom w:val="nil"/>
              <w:right w:val="nil"/>
            </w:tcBorders>
          </w:tcPr>
          <w:p w14:paraId="39057E45" w14:textId="77777777" w:rsidR="00A75E03" w:rsidRPr="009165C1" w:rsidRDefault="00A75E03">
            <w:pPr>
              <w:spacing w:line="360" w:lineRule="auto"/>
              <w:jc w:val="both"/>
              <w:rPr>
                <w:rFonts w:ascii="Arial" w:hAnsi="Arial" w:cs="FrankRuehl"/>
                <w:b/>
                <w:bCs/>
                <w:sz w:val="28"/>
                <w:szCs w:val="28"/>
                <w:rtl/>
              </w:rPr>
            </w:pPr>
          </w:p>
          <w:p w14:paraId="22C9FBA1" w14:textId="77777777" w:rsidR="00A75E03" w:rsidRPr="009165C1" w:rsidRDefault="009165C1">
            <w:pPr>
              <w:spacing w:line="360" w:lineRule="auto"/>
              <w:jc w:val="both"/>
              <w:rPr>
                <w:rFonts w:ascii="Arial" w:hAnsi="Arial" w:cs="FrankRuehl"/>
                <w:b/>
                <w:bCs/>
                <w:sz w:val="28"/>
                <w:szCs w:val="28"/>
                <w:rtl/>
              </w:rPr>
            </w:pPr>
            <w:r w:rsidRPr="009165C1">
              <w:rPr>
                <w:rFonts w:ascii="Arial" w:hAnsi="Arial" w:cs="FrankRuehl"/>
                <w:b/>
                <w:bCs/>
                <w:sz w:val="28"/>
                <w:szCs w:val="28"/>
                <w:rtl/>
              </w:rPr>
              <w:t>נגד</w:t>
            </w:r>
          </w:p>
          <w:p w14:paraId="39C70BCE" w14:textId="77777777" w:rsidR="00A75E03" w:rsidRPr="009165C1" w:rsidRDefault="00A75E03">
            <w:pPr>
              <w:spacing w:line="360" w:lineRule="auto"/>
              <w:jc w:val="both"/>
              <w:rPr>
                <w:rFonts w:ascii="Arial" w:hAnsi="Arial" w:cs="FrankRuehl"/>
                <w:b/>
                <w:bCs/>
                <w:sz w:val="28"/>
                <w:szCs w:val="28"/>
              </w:rPr>
            </w:pPr>
          </w:p>
        </w:tc>
      </w:tr>
      <w:tr w:rsidR="00A75E03" w:rsidRPr="009165C1" w14:paraId="1AD1AE74" w14:textId="77777777">
        <w:trPr>
          <w:trHeight w:val="355"/>
          <w:jc w:val="center"/>
        </w:trPr>
        <w:tc>
          <w:tcPr>
            <w:tcW w:w="923" w:type="dxa"/>
            <w:tcBorders>
              <w:top w:val="nil"/>
              <w:left w:val="nil"/>
              <w:bottom w:val="nil"/>
              <w:right w:val="nil"/>
            </w:tcBorders>
          </w:tcPr>
          <w:p w14:paraId="7E040AE7" w14:textId="77777777" w:rsidR="00A75E03" w:rsidRPr="009165C1" w:rsidRDefault="00A75E03">
            <w:pPr>
              <w:spacing w:line="360" w:lineRule="auto"/>
              <w:jc w:val="both"/>
              <w:rPr>
                <w:rFonts w:ascii="Arial" w:hAnsi="Arial" w:cs="FrankRuehl"/>
                <w:b/>
                <w:bCs/>
                <w:sz w:val="28"/>
                <w:szCs w:val="28"/>
                <w:rtl/>
              </w:rPr>
            </w:pPr>
          </w:p>
        </w:tc>
        <w:tc>
          <w:tcPr>
            <w:tcW w:w="4126" w:type="dxa"/>
            <w:tcBorders>
              <w:top w:val="nil"/>
              <w:left w:val="nil"/>
              <w:bottom w:val="nil"/>
              <w:right w:val="nil"/>
            </w:tcBorders>
          </w:tcPr>
          <w:p w14:paraId="7C233A59" w14:textId="77777777" w:rsidR="00A75E03" w:rsidRPr="009165C1" w:rsidRDefault="009165C1">
            <w:pPr>
              <w:spacing w:line="360" w:lineRule="auto"/>
              <w:jc w:val="both"/>
              <w:rPr>
                <w:b/>
                <w:bCs/>
                <w:rtl/>
              </w:rPr>
            </w:pPr>
            <w:r w:rsidRPr="009165C1">
              <w:rPr>
                <w:rFonts w:hint="cs"/>
                <w:b/>
                <w:bCs/>
                <w:rtl/>
              </w:rPr>
              <w:t>דוד דדה חי אמר</w:t>
            </w:r>
          </w:p>
        </w:tc>
        <w:tc>
          <w:tcPr>
            <w:tcW w:w="3771" w:type="dxa"/>
            <w:tcBorders>
              <w:top w:val="nil"/>
              <w:left w:val="nil"/>
              <w:bottom w:val="nil"/>
              <w:right w:val="nil"/>
            </w:tcBorders>
          </w:tcPr>
          <w:p w14:paraId="6E82610A" w14:textId="77777777" w:rsidR="00A75E03" w:rsidRPr="009165C1" w:rsidRDefault="00A75E03">
            <w:pPr>
              <w:spacing w:line="360" w:lineRule="auto"/>
              <w:jc w:val="both"/>
              <w:rPr>
                <w:rFonts w:ascii="Arial" w:hAnsi="Arial" w:cs="FrankRuehl"/>
                <w:b/>
                <w:bCs/>
                <w:sz w:val="28"/>
                <w:szCs w:val="28"/>
              </w:rPr>
            </w:pPr>
          </w:p>
        </w:tc>
      </w:tr>
      <w:tr w:rsidR="00A75E03" w:rsidRPr="009165C1" w14:paraId="08FA1C82" w14:textId="77777777">
        <w:trPr>
          <w:trHeight w:val="355"/>
          <w:jc w:val="center"/>
        </w:trPr>
        <w:tc>
          <w:tcPr>
            <w:tcW w:w="923" w:type="dxa"/>
            <w:tcBorders>
              <w:top w:val="nil"/>
              <w:left w:val="nil"/>
              <w:bottom w:val="nil"/>
              <w:right w:val="nil"/>
            </w:tcBorders>
          </w:tcPr>
          <w:p w14:paraId="791E4851" w14:textId="77777777" w:rsidR="00A75E03" w:rsidRPr="009165C1" w:rsidRDefault="00A75E03">
            <w:pPr>
              <w:spacing w:line="360" w:lineRule="auto"/>
              <w:jc w:val="both"/>
              <w:rPr>
                <w:rFonts w:ascii="Arial" w:hAnsi="Arial" w:cs="FrankRuehl"/>
                <w:b/>
                <w:bCs/>
                <w:sz w:val="28"/>
                <w:szCs w:val="28"/>
                <w:rtl/>
              </w:rPr>
            </w:pPr>
          </w:p>
        </w:tc>
        <w:tc>
          <w:tcPr>
            <w:tcW w:w="4126" w:type="dxa"/>
            <w:tcBorders>
              <w:top w:val="nil"/>
              <w:left w:val="nil"/>
              <w:bottom w:val="nil"/>
              <w:right w:val="nil"/>
            </w:tcBorders>
          </w:tcPr>
          <w:p w14:paraId="19C943C3" w14:textId="77777777" w:rsidR="00A75E03" w:rsidRPr="009165C1" w:rsidRDefault="00A75E03">
            <w:pPr>
              <w:spacing w:line="360" w:lineRule="auto"/>
              <w:jc w:val="both"/>
              <w:rPr>
                <w:b/>
                <w:bCs/>
                <w:rtl/>
              </w:rPr>
            </w:pPr>
          </w:p>
        </w:tc>
        <w:tc>
          <w:tcPr>
            <w:tcW w:w="3771" w:type="dxa"/>
            <w:tcBorders>
              <w:top w:val="nil"/>
              <w:left w:val="nil"/>
              <w:bottom w:val="nil"/>
              <w:right w:val="nil"/>
            </w:tcBorders>
          </w:tcPr>
          <w:p w14:paraId="59395EE3" w14:textId="77777777" w:rsidR="00A75E03" w:rsidRPr="009165C1" w:rsidRDefault="009165C1">
            <w:pPr>
              <w:spacing w:line="360" w:lineRule="auto"/>
              <w:jc w:val="both"/>
              <w:rPr>
                <w:rFonts w:ascii="Arial" w:hAnsi="Arial" w:cs="FrankRuehl"/>
                <w:b/>
                <w:bCs/>
                <w:sz w:val="28"/>
                <w:szCs w:val="28"/>
              </w:rPr>
            </w:pPr>
            <w:r w:rsidRPr="009165C1">
              <w:rPr>
                <w:rFonts w:ascii="Arial" w:hAnsi="Arial" w:cs="FrankRuehl" w:hint="cs"/>
                <w:b/>
                <w:bCs/>
                <w:sz w:val="28"/>
                <w:szCs w:val="28"/>
                <w:rtl/>
              </w:rPr>
              <w:t>ה</w:t>
            </w:r>
            <w:r w:rsidRPr="009165C1">
              <w:rPr>
                <w:rFonts w:hint="cs"/>
                <w:b/>
                <w:bCs/>
                <w:rtl/>
              </w:rPr>
              <w:t>נאשם</w:t>
            </w:r>
          </w:p>
        </w:tc>
      </w:tr>
    </w:tbl>
    <w:p w14:paraId="7E246C3B" w14:textId="77777777" w:rsidR="00A75E03" w:rsidRPr="009165C1" w:rsidRDefault="00A75E03">
      <w:pPr>
        <w:spacing w:line="360" w:lineRule="auto"/>
        <w:jc w:val="both"/>
        <w:rPr>
          <w:b/>
          <w:bCs/>
          <w:rtl/>
        </w:rPr>
      </w:pPr>
    </w:p>
    <w:p w14:paraId="56591ECD" w14:textId="77777777" w:rsidR="00A75E03" w:rsidRPr="009165C1" w:rsidRDefault="009165C1">
      <w:pPr>
        <w:spacing w:line="360" w:lineRule="auto"/>
        <w:jc w:val="both"/>
        <w:rPr>
          <w:b/>
          <w:bCs/>
          <w:rtl/>
        </w:rPr>
      </w:pPr>
      <w:r w:rsidRPr="009165C1">
        <w:rPr>
          <w:rFonts w:hint="cs"/>
          <w:b/>
          <w:bCs/>
          <w:rtl/>
        </w:rPr>
        <w:t>נוכחים:</w:t>
      </w:r>
    </w:p>
    <w:p w14:paraId="33FF729E" w14:textId="77777777" w:rsidR="00A75E03" w:rsidRPr="009165C1" w:rsidRDefault="009165C1">
      <w:pPr>
        <w:spacing w:line="360" w:lineRule="auto"/>
        <w:jc w:val="both"/>
        <w:rPr>
          <w:b/>
          <w:bCs/>
          <w:rtl/>
        </w:rPr>
      </w:pPr>
      <w:bookmarkStart w:id="2" w:name="FirstLawyer"/>
      <w:r w:rsidRPr="009165C1">
        <w:rPr>
          <w:rFonts w:hint="cs"/>
          <w:b/>
          <w:bCs/>
          <w:rtl/>
        </w:rPr>
        <w:t>ב"כ</w:t>
      </w:r>
      <w:bookmarkEnd w:id="2"/>
      <w:r w:rsidRPr="009165C1">
        <w:rPr>
          <w:rFonts w:hint="cs"/>
          <w:b/>
          <w:bCs/>
          <w:rtl/>
        </w:rPr>
        <w:t xml:space="preserve"> המאשימה עו"ד שקד עזרא</w:t>
      </w:r>
    </w:p>
    <w:p w14:paraId="69DCF090" w14:textId="77777777" w:rsidR="00A75E03" w:rsidRPr="009165C1" w:rsidRDefault="009165C1">
      <w:pPr>
        <w:spacing w:line="360" w:lineRule="auto"/>
        <w:jc w:val="both"/>
        <w:rPr>
          <w:b/>
          <w:bCs/>
          <w:rtl/>
        </w:rPr>
      </w:pPr>
      <w:r w:rsidRPr="009165C1">
        <w:rPr>
          <w:rFonts w:hint="cs"/>
          <w:b/>
          <w:bCs/>
          <w:rtl/>
        </w:rPr>
        <w:t>ב"כ האנשם עו"ד ירון פורר</w:t>
      </w:r>
    </w:p>
    <w:p w14:paraId="5C05A3FF" w14:textId="77777777" w:rsidR="00C817DE" w:rsidRDefault="009165C1" w:rsidP="0063366C">
      <w:pPr>
        <w:spacing w:after="120" w:line="240" w:lineRule="exact"/>
        <w:ind w:left="283" w:hanging="283"/>
        <w:jc w:val="both"/>
        <w:rPr>
          <w:b/>
          <w:bCs/>
          <w:rtl/>
        </w:rPr>
      </w:pPr>
      <w:r w:rsidRPr="009165C1">
        <w:rPr>
          <w:rFonts w:hint="cs"/>
          <w:b/>
          <w:bCs/>
          <w:rtl/>
        </w:rPr>
        <w:t>הנאשם בעצמ</w:t>
      </w:r>
      <w:bookmarkStart w:id="3" w:name="LawTable"/>
      <w:bookmarkEnd w:id="3"/>
    </w:p>
    <w:p w14:paraId="5F7145C0" w14:textId="77777777" w:rsidR="00C817DE" w:rsidRPr="00C817DE" w:rsidRDefault="00C817DE" w:rsidP="00C817DE">
      <w:pPr>
        <w:spacing w:after="120" w:line="240" w:lineRule="exact"/>
        <w:ind w:left="283" w:hanging="283"/>
        <w:jc w:val="both"/>
        <w:rPr>
          <w:rFonts w:ascii="FrankRuehl" w:hAnsi="FrankRuehl" w:cs="FrankRuehl"/>
          <w:rtl/>
        </w:rPr>
      </w:pPr>
    </w:p>
    <w:p w14:paraId="178DC7F8" w14:textId="77777777" w:rsidR="00C817DE" w:rsidRPr="00C817DE" w:rsidRDefault="00C817DE" w:rsidP="00C817DE">
      <w:pPr>
        <w:spacing w:after="120" w:line="240" w:lineRule="exact"/>
        <w:ind w:left="283" w:hanging="283"/>
        <w:jc w:val="both"/>
        <w:rPr>
          <w:rFonts w:ascii="FrankRuehl" w:hAnsi="FrankRuehl" w:cs="FrankRuehl"/>
          <w:rtl/>
        </w:rPr>
      </w:pPr>
      <w:r w:rsidRPr="00C817DE">
        <w:rPr>
          <w:rFonts w:ascii="FrankRuehl" w:hAnsi="FrankRuehl" w:cs="FrankRuehl"/>
          <w:rtl/>
        </w:rPr>
        <w:t xml:space="preserve">חקיקה שאוזכרה: </w:t>
      </w:r>
    </w:p>
    <w:p w14:paraId="353D3A2E" w14:textId="77777777" w:rsidR="00C817DE" w:rsidRPr="00C817DE" w:rsidRDefault="00C817DE" w:rsidP="00C817DE">
      <w:pPr>
        <w:spacing w:after="120" w:line="240" w:lineRule="exact"/>
        <w:ind w:left="283" w:hanging="283"/>
        <w:jc w:val="both"/>
        <w:rPr>
          <w:rFonts w:ascii="FrankRuehl" w:hAnsi="FrankRuehl" w:cs="FrankRuehl"/>
          <w:color w:val="0000FF"/>
          <w:u w:val="single"/>
          <w:rtl/>
        </w:rPr>
      </w:pPr>
      <w:hyperlink r:id="rId6" w:history="1">
        <w:r w:rsidRPr="00C817DE">
          <w:rPr>
            <w:rStyle w:val="Hyperlink"/>
            <w:rFonts w:ascii="FrankRuehl" w:hAnsi="FrankRuehl" w:cs="FrankRuehl"/>
            <w:rtl/>
          </w:rPr>
          <w:t>חוק המאבק בתופעת השימוש בחומרים מסכנים, תשע"ג-2013</w:t>
        </w:r>
      </w:hyperlink>
      <w:r w:rsidRPr="00C817DE">
        <w:rPr>
          <w:rFonts w:ascii="FrankRuehl" w:hAnsi="FrankRuehl" w:cs="FrankRuehl"/>
          <w:color w:val="0000FF"/>
          <w:u w:val="single"/>
          <w:rtl/>
        </w:rPr>
        <w:t xml:space="preserve">: סע'  </w:t>
      </w:r>
      <w:hyperlink r:id="rId7" w:history="1">
        <w:r w:rsidRPr="00C817DE">
          <w:rPr>
            <w:rStyle w:val="Hyperlink"/>
            <w:rFonts w:ascii="FrankRuehl" w:hAnsi="FrankRuehl" w:cs="FrankRuehl"/>
          </w:rPr>
          <w:t>7(</w:t>
        </w:r>
        <w:r w:rsidRPr="00C817DE">
          <w:rPr>
            <w:rStyle w:val="Hyperlink"/>
            <w:rFonts w:ascii="FrankRuehl" w:hAnsi="FrankRuehl" w:cs="FrankRuehl"/>
            <w:rtl/>
          </w:rPr>
          <w:t>א</w:t>
        </w:r>
        <w:r w:rsidRPr="00C817DE">
          <w:rPr>
            <w:rStyle w:val="Hyperlink"/>
            <w:rFonts w:ascii="FrankRuehl" w:hAnsi="FrankRuehl" w:cs="FrankRuehl"/>
          </w:rPr>
          <w:t>)</w:t>
        </w:r>
      </w:hyperlink>
    </w:p>
    <w:p w14:paraId="08EDBC53" w14:textId="77777777" w:rsidR="00C817DE" w:rsidRPr="00C817DE" w:rsidRDefault="00C817DE" w:rsidP="00C817DE">
      <w:pPr>
        <w:spacing w:after="120" w:line="240" w:lineRule="exact"/>
        <w:ind w:left="283" w:hanging="283"/>
        <w:jc w:val="both"/>
        <w:rPr>
          <w:rFonts w:ascii="FrankRuehl" w:hAnsi="FrankRuehl" w:cs="FrankRuehl"/>
          <w:color w:val="0000FF"/>
          <w:u w:val="single"/>
          <w:rtl/>
        </w:rPr>
      </w:pPr>
      <w:hyperlink r:id="rId8" w:history="1">
        <w:r w:rsidRPr="00C817DE">
          <w:rPr>
            <w:rStyle w:val="Hyperlink"/>
            <w:rFonts w:ascii="FrankRuehl" w:hAnsi="FrankRuehl" w:cs="FrankRuehl"/>
            <w:rtl/>
          </w:rPr>
          <w:t>פקודת הסמים המסוכנים [נוסח חדש], תשל"ג-1973</w:t>
        </w:r>
      </w:hyperlink>
    </w:p>
    <w:p w14:paraId="235E65D1" w14:textId="77777777" w:rsidR="00C817DE" w:rsidRPr="00C817DE" w:rsidRDefault="00C817DE" w:rsidP="00C817DE">
      <w:pPr>
        <w:spacing w:after="120" w:line="240" w:lineRule="exact"/>
        <w:ind w:left="283" w:hanging="283"/>
        <w:jc w:val="both"/>
        <w:rPr>
          <w:rFonts w:ascii="FrankRuehl" w:hAnsi="FrankRuehl" w:cs="FrankRuehl"/>
          <w:rtl/>
        </w:rPr>
      </w:pPr>
    </w:p>
    <w:p w14:paraId="7774B619" w14:textId="77777777" w:rsidR="00C817DE" w:rsidRPr="00C817DE" w:rsidRDefault="00C817DE" w:rsidP="0063366C">
      <w:pPr>
        <w:spacing w:after="120" w:line="240" w:lineRule="exact"/>
        <w:ind w:left="283" w:hanging="283"/>
        <w:jc w:val="both"/>
        <w:rPr>
          <w:rtl/>
        </w:rPr>
      </w:pPr>
      <w:bookmarkStart w:id="4" w:name="LawTable_End"/>
      <w:bookmarkEnd w:id="4"/>
    </w:p>
    <w:p w14:paraId="537ADF9B" w14:textId="77777777" w:rsidR="00C817DE" w:rsidRPr="00C817DE" w:rsidRDefault="00C817DE" w:rsidP="0063366C">
      <w:pPr>
        <w:spacing w:after="120" w:line="240" w:lineRule="exact"/>
        <w:ind w:left="283" w:hanging="283"/>
        <w:jc w:val="both"/>
        <w:rPr>
          <w:b/>
          <w:bCs/>
          <w:rtl/>
        </w:rPr>
      </w:pPr>
    </w:p>
    <w:p w14:paraId="2BE12755" w14:textId="77777777" w:rsidR="0063366C" w:rsidRPr="0063366C" w:rsidRDefault="009165C1" w:rsidP="0063366C">
      <w:pPr>
        <w:spacing w:after="120" w:line="240" w:lineRule="exact"/>
        <w:ind w:left="283" w:hanging="283"/>
        <w:jc w:val="both"/>
        <w:rPr>
          <w:rFonts w:ascii="FrankRuehl" w:hAnsi="FrankRuehl" w:cs="FrankRuehl"/>
          <w:rtl/>
        </w:rPr>
      </w:pPr>
      <w:r w:rsidRPr="00C817DE">
        <w:rPr>
          <w:rFonts w:hint="cs"/>
          <w:b/>
          <w:bCs/>
          <w:rtl/>
        </w:rPr>
        <w:t>ו</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A75E03" w14:paraId="066A2019" w14:textId="77777777">
        <w:trPr>
          <w:trHeight w:val="355"/>
          <w:jc w:val="center"/>
        </w:trPr>
        <w:tc>
          <w:tcPr>
            <w:tcW w:w="8820" w:type="dxa"/>
            <w:tcBorders>
              <w:top w:val="nil"/>
              <w:left w:val="nil"/>
              <w:bottom w:val="nil"/>
              <w:right w:val="nil"/>
            </w:tcBorders>
          </w:tcPr>
          <w:p w14:paraId="77AEC28A" w14:textId="77777777" w:rsidR="00A75E03" w:rsidRPr="009165C1" w:rsidRDefault="009165C1" w:rsidP="009165C1">
            <w:pPr>
              <w:spacing w:line="360" w:lineRule="auto"/>
              <w:jc w:val="center"/>
              <w:rPr>
                <w:rFonts w:ascii="Arial" w:hAnsi="Arial" w:cs="FrankRuehl"/>
                <w:b/>
                <w:bCs/>
                <w:sz w:val="32"/>
                <w:szCs w:val="32"/>
                <w:u w:val="single"/>
                <w:rtl/>
              </w:rPr>
            </w:pPr>
            <w:bookmarkStart w:id="5" w:name="_GoBack"/>
            <w:bookmarkStart w:id="6" w:name="PsakDin" w:colFirst="0" w:colLast="0"/>
            <w:bookmarkEnd w:id="0"/>
            <w:bookmarkEnd w:id="5"/>
            <w:r w:rsidRPr="009165C1">
              <w:rPr>
                <w:rFonts w:ascii="Arial" w:hAnsi="Arial" w:cs="FrankRuehl"/>
                <w:b/>
                <w:bCs/>
                <w:sz w:val="32"/>
                <w:szCs w:val="32"/>
                <w:u w:val="single"/>
                <w:rtl/>
              </w:rPr>
              <w:t>גזר דין</w:t>
            </w:r>
          </w:p>
        </w:tc>
      </w:tr>
      <w:bookmarkEnd w:id="6"/>
    </w:tbl>
    <w:p w14:paraId="305E0B37" w14:textId="77777777" w:rsidR="00A75E03" w:rsidRDefault="00A75E03">
      <w:pPr>
        <w:spacing w:line="360" w:lineRule="auto"/>
        <w:jc w:val="both"/>
        <w:rPr>
          <w:b/>
          <w:bCs/>
          <w:rtl/>
        </w:rPr>
      </w:pPr>
    </w:p>
    <w:p w14:paraId="22E1164C" w14:textId="77777777" w:rsidR="00A75E03" w:rsidRDefault="009165C1">
      <w:pPr>
        <w:spacing w:line="360" w:lineRule="auto"/>
        <w:jc w:val="both"/>
        <w:rPr>
          <w:b/>
          <w:bCs/>
          <w:rtl/>
        </w:rPr>
      </w:pPr>
      <w:bookmarkStart w:id="7" w:name="ABSTRACT_START"/>
      <w:bookmarkEnd w:id="7"/>
      <w:r>
        <w:rPr>
          <w:rFonts w:hint="cs"/>
          <w:b/>
          <w:bCs/>
          <w:rtl/>
        </w:rPr>
        <w:lastRenderedPageBreak/>
        <w:t xml:space="preserve">הנאשם הורשע על פי הודאתו בכתב אישום המונה אחד עשר פרטי אישום כאשר בכל אחד מהם יוחסה לו עבירה של איסור הפצה, לפי </w:t>
      </w:r>
      <w:hyperlink r:id="rId9" w:history="1">
        <w:r w:rsidR="0063366C" w:rsidRPr="0063366C">
          <w:rPr>
            <w:b/>
            <w:bCs/>
            <w:color w:val="0000FF"/>
            <w:u w:val="single"/>
            <w:rtl/>
          </w:rPr>
          <w:t>סעיף 7(א)</w:t>
        </w:r>
      </w:hyperlink>
      <w:r>
        <w:rPr>
          <w:rFonts w:hint="cs"/>
          <w:b/>
          <w:bCs/>
          <w:rtl/>
        </w:rPr>
        <w:t xml:space="preserve"> ל</w:t>
      </w:r>
      <w:hyperlink r:id="rId10" w:history="1">
        <w:r w:rsidRPr="009165C1">
          <w:rPr>
            <w:b/>
            <w:bCs/>
            <w:color w:val="0000FF"/>
            <w:u w:val="single"/>
            <w:rtl/>
          </w:rPr>
          <w:t>חוק המאבק בתופעת השימוש בחומרים מסכנים</w:t>
        </w:r>
      </w:hyperlink>
      <w:bookmarkStart w:id="8" w:name="ABSTRACT_END"/>
      <w:bookmarkEnd w:id="8"/>
      <w:r>
        <w:rPr>
          <w:rFonts w:hint="cs"/>
          <w:b/>
          <w:bCs/>
          <w:rtl/>
        </w:rPr>
        <w:t xml:space="preserve">. </w:t>
      </w:r>
    </w:p>
    <w:p w14:paraId="302128DE" w14:textId="77777777" w:rsidR="00A75E03" w:rsidRDefault="009165C1">
      <w:pPr>
        <w:spacing w:line="360" w:lineRule="auto"/>
        <w:jc w:val="both"/>
        <w:rPr>
          <w:b/>
          <w:bCs/>
          <w:rtl/>
        </w:rPr>
      </w:pPr>
      <w:r>
        <w:rPr>
          <w:rFonts w:hint="cs"/>
          <w:b/>
          <w:bCs/>
          <w:rtl/>
        </w:rPr>
        <w:t>בעשרה מתוך אחד עשר פרטי אישום אלה מדובר בריבוי עבירות.</w:t>
      </w:r>
    </w:p>
    <w:p w14:paraId="03299C87" w14:textId="77777777" w:rsidR="00A75E03" w:rsidRDefault="00A75E03">
      <w:pPr>
        <w:spacing w:line="360" w:lineRule="auto"/>
        <w:jc w:val="both"/>
        <w:rPr>
          <w:b/>
          <w:bCs/>
          <w:rtl/>
        </w:rPr>
      </w:pPr>
    </w:p>
    <w:p w14:paraId="6E668C48" w14:textId="77777777" w:rsidR="00A75E03" w:rsidRDefault="009165C1">
      <w:pPr>
        <w:spacing w:line="360" w:lineRule="auto"/>
        <w:jc w:val="both"/>
        <w:rPr>
          <w:b/>
          <w:bCs/>
          <w:rtl/>
        </w:rPr>
      </w:pPr>
      <w:r>
        <w:rPr>
          <w:rFonts w:hint="cs"/>
          <w:b/>
          <w:bCs/>
          <w:rtl/>
        </w:rPr>
        <w:t xml:space="preserve">במהלך החודשים ספטמבר 2013 </w:t>
      </w:r>
      <w:r>
        <w:rPr>
          <w:b/>
          <w:bCs/>
          <w:rtl/>
        </w:rPr>
        <w:t>–</w:t>
      </w:r>
      <w:r>
        <w:rPr>
          <w:rFonts w:hint="cs"/>
          <w:b/>
          <w:bCs/>
          <w:rtl/>
        </w:rPr>
        <w:t xml:space="preserve"> פברואר 2014 עסק הנאשם במכירת חומר המוכנה "נייס גאי" המורכב מחומר הנקרא </w:t>
      </w:r>
      <w:r>
        <w:rPr>
          <w:b/>
          <w:bCs/>
        </w:rPr>
        <w:t xml:space="preserve">PB-22 </w:t>
      </w:r>
      <w:r>
        <w:rPr>
          <w:rFonts w:hint="cs"/>
          <w:b/>
          <w:bCs/>
          <w:rtl/>
        </w:rPr>
        <w:t>.</w:t>
      </w:r>
    </w:p>
    <w:p w14:paraId="6F208A8F" w14:textId="77777777" w:rsidR="00A75E03" w:rsidRDefault="009165C1">
      <w:pPr>
        <w:spacing w:line="360" w:lineRule="auto"/>
        <w:jc w:val="both"/>
        <w:rPr>
          <w:b/>
          <w:bCs/>
          <w:rtl/>
        </w:rPr>
      </w:pPr>
      <w:r>
        <w:rPr>
          <w:rFonts w:hint="cs"/>
          <w:b/>
          <w:bCs/>
          <w:rtl/>
        </w:rPr>
        <w:t>בתקופה הנזכרת, הוכרז חומר זה כחומר אסור בהפצתה בהתאם ל</w:t>
      </w:r>
      <w:hyperlink r:id="rId11" w:history="1">
        <w:r w:rsidRPr="009165C1">
          <w:rPr>
            <w:b/>
            <w:bCs/>
            <w:color w:val="0000FF"/>
            <w:u w:val="single"/>
            <w:rtl/>
          </w:rPr>
          <w:t>חוק המאבק בתופעת השימוש בחומרים מסכנים</w:t>
        </w:r>
      </w:hyperlink>
      <w:r>
        <w:rPr>
          <w:rFonts w:hint="cs"/>
          <w:b/>
          <w:bCs/>
          <w:rtl/>
        </w:rPr>
        <w:t xml:space="preserve">. </w:t>
      </w:r>
    </w:p>
    <w:p w14:paraId="4E709027" w14:textId="77777777" w:rsidR="00A75E03" w:rsidRDefault="00A75E03">
      <w:pPr>
        <w:spacing w:line="360" w:lineRule="auto"/>
        <w:jc w:val="both"/>
        <w:rPr>
          <w:b/>
          <w:bCs/>
          <w:rtl/>
        </w:rPr>
      </w:pPr>
    </w:p>
    <w:p w14:paraId="4F56F9EA" w14:textId="77777777" w:rsidR="00A75E03" w:rsidRDefault="009165C1">
      <w:pPr>
        <w:spacing w:line="360" w:lineRule="auto"/>
        <w:jc w:val="both"/>
        <w:rPr>
          <w:b/>
          <w:bCs/>
          <w:rtl/>
        </w:rPr>
      </w:pPr>
      <w:r>
        <w:rPr>
          <w:rFonts w:hint="cs"/>
          <w:b/>
          <w:bCs/>
          <w:rtl/>
        </w:rPr>
        <w:t xml:space="preserve">בתקופה זו החזיק הנאשם והשתמש ברכב מסחרי אשר עליו כתוב "שופרסל". במועדים הרלבנטיים לכתב האישום מכר הנאשם את החומר האמור לאנשים שונים . בחלק מן המקרים החביא הנאשם את החומר ברכב או במקומות מסתור ברחוב והנחה את הקונים לקחת את החומר ממקום המסתור. בחלק אחר של המקרים, מסר הנאשם עצמו את החומר לקונים וקיבל תמורתו לידו. </w:t>
      </w:r>
    </w:p>
    <w:p w14:paraId="56BE665D" w14:textId="77777777" w:rsidR="00A75E03" w:rsidRDefault="00A75E03">
      <w:pPr>
        <w:spacing w:line="360" w:lineRule="auto"/>
        <w:jc w:val="both"/>
        <w:rPr>
          <w:b/>
          <w:bCs/>
          <w:rtl/>
        </w:rPr>
      </w:pPr>
    </w:p>
    <w:p w14:paraId="6169EE40" w14:textId="77777777" w:rsidR="00A75E03" w:rsidRDefault="009165C1">
      <w:pPr>
        <w:spacing w:line="360" w:lineRule="auto"/>
        <w:jc w:val="both"/>
        <w:rPr>
          <w:b/>
          <w:bCs/>
          <w:rtl/>
        </w:rPr>
      </w:pPr>
      <w:r>
        <w:rPr>
          <w:rFonts w:hint="cs"/>
          <w:b/>
          <w:bCs/>
          <w:rtl/>
        </w:rPr>
        <w:t>בתאריך11/2/14  התקשר שוטר אל הנאשם וביקש לקנות ממנו את החומר. הנאשם תאם עימו מקום לקבלת  החומר ומסירתו    התמורה הכספית. משהגיע השוטר למקום והנאשם הבחין בו מחלון ביתו, הוא הנחה את השוטר לרכבו. הלה פתח את דלת הרכב, נטל את השקית ובה הסמים ובהתאם להוראת הנאשם, הניח חלף שקית זו 120 ש"ח. לאחר כ-40 דקות ירד הנאשם מביתו, ניגש לרכב ונטל את הכסף, אותו השאיר השוטר.</w:t>
      </w:r>
    </w:p>
    <w:p w14:paraId="37E5FFBE" w14:textId="77777777" w:rsidR="00A75E03" w:rsidRDefault="009165C1">
      <w:pPr>
        <w:spacing w:line="360" w:lineRule="auto"/>
        <w:jc w:val="both"/>
        <w:rPr>
          <w:b/>
          <w:bCs/>
          <w:rtl/>
        </w:rPr>
      </w:pPr>
      <w:r>
        <w:rPr>
          <w:rFonts w:hint="cs"/>
          <w:b/>
          <w:bCs/>
          <w:rtl/>
        </w:rPr>
        <w:t xml:space="preserve"> במהלך מעצרו באותו יום, נעשה חיפוש בביתו ונתפסו בחזקתו 19 שקיות נוספות ובהם חומ ר האסור בהפצה. </w:t>
      </w:r>
    </w:p>
    <w:p w14:paraId="0D90E47C" w14:textId="77777777" w:rsidR="00A75E03" w:rsidRDefault="00A75E03">
      <w:pPr>
        <w:spacing w:line="360" w:lineRule="auto"/>
        <w:jc w:val="both"/>
        <w:rPr>
          <w:b/>
          <w:bCs/>
          <w:rtl/>
        </w:rPr>
      </w:pPr>
    </w:p>
    <w:p w14:paraId="0A9A0EF7" w14:textId="77777777" w:rsidR="00A75E03" w:rsidRDefault="009165C1">
      <w:pPr>
        <w:spacing w:line="360" w:lineRule="auto"/>
        <w:jc w:val="both"/>
        <w:rPr>
          <w:b/>
          <w:bCs/>
          <w:rtl/>
        </w:rPr>
      </w:pPr>
      <w:r>
        <w:rPr>
          <w:rFonts w:hint="cs"/>
          <w:b/>
          <w:bCs/>
          <w:rtl/>
        </w:rPr>
        <w:t xml:space="preserve">עשרה פרטי אישום נוספים מתארים הכיצד בלמעלה ממאה מועדים שונים  (ולפחות 103 מועדים כנטען בכתב האישום) בתקופה הנזכרת מכר הנאשם לאנשים שונים את החומר האסור בהפצה בתמורה לסכום של 120 ₪ בכל הזדמנות והזדמנות. </w:t>
      </w:r>
    </w:p>
    <w:p w14:paraId="533CC9C2" w14:textId="77777777" w:rsidR="00A75E03" w:rsidRDefault="00A75E03">
      <w:pPr>
        <w:spacing w:line="360" w:lineRule="auto"/>
        <w:jc w:val="both"/>
        <w:rPr>
          <w:b/>
          <w:bCs/>
          <w:rtl/>
        </w:rPr>
      </w:pPr>
    </w:p>
    <w:p w14:paraId="5E1501E0" w14:textId="77777777" w:rsidR="00A75E03" w:rsidRDefault="00A75E03">
      <w:pPr>
        <w:spacing w:line="360" w:lineRule="auto"/>
        <w:jc w:val="both"/>
        <w:rPr>
          <w:b/>
          <w:bCs/>
          <w:rtl/>
        </w:rPr>
      </w:pPr>
    </w:p>
    <w:p w14:paraId="66F5C584" w14:textId="77777777" w:rsidR="00A75E03" w:rsidRDefault="009165C1">
      <w:pPr>
        <w:spacing w:line="360" w:lineRule="auto"/>
        <w:jc w:val="both"/>
        <w:rPr>
          <w:b/>
          <w:bCs/>
          <w:rtl/>
        </w:rPr>
      </w:pPr>
      <w:r>
        <w:rPr>
          <w:rFonts w:hint="cs"/>
          <w:b/>
          <w:bCs/>
          <w:rtl/>
        </w:rPr>
        <w:t>במהלך הטיעונים לעונש העיד מטעמה של התביעה מר ברק שפירא מהאגף לאכיפה ופיקוח  במשרד הבריאות, שאף חוות דעת מטעמו הוגשה (ת/1).</w:t>
      </w:r>
    </w:p>
    <w:p w14:paraId="7DA73C4E" w14:textId="77777777" w:rsidR="00A75E03" w:rsidRDefault="009165C1">
      <w:pPr>
        <w:spacing w:line="360" w:lineRule="auto"/>
        <w:jc w:val="both"/>
        <w:rPr>
          <w:b/>
          <w:bCs/>
          <w:rtl/>
        </w:rPr>
      </w:pPr>
      <w:r>
        <w:rPr>
          <w:rFonts w:hint="cs"/>
          <w:b/>
          <w:bCs/>
          <w:rtl/>
        </w:rPr>
        <w:t xml:space="preserve">בחוות הדעת תואר החומר האסור הנזכר לעיל וכן הרכבו הכימי. נמסר כי חומר זה אסור להפצה בישראל מאז 12/9/13 מכוחו של </w:t>
      </w:r>
      <w:hyperlink r:id="rId12" w:history="1">
        <w:r w:rsidRPr="009165C1">
          <w:rPr>
            <w:b/>
            <w:bCs/>
            <w:color w:val="0000FF"/>
            <w:u w:val="single"/>
            <w:rtl/>
          </w:rPr>
          <w:t>חוק המאבק בתופעת השימוש בחומרים מסכנים</w:t>
        </w:r>
      </w:hyperlink>
      <w:r>
        <w:rPr>
          <w:rFonts w:hint="cs"/>
          <w:b/>
          <w:bCs/>
          <w:rtl/>
        </w:rPr>
        <w:t xml:space="preserve"> ואף נכלל בפקודת הסמים מאז שנת 2014.  שיוכו של החומר הוא "קנבינואיד סינתטי". </w:t>
      </w:r>
    </w:p>
    <w:p w14:paraId="13C176FF" w14:textId="77777777" w:rsidR="00A75E03" w:rsidRDefault="00A75E03">
      <w:pPr>
        <w:spacing w:line="360" w:lineRule="auto"/>
        <w:jc w:val="both"/>
        <w:rPr>
          <w:b/>
          <w:bCs/>
          <w:rtl/>
        </w:rPr>
      </w:pPr>
    </w:p>
    <w:p w14:paraId="7FFED572" w14:textId="77777777" w:rsidR="00A75E03" w:rsidRDefault="009165C1">
      <w:pPr>
        <w:spacing w:line="360" w:lineRule="auto"/>
        <w:jc w:val="both"/>
        <w:rPr>
          <w:b/>
          <w:bCs/>
          <w:rtl/>
        </w:rPr>
      </w:pPr>
      <w:r>
        <w:rPr>
          <w:rFonts w:hint="cs"/>
          <w:b/>
          <w:bCs/>
          <w:rtl/>
        </w:rPr>
        <w:lastRenderedPageBreak/>
        <w:t xml:space="preserve">תוארו דרכי השימוש בחומר זה וצויין כי משקל הסיגריה של החומר "נייס גיא" סם פיצוציות המורכבת מתערובת צמח וחומר פעיל, הינה כ-0.4 גרם לערך. </w:t>
      </w:r>
    </w:p>
    <w:p w14:paraId="6E4F7B2F" w14:textId="77777777" w:rsidR="00A75E03" w:rsidRDefault="00A75E03">
      <w:pPr>
        <w:spacing w:line="360" w:lineRule="auto"/>
        <w:jc w:val="both"/>
        <w:rPr>
          <w:b/>
          <w:bCs/>
          <w:rtl/>
        </w:rPr>
      </w:pPr>
    </w:p>
    <w:p w14:paraId="7A35B52E" w14:textId="77777777" w:rsidR="00A75E03" w:rsidRDefault="009165C1">
      <w:pPr>
        <w:spacing w:line="360" w:lineRule="auto"/>
        <w:jc w:val="both"/>
        <w:rPr>
          <w:b/>
          <w:bCs/>
          <w:rtl/>
        </w:rPr>
      </w:pPr>
      <w:r>
        <w:rPr>
          <w:rFonts w:hint="cs"/>
          <w:b/>
          <w:bCs/>
          <w:rtl/>
        </w:rPr>
        <w:t>קנבינואיד סינתטי על פי חוות דעת זו הוא ומר פסיכו אקטיבי, בעל השפעות סדטיביות, משנות תודעה, מצב רוח, ערות, התנהגות ותפיסה בדומה לאלה המתקבלות מהחומר הפעיל בקנבוס. הקולטנים לחומר זה מצויים בגוף האדם במקומות רבים לרבות במערכת העצבים המרכזית, בחלקים נרחבים במוח, לרבות אלה להם מיוחס תפקיד בבקרה על תהליכי זיכרון, חשיבה וקוגניציה.</w:t>
      </w:r>
    </w:p>
    <w:p w14:paraId="79749055" w14:textId="77777777" w:rsidR="00A75E03" w:rsidRDefault="009165C1">
      <w:pPr>
        <w:spacing w:line="360" w:lineRule="auto"/>
        <w:jc w:val="both"/>
        <w:rPr>
          <w:b/>
          <w:bCs/>
          <w:rtl/>
        </w:rPr>
      </w:pPr>
      <w:r>
        <w:rPr>
          <w:rFonts w:hint="cs"/>
          <w:b/>
          <w:bCs/>
          <w:rtl/>
        </w:rPr>
        <w:t xml:space="preserve">רף הקליטה של חומרים אלה בגוף גבוה מאלה של החומר הפעיל בצמח הקנביס ומכאן גם ההשלכות לגבי התופעות הנלוות לשימוש בחומר כזה. </w:t>
      </w:r>
    </w:p>
    <w:p w14:paraId="07D1F901" w14:textId="77777777" w:rsidR="00A75E03" w:rsidRDefault="00A75E03">
      <w:pPr>
        <w:spacing w:line="360" w:lineRule="auto"/>
        <w:jc w:val="both"/>
        <w:rPr>
          <w:b/>
          <w:bCs/>
          <w:rtl/>
        </w:rPr>
      </w:pPr>
    </w:p>
    <w:p w14:paraId="1D4A530A" w14:textId="77777777" w:rsidR="00A75E03" w:rsidRDefault="009165C1">
      <w:pPr>
        <w:spacing w:line="360" w:lineRule="auto"/>
        <w:jc w:val="both"/>
        <w:rPr>
          <w:b/>
          <w:bCs/>
          <w:rtl/>
        </w:rPr>
      </w:pPr>
      <w:r>
        <w:rPr>
          <w:rFonts w:hint="cs"/>
          <w:b/>
          <w:bCs/>
          <w:rtl/>
        </w:rPr>
        <w:t xml:space="preserve">הקנבינואידים הסינתטיים מוכרים ככאלה שהשימוש בהם גורם להתמכרות ופיתוח תלות והפסקת צריכתם מתוארת כגוררת הופעת סימני גמילה ותלות.  עוד פורטו בהרחבה נזקים פיזיים העלולים להיגרם כתוצאה משימוש בחומרים אלה,  ואף תיאור של מקרים שהתרחשו בישראל, כאשר צעירים שעשו שימוש בחומרים אלה סבלו מתופעות שונות לרבות התקפים פסיכוטיים. </w:t>
      </w:r>
    </w:p>
    <w:p w14:paraId="47605889" w14:textId="77777777" w:rsidR="00A75E03" w:rsidRDefault="00A75E03">
      <w:pPr>
        <w:spacing w:line="360" w:lineRule="auto"/>
        <w:jc w:val="both"/>
        <w:rPr>
          <w:b/>
          <w:bCs/>
          <w:rtl/>
        </w:rPr>
      </w:pPr>
    </w:p>
    <w:p w14:paraId="5631588F" w14:textId="77777777" w:rsidR="00A75E03" w:rsidRDefault="009165C1">
      <w:pPr>
        <w:spacing w:line="360" w:lineRule="auto"/>
        <w:jc w:val="both"/>
        <w:rPr>
          <w:b/>
          <w:bCs/>
          <w:rtl/>
        </w:rPr>
      </w:pPr>
      <w:r>
        <w:rPr>
          <w:rFonts w:hint="cs"/>
          <w:b/>
          <w:bCs/>
          <w:rtl/>
        </w:rPr>
        <w:t>בבית המשפט חזר מר שפירא על האמור בחוות הדעת.</w:t>
      </w:r>
    </w:p>
    <w:p w14:paraId="3E1F4928" w14:textId="77777777" w:rsidR="00A75E03" w:rsidRDefault="00A75E03">
      <w:pPr>
        <w:spacing w:line="360" w:lineRule="auto"/>
        <w:jc w:val="both"/>
        <w:rPr>
          <w:b/>
          <w:bCs/>
          <w:rtl/>
        </w:rPr>
      </w:pPr>
    </w:p>
    <w:p w14:paraId="514649E3" w14:textId="77777777" w:rsidR="00A75E03" w:rsidRDefault="009165C1">
      <w:pPr>
        <w:spacing w:line="360" w:lineRule="auto"/>
        <w:jc w:val="both"/>
        <w:rPr>
          <w:b/>
          <w:bCs/>
          <w:rtl/>
        </w:rPr>
      </w:pPr>
      <w:r>
        <w:rPr>
          <w:rFonts w:hint="cs"/>
          <w:b/>
          <w:bCs/>
          <w:rtl/>
        </w:rPr>
        <w:t xml:space="preserve">בחקירתו הנגדית אישר כי החומר דנן הוכנס לפקודת הסמים באוגוסט 2014, דהיינו לאחר ביצוע העבירות בכתב האישום. </w:t>
      </w:r>
    </w:p>
    <w:p w14:paraId="108D78D0" w14:textId="77777777" w:rsidR="00A75E03" w:rsidRDefault="00A75E03">
      <w:pPr>
        <w:spacing w:line="360" w:lineRule="auto"/>
        <w:jc w:val="both"/>
        <w:rPr>
          <w:b/>
          <w:bCs/>
          <w:rtl/>
        </w:rPr>
      </w:pPr>
    </w:p>
    <w:p w14:paraId="1E6073E5" w14:textId="77777777" w:rsidR="00A75E03" w:rsidRDefault="009165C1">
      <w:pPr>
        <w:spacing w:line="360" w:lineRule="auto"/>
        <w:jc w:val="both"/>
        <w:rPr>
          <w:b/>
          <w:bCs/>
          <w:rtl/>
        </w:rPr>
      </w:pPr>
      <w:r>
        <w:rPr>
          <w:rFonts w:hint="cs"/>
          <w:b/>
          <w:bCs/>
          <w:rtl/>
        </w:rPr>
        <w:t xml:space="preserve">עוד ציין מר שפירא כי אין סטטיסטיקה מוכרת באשר למספר המשתמשים בחומר זה בישראל וכן באשר למספר אלה הסובלים מתופעות הלוואי הקשות, כפי שתאר אותן. </w:t>
      </w:r>
    </w:p>
    <w:p w14:paraId="754AD1BC" w14:textId="77777777" w:rsidR="00A75E03" w:rsidRDefault="00A75E03">
      <w:pPr>
        <w:spacing w:line="360" w:lineRule="auto"/>
        <w:jc w:val="both"/>
        <w:rPr>
          <w:b/>
          <w:bCs/>
          <w:rtl/>
        </w:rPr>
      </w:pPr>
    </w:p>
    <w:p w14:paraId="525D0651" w14:textId="77777777" w:rsidR="00A75E03" w:rsidRDefault="009165C1">
      <w:pPr>
        <w:spacing w:line="360" w:lineRule="auto"/>
        <w:jc w:val="both"/>
        <w:rPr>
          <w:b/>
          <w:bCs/>
          <w:rtl/>
        </w:rPr>
      </w:pPr>
      <w:r>
        <w:rPr>
          <w:rFonts w:hint="cs"/>
          <w:b/>
          <w:bCs/>
          <w:rtl/>
        </w:rPr>
        <w:t xml:space="preserve">העד אישר כי ריכוז החומר אינו ידוע לו במקרה זה, אך ציין כי החומר פעיל גם בכמות קטנה ועל כן גם לכמות קטנה יש משמעות. </w:t>
      </w:r>
    </w:p>
    <w:p w14:paraId="55C8365A" w14:textId="77777777" w:rsidR="00A75E03" w:rsidRDefault="00A75E03">
      <w:pPr>
        <w:spacing w:line="360" w:lineRule="auto"/>
        <w:jc w:val="both"/>
        <w:rPr>
          <w:b/>
          <w:bCs/>
          <w:rtl/>
        </w:rPr>
      </w:pPr>
    </w:p>
    <w:p w14:paraId="7CDA0E3B" w14:textId="77777777" w:rsidR="00A75E03" w:rsidRDefault="00A75E03">
      <w:pPr>
        <w:spacing w:line="360" w:lineRule="auto"/>
        <w:jc w:val="both"/>
        <w:rPr>
          <w:b/>
          <w:bCs/>
          <w:rtl/>
        </w:rPr>
      </w:pPr>
    </w:p>
    <w:p w14:paraId="5460F115" w14:textId="77777777" w:rsidR="00A75E03" w:rsidRDefault="009165C1">
      <w:pPr>
        <w:spacing w:line="360" w:lineRule="auto"/>
        <w:jc w:val="both"/>
        <w:rPr>
          <w:b/>
          <w:bCs/>
          <w:rtl/>
        </w:rPr>
      </w:pPr>
      <w:r>
        <w:rPr>
          <w:rFonts w:hint="cs"/>
          <w:b/>
          <w:bCs/>
          <w:rtl/>
        </w:rPr>
        <w:t>התביעה הפנתה בטיעוניה אל הצעת החוק הרלבנטי , אשר כבר משמו ניתן ללמוד על תכליתו.  מטרת החוק לגשר על הפער שבין הפצת החומר בשוק  ועד למועד הכרזתו כסם מסוכן לפי פקודת הסמים.  דבר שלא ניתן היה לעשות קודם לחקיקת החוק ונוצר מצב של הפצה ושימוש בחומרים מסכנים , במסווה של חומר חוקי, על אף כל הנזקים שהם מסוגלים לגרום.</w:t>
      </w:r>
    </w:p>
    <w:p w14:paraId="260D9204" w14:textId="77777777" w:rsidR="00A75E03" w:rsidRDefault="009165C1">
      <w:pPr>
        <w:spacing w:line="360" w:lineRule="auto"/>
        <w:jc w:val="both"/>
        <w:rPr>
          <w:b/>
          <w:bCs/>
          <w:rtl/>
        </w:rPr>
      </w:pPr>
      <w:r>
        <w:rPr>
          <w:rFonts w:hint="cs"/>
          <w:b/>
          <w:bCs/>
          <w:rtl/>
        </w:rPr>
        <w:t xml:space="preserve">לטעמה של התביעה, הסוחרים בחומרים אלה, פוגעים בערכים המוגנים בהם פוגעים סוחרי הסמים. </w:t>
      </w:r>
    </w:p>
    <w:p w14:paraId="71A75FB1" w14:textId="77777777" w:rsidR="00A75E03" w:rsidRDefault="00A75E03">
      <w:pPr>
        <w:spacing w:line="360" w:lineRule="auto"/>
        <w:jc w:val="both"/>
        <w:rPr>
          <w:b/>
          <w:bCs/>
          <w:rtl/>
        </w:rPr>
      </w:pPr>
    </w:p>
    <w:p w14:paraId="3D0F0B01" w14:textId="77777777" w:rsidR="00A75E03" w:rsidRDefault="009165C1">
      <w:pPr>
        <w:spacing w:line="360" w:lineRule="auto"/>
        <w:jc w:val="both"/>
        <w:rPr>
          <w:b/>
          <w:bCs/>
          <w:rtl/>
        </w:rPr>
      </w:pPr>
      <w:r>
        <w:rPr>
          <w:rFonts w:hint="cs"/>
          <w:b/>
          <w:bCs/>
          <w:rtl/>
        </w:rPr>
        <w:t xml:space="preserve">התביעה הדגישה כי מדובר בנאשם שעסק זמן רב במכירת החומר ובמכירתו לכל דורש. הגם שבפני שירות המבחן ציין כי לא ידע שמדובר בחומר אסור, כך טענה התביעה, הרי שהתנהגותו מלמדת כי לא כך היה הדבר ועל כן גם נהג להסתיר את החומר. לענין הנזק הצפוי ממעשים אלה, הפנתה אל עדותו של ברק שפירא. </w:t>
      </w:r>
    </w:p>
    <w:p w14:paraId="0525E907" w14:textId="77777777" w:rsidR="00A75E03" w:rsidRDefault="00A75E03">
      <w:pPr>
        <w:spacing w:line="360" w:lineRule="auto"/>
        <w:jc w:val="both"/>
        <w:rPr>
          <w:b/>
          <w:bCs/>
          <w:rtl/>
        </w:rPr>
      </w:pPr>
    </w:p>
    <w:p w14:paraId="1A6965D8" w14:textId="77777777" w:rsidR="00A75E03" w:rsidRDefault="009165C1">
      <w:pPr>
        <w:spacing w:line="360" w:lineRule="auto"/>
        <w:jc w:val="both"/>
        <w:rPr>
          <w:b/>
          <w:bCs/>
          <w:rtl/>
        </w:rPr>
      </w:pPr>
      <w:r>
        <w:rPr>
          <w:rFonts w:hint="cs"/>
          <w:b/>
          <w:bCs/>
          <w:rtl/>
        </w:rPr>
        <w:t xml:space="preserve">התביעה ציינה כי עד כה קיימים אך מספר תקדימים בנושאים אלה ואולם בהסתמך  עליהם ועל המתחם שנקבע בהם , כפי שהציגה, באשר לנסיבות העבירות שנדונו באותם מקרים, טענה כי המתחם הראוי  נע בין 40-60  חודשי מאסר בפועל, לצד מאסר מותנה וקנס, באשר מדובר בעבירות אשר בוצעו למען רווח כלכלי. </w:t>
      </w:r>
    </w:p>
    <w:p w14:paraId="5874E111" w14:textId="77777777" w:rsidR="00A75E03" w:rsidRDefault="00A75E03">
      <w:pPr>
        <w:spacing w:line="360" w:lineRule="auto"/>
        <w:jc w:val="both"/>
        <w:rPr>
          <w:b/>
          <w:bCs/>
          <w:rtl/>
        </w:rPr>
      </w:pPr>
    </w:p>
    <w:p w14:paraId="16EB1B9A" w14:textId="77777777" w:rsidR="00A75E03" w:rsidRDefault="00A75E03">
      <w:pPr>
        <w:spacing w:line="360" w:lineRule="auto"/>
        <w:jc w:val="both"/>
        <w:rPr>
          <w:b/>
          <w:bCs/>
          <w:rtl/>
        </w:rPr>
      </w:pPr>
    </w:p>
    <w:p w14:paraId="548E8EED" w14:textId="77777777" w:rsidR="00A75E03" w:rsidRDefault="009165C1">
      <w:pPr>
        <w:spacing w:line="360" w:lineRule="auto"/>
        <w:jc w:val="both"/>
        <w:rPr>
          <w:b/>
          <w:bCs/>
          <w:rtl/>
        </w:rPr>
      </w:pPr>
      <w:r>
        <w:rPr>
          <w:rFonts w:hint="cs"/>
          <w:b/>
          <w:bCs/>
          <w:rtl/>
        </w:rPr>
        <w:t xml:space="preserve">התביעה ציינה כי הנאשם נעדר עבר פלילי ואף שיתף פעולה עם שירות המבחן בהליך טיפולי בו שולב, וכמו כן הודה. כן התחשבה התביעה בכך שביצוע העבירות בוצע סמוך להכרזת החומר כחומר מסכן. לולא אלה , כך ציינה התביעה, היתה עותרת לעונש חמור יותר, שכן יש צורך למגר תופעה פסולה זו. </w:t>
      </w:r>
    </w:p>
    <w:p w14:paraId="7C0E0BD6" w14:textId="77777777" w:rsidR="00A75E03" w:rsidRDefault="009165C1">
      <w:pPr>
        <w:spacing w:line="360" w:lineRule="auto"/>
        <w:jc w:val="both"/>
        <w:rPr>
          <w:b/>
          <w:bCs/>
          <w:rtl/>
        </w:rPr>
      </w:pPr>
      <w:r>
        <w:rPr>
          <w:rFonts w:hint="cs"/>
          <w:b/>
          <w:bCs/>
          <w:rtl/>
        </w:rPr>
        <w:t xml:space="preserve">לאור כל אלה עתרה התביעה לגזור את עונשו של הנאשם ברף הנמוך של מתחם הענישה, דהיינו 40 חודשי מאסר, מאסר מותנה ו קנס. </w:t>
      </w:r>
    </w:p>
    <w:p w14:paraId="41E9069B" w14:textId="77777777" w:rsidR="00A75E03" w:rsidRDefault="00A75E03">
      <w:pPr>
        <w:spacing w:line="360" w:lineRule="auto"/>
        <w:jc w:val="both"/>
        <w:rPr>
          <w:b/>
          <w:bCs/>
          <w:rtl/>
        </w:rPr>
      </w:pPr>
    </w:p>
    <w:p w14:paraId="23AF3783" w14:textId="77777777" w:rsidR="00A75E03" w:rsidRDefault="009165C1">
      <w:pPr>
        <w:spacing w:line="360" w:lineRule="auto"/>
        <w:jc w:val="both"/>
        <w:rPr>
          <w:b/>
          <w:bCs/>
          <w:rtl/>
        </w:rPr>
      </w:pPr>
      <w:r>
        <w:rPr>
          <w:rFonts w:hint="cs"/>
          <w:b/>
          <w:bCs/>
          <w:rtl/>
        </w:rPr>
        <w:t xml:space="preserve">ב"כ הנאשם ציין כי אינו מקל ראש בעבירות, אך המתחם שהוצע על ידי התביעה מנותק מכל וכל. </w:t>
      </w:r>
    </w:p>
    <w:p w14:paraId="13F14FD8" w14:textId="77777777" w:rsidR="00A75E03" w:rsidRDefault="009165C1">
      <w:pPr>
        <w:spacing w:line="360" w:lineRule="auto"/>
        <w:jc w:val="both"/>
        <w:rPr>
          <w:b/>
          <w:bCs/>
          <w:rtl/>
        </w:rPr>
      </w:pPr>
      <w:r>
        <w:rPr>
          <w:rFonts w:hint="cs"/>
          <w:b/>
          <w:bCs/>
          <w:rtl/>
        </w:rPr>
        <w:t xml:space="preserve">לטעמו של ב"כ הנאשם מדובר בכמויות קטנות של החומר וזאת הוא למד מהתמורה הכספית שקיבל הנאשם בכל מכירה וכן מדובר, כך ציין בתקופה מוגדרת של כמה חודשים בה נעברו עבירות אלה. </w:t>
      </w:r>
    </w:p>
    <w:p w14:paraId="2B90CE3D" w14:textId="77777777" w:rsidR="00A75E03" w:rsidRDefault="009165C1">
      <w:pPr>
        <w:spacing w:line="360" w:lineRule="auto"/>
        <w:jc w:val="both"/>
        <w:rPr>
          <w:b/>
          <w:bCs/>
          <w:rtl/>
        </w:rPr>
      </w:pPr>
      <w:r>
        <w:rPr>
          <w:rFonts w:hint="cs"/>
          <w:b/>
          <w:bCs/>
          <w:rtl/>
        </w:rPr>
        <w:t xml:space="preserve">מאז מעצרו, כך טען, שיתף הנאשם פעולה באורח מלא ויש ליתן לכך משקל נכבד. </w:t>
      </w:r>
    </w:p>
    <w:p w14:paraId="6D44B98C" w14:textId="77777777" w:rsidR="00A75E03" w:rsidRDefault="00A75E03">
      <w:pPr>
        <w:spacing w:line="360" w:lineRule="auto"/>
        <w:jc w:val="both"/>
        <w:rPr>
          <w:b/>
          <w:bCs/>
          <w:rtl/>
        </w:rPr>
      </w:pPr>
    </w:p>
    <w:p w14:paraId="008F2354" w14:textId="77777777" w:rsidR="00A75E03" w:rsidRDefault="009165C1">
      <w:pPr>
        <w:spacing w:line="360" w:lineRule="auto"/>
        <w:jc w:val="both"/>
        <w:rPr>
          <w:b/>
          <w:bCs/>
          <w:rtl/>
        </w:rPr>
      </w:pPr>
      <w:r>
        <w:rPr>
          <w:rFonts w:hint="cs"/>
          <w:b/>
          <w:bCs/>
          <w:rtl/>
        </w:rPr>
        <w:t>עוד הפנה ב"כ הנאשם לכך כי ההכרזה לגבי החומר דנן כחומר מסכן נעשתה ב-12/9/13, דהיינו הנאשם ביצע את העבירות סמוך מאוד לאחר ההכרזה. מאחר שמדובר בחוק חדש ובמעשים שבוצעו בנסיבות אלה, הרי שאין למצות את הדין עם הנאשם.</w:t>
      </w:r>
    </w:p>
    <w:p w14:paraId="0E4AFD8C" w14:textId="77777777" w:rsidR="00A75E03" w:rsidRDefault="009165C1">
      <w:pPr>
        <w:spacing w:line="360" w:lineRule="auto"/>
        <w:jc w:val="both"/>
        <w:rPr>
          <w:b/>
          <w:bCs/>
          <w:rtl/>
        </w:rPr>
      </w:pPr>
      <w:r>
        <w:rPr>
          <w:rFonts w:hint="cs"/>
          <w:b/>
          <w:bCs/>
          <w:rtl/>
        </w:rPr>
        <w:t xml:space="preserve">עוד הדגיש ב"כ הנאשם כי בשל הסתבכותו זו היה הנאשם כחודש וחצי במעצר  ולאחר מכן משהופנה אל שירות המבחן שולב בהצלחה בהליך  טיפולי. לטעמו של ב"כ הנאשם, הניסיון אשר עולה יפה, לשקם את הנאשם אינו עולה בקנה אחד עם עתירתה המחמירה מאוד של התביעה.  </w:t>
      </w:r>
    </w:p>
    <w:p w14:paraId="6DEDA7E5" w14:textId="77777777" w:rsidR="00A75E03" w:rsidRDefault="00A75E03">
      <w:pPr>
        <w:spacing w:line="360" w:lineRule="auto"/>
        <w:jc w:val="both"/>
        <w:rPr>
          <w:b/>
          <w:bCs/>
          <w:rtl/>
        </w:rPr>
      </w:pPr>
    </w:p>
    <w:p w14:paraId="514EDED5" w14:textId="77777777" w:rsidR="00A75E03" w:rsidRDefault="009165C1">
      <w:pPr>
        <w:spacing w:line="360" w:lineRule="auto"/>
        <w:jc w:val="both"/>
        <w:rPr>
          <w:b/>
          <w:bCs/>
          <w:rtl/>
        </w:rPr>
      </w:pPr>
      <w:r>
        <w:rPr>
          <w:rFonts w:hint="cs"/>
          <w:b/>
          <w:bCs/>
          <w:rtl/>
        </w:rPr>
        <w:t xml:space="preserve">לנאשם משפחה נורמטיבית ותומכת ואף מציבת גבולות ועם זאת העסק של אבי הנאשם קרס והמשפחה כולה שקעה בחובות. ב"כ הנאשם הציג מסמכים בדבר חובותיו שהנאשם המסתכמים בכ-200,000 ₪. </w:t>
      </w:r>
    </w:p>
    <w:p w14:paraId="59C7837E" w14:textId="77777777" w:rsidR="00A75E03" w:rsidRDefault="009165C1">
      <w:pPr>
        <w:spacing w:line="360" w:lineRule="auto"/>
        <w:jc w:val="both"/>
        <w:rPr>
          <w:b/>
          <w:bCs/>
          <w:rtl/>
        </w:rPr>
      </w:pPr>
      <w:r>
        <w:rPr>
          <w:rFonts w:hint="cs"/>
          <w:b/>
          <w:bCs/>
          <w:rtl/>
        </w:rPr>
        <w:t>לטעמו של ב"כ</w:t>
      </w:r>
      <w:r>
        <w:rPr>
          <w:b/>
          <w:bCs/>
        </w:rPr>
        <w:t xml:space="preserve"> </w:t>
      </w:r>
      <w:r>
        <w:rPr>
          <w:rFonts w:hint="cs"/>
          <w:b/>
          <w:bCs/>
          <w:rtl/>
        </w:rPr>
        <w:t xml:space="preserve">הנאשם יש לקבל את המלצות שירות המבחן ולהטיל על הנאשם מאסר בפועל בדרך של עבודות שירות. </w:t>
      </w:r>
    </w:p>
    <w:p w14:paraId="560C6B1D" w14:textId="77777777" w:rsidR="00A75E03" w:rsidRDefault="00A75E03">
      <w:pPr>
        <w:spacing w:line="360" w:lineRule="auto"/>
        <w:jc w:val="both"/>
        <w:rPr>
          <w:b/>
          <w:bCs/>
          <w:rtl/>
        </w:rPr>
      </w:pPr>
    </w:p>
    <w:p w14:paraId="3576186B" w14:textId="77777777" w:rsidR="00A75E03" w:rsidRDefault="009165C1">
      <w:pPr>
        <w:spacing w:line="360" w:lineRule="auto"/>
        <w:jc w:val="both"/>
        <w:rPr>
          <w:b/>
          <w:bCs/>
          <w:rtl/>
        </w:rPr>
      </w:pPr>
      <w:r>
        <w:rPr>
          <w:rFonts w:hint="cs"/>
          <w:b/>
          <w:bCs/>
          <w:rtl/>
        </w:rPr>
        <w:t xml:space="preserve">בדברו האחרון הביע הנאשם חרטה על מעשיו וציין כי כיום הינו מודע למעשים ולמשמעותם ומצוי בהליך שיקומי ארוך . לדבריו מדובר במעידה חד פעמית שלא תחזור על עצמה. הוא מעוניין לחזור לחיים נורמטיביים. </w:t>
      </w:r>
    </w:p>
    <w:p w14:paraId="0E939565" w14:textId="77777777" w:rsidR="00A75E03" w:rsidRDefault="00A75E03">
      <w:pPr>
        <w:spacing w:line="360" w:lineRule="auto"/>
        <w:jc w:val="both"/>
        <w:rPr>
          <w:b/>
          <w:bCs/>
          <w:rtl/>
        </w:rPr>
      </w:pPr>
    </w:p>
    <w:p w14:paraId="4ED6F2F8" w14:textId="77777777" w:rsidR="00A75E03" w:rsidRDefault="009165C1">
      <w:pPr>
        <w:spacing w:line="360" w:lineRule="auto"/>
        <w:jc w:val="both"/>
        <w:rPr>
          <w:b/>
          <w:bCs/>
          <w:rtl/>
        </w:rPr>
      </w:pPr>
      <w:r>
        <w:rPr>
          <w:rFonts w:hint="cs"/>
          <w:b/>
          <w:bCs/>
          <w:rtl/>
        </w:rPr>
        <w:t xml:space="preserve">מתסקיר שירות המבחן בעניינו של הנאשם עולה, כי הוא מייחס את העבירות לקשייו הכלכליים ולחובות בהם היה נתון וכן טען כי לא ידע כי מדובר בתרכובת שאינה חוקית. עוד סיפר כי מעבר לכך עשה עצמו שימוש בנייס גאי, באופן שפגע בתפקודו והשפיע על התנהלותו ושיקול דעתו ועל רקע זה הועמקה מעורבותו בפלילים. </w:t>
      </w:r>
    </w:p>
    <w:p w14:paraId="27340589" w14:textId="77777777" w:rsidR="00A75E03" w:rsidRDefault="00A75E03">
      <w:pPr>
        <w:spacing w:line="360" w:lineRule="auto"/>
        <w:jc w:val="both"/>
        <w:rPr>
          <w:b/>
          <w:bCs/>
          <w:rtl/>
        </w:rPr>
      </w:pPr>
    </w:p>
    <w:p w14:paraId="11C532C3" w14:textId="77777777" w:rsidR="00A75E03" w:rsidRDefault="009165C1">
      <w:pPr>
        <w:spacing w:line="360" w:lineRule="auto"/>
        <w:jc w:val="both"/>
        <w:rPr>
          <w:b/>
          <w:bCs/>
          <w:rtl/>
        </w:rPr>
      </w:pPr>
      <w:r>
        <w:rPr>
          <w:rFonts w:hint="cs"/>
          <w:b/>
          <w:bCs/>
          <w:rtl/>
        </w:rPr>
        <w:t>הנאשם שולב בהליך טיפולי ושיתף פעולה בהליך זה. הוא מכיר בפגיעה של השימוש בסמים על חייו וביטא רצון לנהל אור חיים נורמטיבי.  הנאשם השתלב גם בטיפול פרטני ועולה כי הוא נתרם מטיפול זה .</w:t>
      </w:r>
    </w:p>
    <w:p w14:paraId="55391C16" w14:textId="77777777" w:rsidR="00A75E03" w:rsidRDefault="00A75E03">
      <w:pPr>
        <w:spacing w:line="360" w:lineRule="auto"/>
        <w:jc w:val="both"/>
        <w:rPr>
          <w:b/>
          <w:bCs/>
          <w:rtl/>
        </w:rPr>
      </w:pPr>
    </w:p>
    <w:p w14:paraId="0AF74925" w14:textId="77777777" w:rsidR="00A75E03" w:rsidRDefault="009165C1">
      <w:pPr>
        <w:spacing w:line="360" w:lineRule="auto"/>
        <w:jc w:val="both"/>
        <w:rPr>
          <w:b/>
          <w:bCs/>
          <w:rtl/>
        </w:rPr>
      </w:pPr>
      <w:r>
        <w:rPr>
          <w:rFonts w:hint="cs"/>
          <w:b/>
          <w:bCs/>
          <w:rtl/>
        </w:rPr>
        <w:t>שירות המבחן התרשם באשר לעתיד ולסיכויי השיקום כי מדובר בנאשם נעדר עבר פלילי, אשר הביע חרטה ומבין את חומרת העבירות ואף השתלב בהליך טיפולי ועוד נמצא כי בדיקות שתן שמסר נמצאו נקיות מסם.  שירות המבחן המליץ,  לאור מודעותו לכך שעתירתה של התביעה לעונש מאסר בפועל, כי יוטל על הנאשם עונש מאסר בפועל בדרך של עבודות שירות, שתאפשר לו המשך השתלבותו במסגרת טיפולית וכן תאפשר לו לפרנס עצמו.</w:t>
      </w:r>
    </w:p>
    <w:p w14:paraId="4BBDB90D" w14:textId="77777777" w:rsidR="00A75E03" w:rsidRDefault="009165C1">
      <w:pPr>
        <w:spacing w:line="360" w:lineRule="auto"/>
        <w:jc w:val="both"/>
        <w:rPr>
          <w:b/>
          <w:bCs/>
          <w:rtl/>
        </w:rPr>
      </w:pPr>
      <w:r>
        <w:rPr>
          <w:rFonts w:hint="cs"/>
          <w:b/>
          <w:bCs/>
          <w:rtl/>
        </w:rPr>
        <w:t xml:space="preserve">עוד התרשם שירות המבחן כי כל עוד מצוי הנאשם במסגרת  מכוונת ומציבת גבול הרי שהסיכון להישנות התנהגות בעייתית פוחת. </w:t>
      </w:r>
    </w:p>
    <w:p w14:paraId="487112CC" w14:textId="77777777" w:rsidR="00A75E03" w:rsidRDefault="00A75E03">
      <w:pPr>
        <w:spacing w:line="360" w:lineRule="auto"/>
        <w:jc w:val="both"/>
        <w:rPr>
          <w:b/>
          <w:bCs/>
          <w:rtl/>
        </w:rPr>
      </w:pPr>
    </w:p>
    <w:p w14:paraId="34EAE53E" w14:textId="77777777" w:rsidR="00A75E03" w:rsidRDefault="009165C1">
      <w:pPr>
        <w:spacing w:line="360" w:lineRule="auto"/>
        <w:jc w:val="both"/>
        <w:rPr>
          <w:b/>
          <w:bCs/>
          <w:rtl/>
        </w:rPr>
      </w:pPr>
      <w:r>
        <w:rPr>
          <w:rFonts w:hint="cs"/>
          <w:b/>
          <w:bCs/>
          <w:rtl/>
        </w:rPr>
        <w:t xml:space="preserve">נדמה שעל הערכים המוגנים הנפגעים מעבירות אלה ניתן ללמוד מהדברים שנאמרו עם הגשת ההצעה לחקיקתו של </w:t>
      </w:r>
      <w:hyperlink r:id="rId13" w:history="1">
        <w:r w:rsidRPr="009165C1">
          <w:rPr>
            <w:b/>
            <w:bCs/>
            <w:color w:val="0000FF"/>
            <w:u w:val="single"/>
            <w:rtl/>
          </w:rPr>
          <w:t>חוק המאבק בתופעת השימוש בחומרים מסכנים</w:t>
        </w:r>
      </w:hyperlink>
      <w:r>
        <w:rPr>
          <w:rFonts w:hint="cs"/>
          <w:b/>
          <w:bCs/>
          <w:rtl/>
        </w:rPr>
        <w:t>:</w:t>
      </w:r>
    </w:p>
    <w:p w14:paraId="326939CA" w14:textId="77777777" w:rsidR="00A75E03" w:rsidRDefault="00A75E03">
      <w:pPr>
        <w:spacing w:line="360" w:lineRule="auto"/>
        <w:jc w:val="both"/>
        <w:rPr>
          <w:b/>
          <w:bCs/>
          <w:rtl/>
        </w:rPr>
      </w:pPr>
    </w:p>
    <w:p w14:paraId="09DAD20D" w14:textId="77777777" w:rsidR="00A75E03" w:rsidRDefault="009165C1">
      <w:pPr>
        <w:spacing w:line="360" w:lineRule="auto"/>
        <w:jc w:val="both"/>
        <w:rPr>
          <w:b/>
          <w:bCs/>
          <w:rtl/>
        </w:rPr>
      </w:pPr>
      <w:r>
        <w:rPr>
          <w:rFonts w:hint="cs"/>
          <w:b/>
          <w:bCs/>
          <w:rtl/>
        </w:rPr>
        <w:t>"בשנים האחרונות נפוצה במדינת ישראל תופעה של שימוש ב"סמים חוקיים" לכאורה. המדובר בחומרים אשר בדומה להשפעות הנגרמות משימוש בסמים, השימוש בהם גורם להשפעות פסיכואקטיביות. חומרים אלה כובשים את שוק המשתמשים במהירות.... הצעת חוק זו באה להילחם בתופעת השימוש בחומרים המסכנים ושיווקם, בין השאר בקרב בני נוער וצעירים.."</w:t>
      </w:r>
    </w:p>
    <w:p w14:paraId="2AB90422" w14:textId="77777777" w:rsidR="00A75E03" w:rsidRDefault="00A75E03">
      <w:pPr>
        <w:spacing w:line="360" w:lineRule="auto"/>
        <w:jc w:val="both"/>
        <w:rPr>
          <w:b/>
          <w:bCs/>
          <w:rtl/>
        </w:rPr>
      </w:pPr>
    </w:p>
    <w:p w14:paraId="16E043CD" w14:textId="77777777" w:rsidR="00A75E03" w:rsidRDefault="009165C1">
      <w:pPr>
        <w:spacing w:line="360" w:lineRule="auto"/>
        <w:jc w:val="both"/>
        <w:rPr>
          <w:b/>
          <w:bCs/>
          <w:rtl/>
        </w:rPr>
      </w:pPr>
      <w:r>
        <w:rPr>
          <w:rFonts w:hint="cs"/>
          <w:b/>
          <w:bCs/>
          <w:rtl/>
        </w:rPr>
        <w:t>על רמת הענישה והמתחם הנוהג לעבירות אלה ניתן ללמוד מעפ"ג 47767/06/14 של ביהמ"ש המחוזי מרכז.</w:t>
      </w:r>
    </w:p>
    <w:p w14:paraId="3495D2D6" w14:textId="77777777" w:rsidR="00A75E03" w:rsidRDefault="009165C1">
      <w:pPr>
        <w:spacing w:line="360" w:lineRule="auto"/>
        <w:jc w:val="both"/>
        <w:rPr>
          <w:b/>
          <w:bCs/>
          <w:rtl/>
        </w:rPr>
      </w:pPr>
      <w:r>
        <w:rPr>
          <w:rFonts w:hint="cs"/>
          <w:b/>
          <w:bCs/>
          <w:rtl/>
        </w:rPr>
        <w:t xml:space="preserve">באותו מקרה נדון עניינו של מערער אשר הורשע בשתי עבירות של מכירת חומר אסור </w:t>
      </w:r>
      <w:r>
        <w:rPr>
          <w:b/>
          <w:bCs/>
          <w:rtl/>
        </w:rPr>
        <w:t>–</w:t>
      </w:r>
      <w:r>
        <w:rPr>
          <w:rFonts w:hint="cs"/>
          <w:b/>
          <w:bCs/>
          <w:rtl/>
        </w:rPr>
        <w:t xml:space="preserve"> נייס גאי, לסוכן משטרתי סמוי ונדון לעונש של שבעה חודשי מאסר בפועל, שבעה חודשי מאסר על תנאי וקנס בסכום של 3500 ₪.</w:t>
      </w:r>
    </w:p>
    <w:p w14:paraId="72C61A88" w14:textId="77777777" w:rsidR="00A75E03" w:rsidRDefault="00A75E03">
      <w:pPr>
        <w:spacing w:line="360" w:lineRule="auto"/>
        <w:jc w:val="both"/>
        <w:rPr>
          <w:b/>
          <w:bCs/>
          <w:rtl/>
        </w:rPr>
      </w:pPr>
    </w:p>
    <w:p w14:paraId="34F4B57D" w14:textId="77777777" w:rsidR="00A75E03" w:rsidRDefault="009165C1">
      <w:pPr>
        <w:spacing w:line="360" w:lineRule="auto"/>
        <w:jc w:val="both"/>
        <w:rPr>
          <w:b/>
          <w:bCs/>
          <w:rtl/>
        </w:rPr>
      </w:pPr>
      <w:r>
        <w:rPr>
          <w:rFonts w:hint="cs"/>
          <w:b/>
          <w:bCs/>
          <w:rtl/>
        </w:rPr>
        <w:t xml:space="preserve">בא כוחו ערער על חומרת העונש ועל קביעת מתחם ענישה שנקבע בערכאה קמא בין 6-12 חודשי מאסר בפועל, שמקורו בהשוואת סחר בחומר אסור לסחר בסם מסוכן. </w:t>
      </w:r>
    </w:p>
    <w:p w14:paraId="2AE34D69" w14:textId="77777777" w:rsidR="00A75E03" w:rsidRDefault="00A75E03">
      <w:pPr>
        <w:spacing w:line="360" w:lineRule="auto"/>
        <w:jc w:val="both"/>
        <w:rPr>
          <w:b/>
          <w:bCs/>
          <w:rtl/>
        </w:rPr>
      </w:pPr>
    </w:p>
    <w:p w14:paraId="6D1D762E" w14:textId="77777777" w:rsidR="00A75E03" w:rsidRDefault="00A75E03">
      <w:pPr>
        <w:spacing w:line="360" w:lineRule="auto"/>
        <w:jc w:val="both"/>
        <w:rPr>
          <w:b/>
          <w:bCs/>
          <w:rtl/>
        </w:rPr>
      </w:pPr>
    </w:p>
    <w:p w14:paraId="1E4BB607" w14:textId="77777777" w:rsidR="00A75E03" w:rsidRDefault="00A75E03">
      <w:pPr>
        <w:spacing w:line="360" w:lineRule="auto"/>
        <w:jc w:val="both"/>
        <w:rPr>
          <w:b/>
          <w:bCs/>
          <w:rtl/>
        </w:rPr>
      </w:pPr>
    </w:p>
    <w:p w14:paraId="5992F2FF" w14:textId="77777777" w:rsidR="00A75E03" w:rsidRDefault="009165C1">
      <w:pPr>
        <w:spacing w:line="360" w:lineRule="auto"/>
        <w:jc w:val="both"/>
        <w:rPr>
          <w:b/>
          <w:bCs/>
          <w:rtl/>
        </w:rPr>
      </w:pPr>
      <w:r>
        <w:rPr>
          <w:rFonts w:hint="cs"/>
          <w:b/>
          <w:bCs/>
          <w:rtl/>
        </w:rPr>
        <w:t xml:space="preserve">ביהמ"ש המחוזי קבע כך: </w:t>
      </w:r>
    </w:p>
    <w:p w14:paraId="75811346" w14:textId="77777777" w:rsidR="00A75E03" w:rsidRDefault="009165C1">
      <w:pPr>
        <w:spacing w:line="360" w:lineRule="auto"/>
        <w:jc w:val="both"/>
        <w:rPr>
          <w:b/>
          <w:bCs/>
          <w:rtl/>
        </w:rPr>
      </w:pPr>
      <w:r>
        <w:rPr>
          <w:rFonts w:hint="cs"/>
          <w:b/>
          <w:bCs/>
          <w:rtl/>
        </w:rPr>
        <w:t>"יש במטרה הנ"ל של החוק, שהוא אמנם חוק חדש, כיד להצדיק השוואה, גם אם לא עד כדי זהות, בין סחר בחומר מסכן לבין סחר בסם מסוכן, כאשר המגמה היא בדרך כלל להכניס את החומר המסכן, בבוא העת, ל</w:t>
      </w:r>
      <w:hyperlink r:id="rId14" w:history="1">
        <w:r w:rsidRPr="009165C1">
          <w:rPr>
            <w:b/>
            <w:bCs/>
            <w:color w:val="0000FF"/>
            <w:u w:val="single"/>
            <w:rtl/>
          </w:rPr>
          <w:t>פקודת הסמים המסוכנים</w:t>
        </w:r>
      </w:hyperlink>
      <w:r>
        <w:rPr>
          <w:rFonts w:hint="cs"/>
          <w:b/>
          <w:bCs/>
          <w:rtl/>
        </w:rPr>
        <w:t>.</w:t>
      </w:r>
    </w:p>
    <w:p w14:paraId="73CD612F" w14:textId="77777777" w:rsidR="00A75E03" w:rsidRDefault="009165C1">
      <w:pPr>
        <w:spacing w:line="360" w:lineRule="auto"/>
        <w:jc w:val="both"/>
        <w:rPr>
          <w:b/>
          <w:bCs/>
          <w:rtl/>
        </w:rPr>
      </w:pPr>
      <w:r>
        <w:rPr>
          <w:rFonts w:hint="cs"/>
          <w:b/>
          <w:bCs/>
          <w:rtl/>
        </w:rPr>
        <w:t>משכך הם פני הדברים, הרי גם אם מדובר בחוק חדש יחסית ובעונש מירבי של 3 שנות מאסר הקבוע בצד העבירה של סחר בחומר מסכן, אין לומר שמתחם ענישה שהרף העליון שלו מגיע כדי שליש  מהעונש המירבי והרף התחתון שלו כדי שישית מהעונש המירבי, איננו סביר, בהתחשב במטרת הענישה כאשר מדובר בחומר מסכן."</w:t>
      </w:r>
    </w:p>
    <w:p w14:paraId="2916328D" w14:textId="77777777" w:rsidR="00A75E03" w:rsidRDefault="00A75E03">
      <w:pPr>
        <w:spacing w:line="360" w:lineRule="auto"/>
        <w:jc w:val="both"/>
        <w:rPr>
          <w:b/>
          <w:bCs/>
          <w:rtl/>
        </w:rPr>
      </w:pPr>
    </w:p>
    <w:p w14:paraId="539E030B" w14:textId="77777777" w:rsidR="00A75E03" w:rsidRDefault="009165C1">
      <w:pPr>
        <w:spacing w:line="360" w:lineRule="auto"/>
        <w:jc w:val="both"/>
        <w:rPr>
          <w:b/>
          <w:bCs/>
          <w:rtl/>
        </w:rPr>
      </w:pPr>
      <w:r>
        <w:rPr>
          <w:rFonts w:hint="cs"/>
          <w:b/>
          <w:bCs/>
          <w:rtl/>
        </w:rPr>
        <w:t xml:space="preserve">הנה כי כן, זהו מתחם ענישה ראוי לכל עבירה ועבירה של סחר בחומר מסכן. בהתחשב בכך שלנאשם בו עסקינן מיוחסות כ-100 עיסקאות בחומר מסכן זה, הרי שהמתחם שהציגה המאשימה מתון. </w:t>
      </w:r>
    </w:p>
    <w:p w14:paraId="6FE7A332" w14:textId="77777777" w:rsidR="00A75E03" w:rsidRDefault="00A75E03">
      <w:pPr>
        <w:spacing w:line="360" w:lineRule="auto"/>
        <w:jc w:val="both"/>
        <w:rPr>
          <w:b/>
          <w:bCs/>
          <w:rtl/>
        </w:rPr>
      </w:pPr>
    </w:p>
    <w:p w14:paraId="246CAC14" w14:textId="77777777" w:rsidR="00A75E03" w:rsidRDefault="009165C1">
      <w:pPr>
        <w:spacing w:line="360" w:lineRule="auto"/>
        <w:jc w:val="both"/>
        <w:rPr>
          <w:b/>
          <w:bCs/>
          <w:rtl/>
        </w:rPr>
      </w:pPr>
      <w:r>
        <w:rPr>
          <w:rFonts w:hint="cs"/>
          <w:b/>
          <w:bCs/>
          <w:rtl/>
        </w:rPr>
        <w:t>מעבר לכך שמדובר בעיסקאות רבות מאוד, הרי שמדובר בעיסקאות שבוצעו עם אנשים שונים בהזדמנויות שונות רבות וחוזרות על פני תקופה של כחמישה חודשים.</w:t>
      </w:r>
    </w:p>
    <w:p w14:paraId="781238EE" w14:textId="77777777" w:rsidR="00A75E03" w:rsidRDefault="009165C1">
      <w:pPr>
        <w:spacing w:line="360" w:lineRule="auto"/>
        <w:jc w:val="both"/>
        <w:rPr>
          <w:b/>
          <w:bCs/>
          <w:rtl/>
        </w:rPr>
      </w:pPr>
      <w:r>
        <w:rPr>
          <w:rFonts w:hint="cs"/>
          <w:b/>
          <w:bCs/>
          <w:rtl/>
        </w:rPr>
        <w:t xml:space="preserve">הנאשם נהג להטמין את החומר המסכן במקומות מסתור, בין ברכבו ובין ברחוב ועל כן, אכן, לא ניתן לקבל את טענתו כי לא ידע שאין המדובר בחומר חוקי. עיסקה חוקית וכשרה אינה נצרכת למקומות מסתור. </w:t>
      </w:r>
    </w:p>
    <w:p w14:paraId="6E1EEF1B" w14:textId="77777777" w:rsidR="00A75E03" w:rsidRDefault="00A75E03">
      <w:pPr>
        <w:spacing w:line="360" w:lineRule="auto"/>
        <w:jc w:val="both"/>
        <w:rPr>
          <w:b/>
          <w:bCs/>
          <w:rtl/>
        </w:rPr>
      </w:pPr>
    </w:p>
    <w:p w14:paraId="33C7C756" w14:textId="77777777" w:rsidR="00A75E03" w:rsidRDefault="009165C1">
      <w:pPr>
        <w:spacing w:line="360" w:lineRule="auto"/>
        <w:jc w:val="both"/>
        <w:rPr>
          <w:b/>
          <w:bCs/>
          <w:rtl/>
        </w:rPr>
      </w:pPr>
      <w:r>
        <w:rPr>
          <w:rFonts w:hint="cs"/>
          <w:b/>
          <w:bCs/>
          <w:rtl/>
        </w:rPr>
        <w:t xml:space="preserve">על ההשפעות של חומר זה והנזקים הצפויים ממנו ניתן ללמוד מחוות דעתו של ברק שפירא וכן מעדותו בבית המשפט ואולם מעבר לכך ניתן ללמוד עליהם מדברי הנאשם עצמו בפני שירות המבחן אשר העיד על עצמו כמי שהשתמש בחומר זה ועקב כך נפגעו שיקול דעתו והתנהלותו ואף הועמקה מעורבותו בפלילים. </w:t>
      </w:r>
    </w:p>
    <w:p w14:paraId="1236F0B5" w14:textId="77777777" w:rsidR="00A75E03" w:rsidRDefault="00A75E03">
      <w:pPr>
        <w:spacing w:line="360" w:lineRule="auto"/>
        <w:jc w:val="both"/>
        <w:rPr>
          <w:b/>
          <w:bCs/>
          <w:rtl/>
        </w:rPr>
      </w:pPr>
    </w:p>
    <w:p w14:paraId="60BD07A6" w14:textId="77777777" w:rsidR="00A75E03" w:rsidRDefault="009165C1">
      <w:pPr>
        <w:spacing w:line="360" w:lineRule="auto"/>
        <w:jc w:val="both"/>
        <w:rPr>
          <w:b/>
          <w:bCs/>
          <w:rtl/>
        </w:rPr>
      </w:pPr>
      <w:r>
        <w:rPr>
          <w:rFonts w:hint="cs"/>
          <w:b/>
          <w:bCs/>
          <w:rtl/>
        </w:rPr>
        <w:t xml:space="preserve">כל אלה, היקף העבירות, משכן, נזקיהן והעובדה כי בוצעו לשם בצע כסף, היו מביאים , ברגיל, את עניינו של הנאשם אל הרף הגבוה של מתחם הענישה. </w:t>
      </w:r>
    </w:p>
    <w:p w14:paraId="4EDB587A" w14:textId="77777777" w:rsidR="00A75E03" w:rsidRDefault="00A75E03">
      <w:pPr>
        <w:spacing w:line="360" w:lineRule="auto"/>
        <w:jc w:val="both"/>
        <w:rPr>
          <w:b/>
          <w:bCs/>
          <w:rtl/>
        </w:rPr>
      </w:pPr>
    </w:p>
    <w:p w14:paraId="4FDE0CBF" w14:textId="77777777" w:rsidR="00A75E03" w:rsidRDefault="009165C1">
      <w:pPr>
        <w:spacing w:line="360" w:lineRule="auto"/>
        <w:jc w:val="both"/>
        <w:rPr>
          <w:b/>
          <w:bCs/>
          <w:rtl/>
        </w:rPr>
      </w:pPr>
      <w:r>
        <w:rPr>
          <w:rFonts w:hint="cs"/>
          <w:b/>
          <w:bCs/>
          <w:rtl/>
        </w:rPr>
        <w:t xml:space="preserve">שקלתי את הודאתו ואת החיסכון הניכר בזמן שיפוטי שהיה בכך, את נטילת האחריות והחרטה. ועוד שקלתי את נסיבותיו האישיות של הנאשם ואת ההליך הטיפולי בו השתלב באופן חיובי ותורם. </w:t>
      </w:r>
    </w:p>
    <w:p w14:paraId="149BDFB8" w14:textId="77777777" w:rsidR="00A75E03" w:rsidRDefault="00A75E03">
      <w:pPr>
        <w:spacing w:line="360" w:lineRule="auto"/>
        <w:jc w:val="both"/>
        <w:rPr>
          <w:b/>
          <w:bCs/>
          <w:rtl/>
        </w:rPr>
      </w:pPr>
    </w:p>
    <w:p w14:paraId="3AE251A3" w14:textId="77777777" w:rsidR="00A75E03" w:rsidRDefault="009165C1">
      <w:pPr>
        <w:spacing w:line="360" w:lineRule="auto"/>
        <w:jc w:val="both"/>
        <w:rPr>
          <w:b/>
          <w:bCs/>
          <w:rtl/>
        </w:rPr>
      </w:pPr>
      <w:r>
        <w:rPr>
          <w:rFonts w:hint="cs"/>
          <w:b/>
          <w:bCs/>
          <w:rtl/>
        </w:rPr>
        <w:t xml:space="preserve">עוד שקלתי את היותו של החוק בו עסקינן חוק חדש ואת הכרזת החומר המסכן אך זמן קצר טרם ביצוע העבירות דנן. </w:t>
      </w:r>
    </w:p>
    <w:p w14:paraId="1762B21C" w14:textId="77777777" w:rsidR="00A75E03" w:rsidRDefault="00A75E03">
      <w:pPr>
        <w:spacing w:line="360" w:lineRule="auto"/>
        <w:jc w:val="both"/>
        <w:rPr>
          <w:b/>
          <w:bCs/>
          <w:rtl/>
        </w:rPr>
      </w:pPr>
    </w:p>
    <w:p w14:paraId="4057921F" w14:textId="77777777" w:rsidR="00A75E03" w:rsidRDefault="00A75E03">
      <w:pPr>
        <w:spacing w:line="360" w:lineRule="auto"/>
        <w:jc w:val="both"/>
        <w:rPr>
          <w:b/>
          <w:bCs/>
          <w:rtl/>
        </w:rPr>
      </w:pPr>
    </w:p>
    <w:p w14:paraId="7A8D80B5" w14:textId="77777777" w:rsidR="00A75E03" w:rsidRDefault="009165C1">
      <w:pPr>
        <w:spacing w:line="360" w:lineRule="auto"/>
        <w:jc w:val="both"/>
        <w:rPr>
          <w:b/>
          <w:bCs/>
          <w:rtl/>
        </w:rPr>
      </w:pPr>
      <w:r>
        <w:rPr>
          <w:rFonts w:hint="cs"/>
          <w:b/>
          <w:bCs/>
          <w:rtl/>
        </w:rPr>
        <w:t>בכל אלה יהיה כדי להקל בעונשו של הנאשם כפי שיפורט להלן, אך אין בהן כדי להביא לאימוצן של המלצות שירות המבחן באשר לענישה, באשר אלה אינן עולות בקנה אחד, עם מטרת החוק, האינטרסים הציבוריים ואף עם רמת הענישה.</w:t>
      </w:r>
    </w:p>
    <w:p w14:paraId="218F8A9B" w14:textId="77777777" w:rsidR="00A75E03" w:rsidRDefault="00A75E03">
      <w:pPr>
        <w:spacing w:line="360" w:lineRule="auto"/>
        <w:jc w:val="both"/>
        <w:rPr>
          <w:b/>
          <w:bCs/>
          <w:rtl/>
        </w:rPr>
      </w:pPr>
    </w:p>
    <w:p w14:paraId="1AC510B0" w14:textId="77777777" w:rsidR="00A75E03" w:rsidRDefault="009165C1">
      <w:pPr>
        <w:spacing w:line="360" w:lineRule="auto"/>
        <w:jc w:val="both"/>
        <w:rPr>
          <w:b/>
          <w:bCs/>
          <w:rtl/>
        </w:rPr>
      </w:pPr>
      <w:r>
        <w:rPr>
          <w:rFonts w:hint="cs"/>
          <w:b/>
          <w:bCs/>
          <w:rtl/>
        </w:rPr>
        <w:t>ולענין זה לא למותר לציין כי נאמר לא אחת, כי המלצות שירות המבחן מהוות אמנם שיקול נכבד במסגרת שיקוליו של ביהמ"ש בבואו לגזור את הדין, אך אין הן בבחינת שיקול בלעדי.</w:t>
      </w:r>
    </w:p>
    <w:p w14:paraId="151DE224" w14:textId="77777777" w:rsidR="00A75E03" w:rsidRDefault="00A75E03">
      <w:pPr>
        <w:spacing w:line="360" w:lineRule="auto"/>
        <w:jc w:val="both"/>
        <w:rPr>
          <w:b/>
          <w:bCs/>
          <w:rtl/>
        </w:rPr>
      </w:pPr>
    </w:p>
    <w:p w14:paraId="36794D61" w14:textId="77777777" w:rsidR="00A75E03" w:rsidRDefault="009165C1">
      <w:pPr>
        <w:spacing w:line="360" w:lineRule="auto"/>
        <w:jc w:val="both"/>
        <w:rPr>
          <w:b/>
          <w:bCs/>
          <w:rtl/>
        </w:rPr>
      </w:pPr>
      <w:r>
        <w:rPr>
          <w:rFonts w:hint="cs"/>
          <w:b/>
          <w:bCs/>
          <w:rtl/>
        </w:rPr>
        <w:t>וכך נקבע ב</w:t>
      </w:r>
      <w:hyperlink r:id="rId15" w:history="1">
        <w:r w:rsidRPr="009165C1">
          <w:rPr>
            <w:b/>
            <w:bCs/>
            <w:color w:val="0000FF"/>
            <w:u w:val="single"/>
            <w:rtl/>
          </w:rPr>
          <w:t>רע"פ 3058/07</w:t>
        </w:r>
      </w:hyperlink>
      <w:r>
        <w:rPr>
          <w:rFonts w:hint="cs"/>
          <w:b/>
          <w:bCs/>
          <w:rtl/>
        </w:rPr>
        <w:t xml:space="preserve"> פז נ. מ"י:</w:t>
      </w:r>
    </w:p>
    <w:p w14:paraId="669A54F5" w14:textId="77777777" w:rsidR="00A75E03" w:rsidRDefault="009165C1">
      <w:pPr>
        <w:spacing w:line="360" w:lineRule="auto"/>
        <w:jc w:val="both"/>
        <w:rPr>
          <w:b/>
          <w:bCs/>
          <w:rtl/>
        </w:rPr>
      </w:pPr>
      <w:r>
        <w:rPr>
          <w:rFonts w:hint="cs"/>
          <w:b/>
          <w:bCs/>
          <w:rtl/>
        </w:rPr>
        <w:t xml:space="preserve">"מתפקידו של ביהמ"ש להעריך ולשקול נסיבות רבות ומגוונות, כמו למשל חומרת העבירה ונפיצותה בציבור, הגנה על שלום הציבור וביטחונו, הרתעת העבריין ועבריינים בכוח, התגמול שבענישה וכיוצא באלה. שיקולים אלה אינם מתחום שיקוליו של קצין המבחן ואין הוא אף מוסמך לגביהם. השופט, הוא אשר ישים במאזני שיקוליו, כאחד השיקולים החשובים, גם את המלצתו של קצין המבחן, אך בכך לא סגי (ראו גם </w:t>
      </w:r>
      <w:hyperlink r:id="rId16" w:history="1">
        <w:r w:rsidRPr="009165C1">
          <w:rPr>
            <w:b/>
            <w:bCs/>
            <w:color w:val="0000FF"/>
            <w:u w:val="single"/>
            <w:rtl/>
          </w:rPr>
          <w:t>ע"פ 405/06</w:t>
        </w:r>
      </w:hyperlink>
      <w:r>
        <w:rPr>
          <w:rFonts w:hint="cs"/>
          <w:b/>
          <w:bCs/>
          <w:rtl/>
        </w:rPr>
        <w:t xml:space="preserve"> מ"י נ. חליחל)"</w:t>
      </w:r>
    </w:p>
    <w:p w14:paraId="49BA2939" w14:textId="77777777" w:rsidR="00A75E03" w:rsidRDefault="00A75E03">
      <w:pPr>
        <w:spacing w:line="360" w:lineRule="auto"/>
        <w:jc w:val="both"/>
        <w:rPr>
          <w:b/>
          <w:bCs/>
          <w:rtl/>
        </w:rPr>
      </w:pPr>
    </w:p>
    <w:p w14:paraId="05CC50F8" w14:textId="77777777" w:rsidR="00A75E03" w:rsidRDefault="009165C1">
      <w:pPr>
        <w:spacing w:line="360" w:lineRule="auto"/>
        <w:jc w:val="both"/>
        <w:rPr>
          <w:b/>
          <w:bCs/>
          <w:rtl/>
        </w:rPr>
      </w:pPr>
      <w:r>
        <w:rPr>
          <w:rFonts w:hint="cs"/>
          <w:b/>
          <w:bCs/>
          <w:rtl/>
        </w:rPr>
        <w:t xml:space="preserve">מצאתי ליתן משקל נכבד להליך הטיפולי שעבר הנאשם ואולם לא אתן לו את מלוא המשקל במכלול הנסיבות והשיקולים שיש להביא בטרם גזירת הדין. </w:t>
      </w:r>
    </w:p>
    <w:p w14:paraId="0A4AE4BB" w14:textId="77777777" w:rsidR="00A75E03" w:rsidRDefault="00A75E03">
      <w:pPr>
        <w:spacing w:line="360" w:lineRule="auto"/>
        <w:jc w:val="both"/>
        <w:rPr>
          <w:b/>
          <w:bCs/>
          <w:rtl/>
        </w:rPr>
      </w:pPr>
    </w:p>
    <w:p w14:paraId="76359AF8" w14:textId="77777777" w:rsidR="00A75E03" w:rsidRDefault="009165C1">
      <w:pPr>
        <w:spacing w:line="360" w:lineRule="auto"/>
        <w:jc w:val="both"/>
        <w:rPr>
          <w:b/>
          <w:bCs/>
          <w:rtl/>
        </w:rPr>
      </w:pPr>
      <w:r>
        <w:rPr>
          <w:rFonts w:hint="cs"/>
          <w:b/>
          <w:bCs/>
          <w:rtl/>
        </w:rPr>
        <w:t xml:space="preserve">וגם לכך נתן דעתו ביהמ"ש העליון  בקובעו: </w:t>
      </w:r>
    </w:p>
    <w:p w14:paraId="01870F6A" w14:textId="77777777" w:rsidR="00A75E03" w:rsidRDefault="009165C1">
      <w:pPr>
        <w:spacing w:line="360" w:lineRule="auto"/>
        <w:jc w:val="both"/>
        <w:rPr>
          <w:b/>
          <w:bCs/>
          <w:rtl/>
        </w:rPr>
      </w:pPr>
      <w:r>
        <w:rPr>
          <w:rFonts w:hint="cs"/>
          <w:b/>
          <w:bCs/>
          <w:rtl/>
        </w:rPr>
        <w:t xml:space="preserve">"אך שיקול השיקום אינו בא להחליף את עקרון ההלימה ולא בכל מקרה והמקרה הוא יביא לחריגה לקולא ממתחם הענישה שנקבע". </w:t>
      </w:r>
    </w:p>
    <w:p w14:paraId="3566F79A" w14:textId="77777777" w:rsidR="00A75E03" w:rsidRDefault="009165C1">
      <w:pPr>
        <w:spacing w:line="360" w:lineRule="auto"/>
        <w:jc w:val="both"/>
        <w:rPr>
          <w:b/>
          <w:bCs/>
          <w:rtl/>
        </w:rPr>
      </w:pPr>
      <w:r>
        <w:rPr>
          <w:rFonts w:hint="cs"/>
          <w:b/>
          <w:bCs/>
          <w:rtl/>
        </w:rPr>
        <w:t xml:space="preserve">ראה </w:t>
      </w:r>
      <w:hyperlink r:id="rId17" w:history="1">
        <w:r w:rsidRPr="009165C1">
          <w:rPr>
            <w:b/>
            <w:bCs/>
            <w:color w:val="0000FF"/>
            <w:u w:val="single"/>
            <w:rtl/>
          </w:rPr>
          <w:t>ע"פ 452/14</w:t>
        </w:r>
      </w:hyperlink>
      <w:r>
        <w:rPr>
          <w:rFonts w:hint="cs"/>
          <w:b/>
          <w:bCs/>
          <w:rtl/>
        </w:rPr>
        <w:t xml:space="preserve"> דבוש נ. מ"י.</w:t>
      </w:r>
    </w:p>
    <w:p w14:paraId="4A359B39" w14:textId="77777777" w:rsidR="00A75E03" w:rsidRDefault="00A75E03">
      <w:pPr>
        <w:spacing w:line="360" w:lineRule="auto"/>
        <w:jc w:val="both"/>
        <w:rPr>
          <w:b/>
          <w:bCs/>
          <w:rtl/>
        </w:rPr>
      </w:pPr>
    </w:p>
    <w:p w14:paraId="0590BB91" w14:textId="77777777" w:rsidR="00A75E03" w:rsidRDefault="009165C1">
      <w:pPr>
        <w:spacing w:line="360" w:lineRule="auto"/>
        <w:jc w:val="both"/>
        <w:rPr>
          <w:b/>
          <w:bCs/>
          <w:rtl/>
        </w:rPr>
      </w:pPr>
      <w:r>
        <w:rPr>
          <w:rFonts w:hint="cs"/>
          <w:b/>
          <w:bCs/>
          <w:rtl/>
        </w:rPr>
        <w:t>ועם זאת מצאתי ליתן לשיקולי שיקום משקל מסויים כאמור לעיל ואף תוך חריגה מסויימת ממתחם הענישה.</w:t>
      </w:r>
    </w:p>
    <w:p w14:paraId="1C7865B2" w14:textId="77777777" w:rsidR="00A75E03" w:rsidRDefault="00A75E03">
      <w:pPr>
        <w:spacing w:line="360" w:lineRule="auto"/>
        <w:jc w:val="both"/>
        <w:rPr>
          <w:b/>
          <w:bCs/>
          <w:rtl/>
        </w:rPr>
      </w:pPr>
    </w:p>
    <w:p w14:paraId="51E22419" w14:textId="77777777" w:rsidR="00A75E03" w:rsidRDefault="009165C1">
      <w:pPr>
        <w:spacing w:line="360" w:lineRule="auto"/>
        <w:jc w:val="both"/>
        <w:rPr>
          <w:b/>
          <w:bCs/>
          <w:rtl/>
        </w:rPr>
      </w:pPr>
      <w:r>
        <w:rPr>
          <w:rFonts w:hint="cs"/>
          <w:b/>
          <w:bCs/>
          <w:rtl/>
        </w:rPr>
        <w:t xml:space="preserve">אני גוזרת על הנאשם כעונש כולל בגין כל העבירות בהן הורשע </w:t>
      </w:r>
      <w:r>
        <w:rPr>
          <w:b/>
          <w:bCs/>
          <w:rtl/>
        </w:rPr>
        <w:t>–</w:t>
      </w:r>
      <w:r>
        <w:rPr>
          <w:rFonts w:hint="cs"/>
          <w:b/>
          <w:bCs/>
          <w:rtl/>
        </w:rPr>
        <w:t xml:space="preserve"> </w:t>
      </w:r>
    </w:p>
    <w:p w14:paraId="6B8FA307" w14:textId="77777777" w:rsidR="00A75E03" w:rsidRDefault="00A75E03">
      <w:pPr>
        <w:spacing w:line="360" w:lineRule="auto"/>
        <w:jc w:val="both"/>
        <w:rPr>
          <w:b/>
          <w:bCs/>
          <w:rtl/>
        </w:rPr>
      </w:pPr>
    </w:p>
    <w:p w14:paraId="006E3C7B" w14:textId="77777777" w:rsidR="00A75E03" w:rsidRDefault="009165C1">
      <w:pPr>
        <w:spacing w:line="360" w:lineRule="auto"/>
        <w:jc w:val="both"/>
        <w:rPr>
          <w:b/>
          <w:bCs/>
          <w:rtl/>
        </w:rPr>
      </w:pPr>
      <w:r>
        <w:rPr>
          <w:rFonts w:hint="cs"/>
          <w:b/>
          <w:bCs/>
          <w:rtl/>
        </w:rPr>
        <w:t>36 חודשי מאסר לריצוי בפועל.</w:t>
      </w:r>
    </w:p>
    <w:p w14:paraId="2012F4C1" w14:textId="77777777" w:rsidR="00A75E03" w:rsidRDefault="009165C1">
      <w:pPr>
        <w:spacing w:line="360" w:lineRule="auto"/>
        <w:jc w:val="both"/>
        <w:rPr>
          <w:b/>
          <w:bCs/>
          <w:rtl/>
        </w:rPr>
      </w:pPr>
      <w:r>
        <w:rPr>
          <w:rFonts w:hint="cs"/>
          <w:b/>
          <w:bCs/>
          <w:rtl/>
        </w:rPr>
        <w:t xml:space="preserve">מתקופה זו ינוכו ימי מעצרו של הנאשם </w:t>
      </w:r>
      <w:r>
        <w:rPr>
          <w:b/>
          <w:bCs/>
          <w:rtl/>
        </w:rPr>
        <w:t>–</w:t>
      </w:r>
      <w:r>
        <w:rPr>
          <w:rFonts w:hint="cs"/>
          <w:b/>
          <w:bCs/>
          <w:rtl/>
        </w:rPr>
        <w:t xml:space="preserve"> 12/2/14 </w:t>
      </w:r>
      <w:r>
        <w:rPr>
          <w:b/>
          <w:bCs/>
          <w:rtl/>
        </w:rPr>
        <w:t>–</w:t>
      </w:r>
      <w:r>
        <w:rPr>
          <w:rFonts w:hint="cs"/>
          <w:b/>
          <w:bCs/>
          <w:rtl/>
        </w:rPr>
        <w:t xml:space="preserve"> 27/3/14.</w:t>
      </w:r>
    </w:p>
    <w:p w14:paraId="12446131" w14:textId="77777777" w:rsidR="00A75E03" w:rsidRDefault="00A75E03">
      <w:pPr>
        <w:spacing w:line="360" w:lineRule="auto"/>
        <w:jc w:val="both"/>
        <w:rPr>
          <w:b/>
          <w:bCs/>
          <w:rtl/>
        </w:rPr>
      </w:pPr>
    </w:p>
    <w:p w14:paraId="645141F1" w14:textId="77777777" w:rsidR="00A75E03" w:rsidRDefault="009165C1">
      <w:pPr>
        <w:spacing w:line="360" w:lineRule="auto"/>
        <w:jc w:val="both"/>
        <w:rPr>
          <w:b/>
          <w:bCs/>
          <w:rtl/>
        </w:rPr>
      </w:pPr>
      <w:r>
        <w:rPr>
          <w:rFonts w:hint="cs"/>
          <w:b/>
          <w:bCs/>
          <w:rtl/>
        </w:rPr>
        <w:t xml:space="preserve">10 חודשי מאסר על תנאי למשך שלוש שנים לבל יעבור עבירה בה הורשע. </w:t>
      </w:r>
    </w:p>
    <w:p w14:paraId="1C5BB865" w14:textId="77777777" w:rsidR="00A75E03" w:rsidRDefault="00A75E03">
      <w:pPr>
        <w:spacing w:line="360" w:lineRule="auto"/>
        <w:jc w:val="both"/>
        <w:rPr>
          <w:b/>
          <w:bCs/>
          <w:rtl/>
        </w:rPr>
      </w:pPr>
    </w:p>
    <w:p w14:paraId="05BDC3D3" w14:textId="77777777" w:rsidR="00A75E03" w:rsidRDefault="009165C1">
      <w:pPr>
        <w:spacing w:line="360" w:lineRule="auto"/>
        <w:jc w:val="both"/>
        <w:rPr>
          <w:b/>
          <w:bCs/>
          <w:rtl/>
        </w:rPr>
      </w:pPr>
      <w:r>
        <w:rPr>
          <w:rFonts w:hint="cs"/>
          <w:b/>
          <w:bCs/>
          <w:rtl/>
        </w:rPr>
        <w:t xml:space="preserve">אני מטילה על הנאשם קנס בסכום של  7500 ₪ או 60 ימי מאסר תמורתו. הקנס ישולם בעשרה תשלומים חודשיים שווים ורצופים שהראשון בהם ביום 1/5/15 והבאים אחריו בכל 1 לחודש שלאחר מכן. לא ישולם תשלום במועדו, יעמוד כל הסכום לפרעון מיידי. </w:t>
      </w:r>
    </w:p>
    <w:p w14:paraId="5C0E33EB" w14:textId="77777777" w:rsidR="00A75E03" w:rsidRDefault="00A75E03">
      <w:pPr>
        <w:spacing w:line="360" w:lineRule="auto"/>
        <w:jc w:val="both"/>
        <w:rPr>
          <w:b/>
          <w:bCs/>
          <w:rtl/>
        </w:rPr>
      </w:pPr>
    </w:p>
    <w:p w14:paraId="27EA960A" w14:textId="77777777" w:rsidR="00A75E03" w:rsidRDefault="00A75E03">
      <w:pPr>
        <w:spacing w:line="360" w:lineRule="auto"/>
        <w:jc w:val="both"/>
        <w:rPr>
          <w:b/>
          <w:bCs/>
          <w:rtl/>
        </w:rPr>
      </w:pPr>
    </w:p>
    <w:p w14:paraId="6D8AC509" w14:textId="77777777" w:rsidR="00A75E03" w:rsidRDefault="009165C1">
      <w:pPr>
        <w:spacing w:line="360" w:lineRule="auto"/>
        <w:jc w:val="both"/>
        <w:rPr>
          <w:b/>
          <w:bCs/>
          <w:rtl/>
        </w:rPr>
      </w:pPr>
      <w:r>
        <w:rPr>
          <w:rFonts w:hint="cs"/>
          <w:b/>
          <w:bCs/>
          <w:rtl/>
        </w:rPr>
        <w:t xml:space="preserve">זכות ערעור כחוק. </w:t>
      </w:r>
    </w:p>
    <w:p w14:paraId="7FB5EE71" w14:textId="77777777" w:rsidR="00A75E03" w:rsidRPr="009165C1" w:rsidRDefault="009165C1">
      <w:pPr>
        <w:spacing w:line="360" w:lineRule="auto"/>
        <w:jc w:val="both"/>
        <w:rPr>
          <w:b/>
          <w:bCs/>
          <w:color w:val="FFFFFF"/>
          <w:sz w:val="2"/>
          <w:szCs w:val="2"/>
          <w:rtl/>
        </w:rPr>
      </w:pPr>
      <w:r w:rsidRPr="009165C1">
        <w:rPr>
          <w:b/>
          <w:bCs/>
          <w:color w:val="FFFFFF"/>
          <w:sz w:val="2"/>
          <w:szCs w:val="2"/>
          <w:rtl/>
        </w:rPr>
        <w:t>5129371</w:t>
      </w:r>
    </w:p>
    <w:p w14:paraId="01894EC7" w14:textId="77777777" w:rsidR="00A75E03" w:rsidRDefault="009165C1">
      <w:pPr>
        <w:spacing w:line="360" w:lineRule="auto"/>
        <w:jc w:val="both"/>
        <w:rPr>
          <w:rFonts w:cs="FrankRuehl"/>
          <w:b/>
          <w:bCs/>
          <w:sz w:val="28"/>
          <w:szCs w:val="28"/>
          <w:rtl/>
        </w:rPr>
      </w:pPr>
      <w:r w:rsidRPr="009165C1">
        <w:rPr>
          <w:rFonts w:ascii="Arial" w:hAnsi="Arial"/>
          <w:b/>
          <w:bCs/>
          <w:color w:val="FFFFFF"/>
          <w:sz w:val="2"/>
          <w:szCs w:val="2"/>
          <w:rtl/>
        </w:rPr>
        <w:t>54678313</w:t>
      </w:r>
      <w:r>
        <w:rPr>
          <w:rFonts w:ascii="Arial" w:hAnsi="Arial"/>
          <w:b/>
          <w:bCs/>
          <w:rtl/>
        </w:rPr>
        <w:t xml:space="preserve">ניתן היום,  י"ז אדר תשע"ה, 08 מרץ 2015, במעמד הצדדים. </w:t>
      </w:r>
    </w:p>
    <w:p w14:paraId="0B9FE729" w14:textId="77777777" w:rsidR="00A75E03" w:rsidRDefault="009165C1">
      <w:pPr>
        <w:spacing w:line="360" w:lineRule="auto"/>
        <w:jc w:val="both"/>
      </w:pPr>
      <w:r>
        <w:rPr>
          <w:rFonts w:hint="cs"/>
          <w:b/>
          <w:bCs/>
          <w:rtl/>
        </w:rPr>
        <w:t xml:space="preserve">   </w:t>
      </w:r>
      <w:r>
        <w:rPr>
          <w:rFonts w:hint="cs"/>
          <w:b/>
          <w:bCs/>
          <w:rtl/>
        </w:rPr>
        <w:tab/>
      </w:r>
      <w:r>
        <w:rPr>
          <w:rFonts w:hint="cs"/>
          <w:b/>
          <w:bCs/>
          <w:rtl/>
        </w:rPr>
        <w:tab/>
      </w:r>
      <w:r>
        <w:rPr>
          <w:rFonts w:hint="cs"/>
          <w:b/>
          <w:bCs/>
          <w:rtl/>
        </w:rPr>
        <w:tab/>
      </w:r>
      <w:r>
        <w:rPr>
          <w:rFonts w:hint="cs"/>
          <w:b/>
          <w:bCs/>
          <w:rtl/>
        </w:rPr>
        <w:tab/>
      </w:r>
      <w:r>
        <w:rPr>
          <w:rFonts w:hint="cs"/>
          <w:b/>
          <w:bCs/>
          <w:rtl/>
        </w:rPr>
        <w:tab/>
      </w:r>
    </w:p>
    <w:p w14:paraId="1073D296" w14:textId="77777777" w:rsidR="00A75E03" w:rsidRDefault="00A75E03">
      <w:pPr>
        <w:spacing w:line="360" w:lineRule="auto"/>
        <w:jc w:val="both"/>
        <w:rPr>
          <w:rFonts w:ascii="Arial" w:hAnsi="Arial" w:cs="FrankRuehl"/>
          <w:b/>
          <w:bCs/>
          <w:sz w:val="28"/>
          <w:szCs w:val="28"/>
          <w:rtl/>
        </w:rPr>
      </w:pPr>
    </w:p>
    <w:p w14:paraId="4662766F" w14:textId="77777777" w:rsidR="00A75E03" w:rsidRDefault="00A75E03">
      <w:pPr>
        <w:spacing w:line="360" w:lineRule="auto"/>
        <w:jc w:val="both"/>
        <w:rPr>
          <w:rFonts w:cs="FrankRuehl"/>
          <w:b/>
          <w:bCs/>
          <w:sz w:val="28"/>
          <w:szCs w:val="28"/>
          <w:rtl/>
        </w:rPr>
      </w:pPr>
    </w:p>
    <w:p w14:paraId="4A66496B" w14:textId="77777777" w:rsidR="00A75E03" w:rsidRPr="0063366C" w:rsidRDefault="0063366C">
      <w:pPr>
        <w:pStyle w:val="a3"/>
        <w:spacing w:line="360" w:lineRule="auto"/>
        <w:jc w:val="both"/>
        <w:rPr>
          <w:b/>
          <w:bCs/>
          <w:color w:val="FFFFFF"/>
          <w:sz w:val="2"/>
          <w:szCs w:val="2"/>
          <w:rtl/>
        </w:rPr>
      </w:pPr>
      <w:r w:rsidRPr="0063366C">
        <w:rPr>
          <w:b/>
          <w:bCs/>
          <w:color w:val="FFFFFF"/>
          <w:sz w:val="2"/>
          <w:szCs w:val="2"/>
          <w:rtl/>
        </w:rPr>
        <w:t>5129371</w:t>
      </w:r>
    </w:p>
    <w:p w14:paraId="511B5BCC" w14:textId="77777777" w:rsidR="009165C1" w:rsidRPr="0063366C" w:rsidRDefault="0063366C" w:rsidP="009165C1">
      <w:pPr>
        <w:keepNext/>
        <w:rPr>
          <w:rFonts w:ascii="David" w:hAnsi="David"/>
          <w:color w:val="FFFFFF"/>
          <w:sz w:val="2"/>
          <w:szCs w:val="2"/>
          <w:rtl/>
        </w:rPr>
      </w:pPr>
      <w:r w:rsidRPr="0063366C">
        <w:rPr>
          <w:rFonts w:ascii="David" w:hAnsi="David"/>
          <w:color w:val="FFFFFF"/>
          <w:sz w:val="2"/>
          <w:szCs w:val="2"/>
          <w:rtl/>
        </w:rPr>
        <w:t>54678313</w:t>
      </w:r>
    </w:p>
    <w:p w14:paraId="219D775B" w14:textId="77777777" w:rsidR="009165C1" w:rsidRDefault="009165C1" w:rsidP="009165C1">
      <w:r w:rsidRPr="009165C1">
        <w:rPr>
          <w:color w:val="000000"/>
          <w:rtl/>
        </w:rPr>
        <w:t>נוסח מסמך זה כפוף לשינויי ניסוח ועריכה</w:t>
      </w:r>
    </w:p>
    <w:p w14:paraId="30F89428" w14:textId="77777777" w:rsidR="009165C1" w:rsidRDefault="009165C1" w:rsidP="009165C1">
      <w:pPr>
        <w:rPr>
          <w:rtl/>
        </w:rPr>
      </w:pPr>
    </w:p>
    <w:p w14:paraId="4B58A1EA" w14:textId="77777777" w:rsidR="009165C1" w:rsidRDefault="009165C1" w:rsidP="009165C1">
      <w:pPr>
        <w:jc w:val="center"/>
        <w:rPr>
          <w:color w:val="0000FF"/>
          <w:u w:val="single"/>
        </w:rPr>
      </w:pPr>
      <w:hyperlink r:id="rId18" w:history="1">
        <w:r>
          <w:rPr>
            <w:color w:val="0000FF"/>
            <w:u w:val="single"/>
            <w:rtl/>
          </w:rPr>
          <w:t>בעניין עריכה ושינויים במסמכי פסיקה, חקיקה ועוד באתר נבו – הקש כאן</w:t>
        </w:r>
      </w:hyperlink>
    </w:p>
    <w:p w14:paraId="2248709E" w14:textId="77777777" w:rsidR="0063366C" w:rsidRPr="0063366C" w:rsidRDefault="0063366C" w:rsidP="0063366C">
      <w:pPr>
        <w:keepNext/>
        <w:rPr>
          <w:rFonts w:ascii="David" w:hAnsi="David"/>
          <w:color w:val="000000"/>
          <w:sz w:val="22"/>
          <w:szCs w:val="22"/>
          <w:rtl/>
        </w:rPr>
      </w:pPr>
    </w:p>
    <w:p w14:paraId="5015125F" w14:textId="77777777" w:rsidR="0063366C" w:rsidRPr="0063366C" w:rsidRDefault="0063366C" w:rsidP="0063366C">
      <w:pPr>
        <w:keepNext/>
        <w:rPr>
          <w:rFonts w:ascii="David" w:hAnsi="David"/>
          <w:color w:val="000000"/>
          <w:sz w:val="22"/>
          <w:szCs w:val="22"/>
          <w:rtl/>
        </w:rPr>
      </w:pPr>
      <w:r w:rsidRPr="0063366C">
        <w:rPr>
          <w:rFonts w:ascii="David" w:hAnsi="David"/>
          <w:color w:val="000000"/>
          <w:sz w:val="22"/>
          <w:szCs w:val="22"/>
          <w:rtl/>
        </w:rPr>
        <w:t xml:space="preserve"> עינת רון 54678313-/</w:t>
      </w:r>
    </w:p>
    <w:sectPr w:rsidR="0063366C" w:rsidRPr="0063366C" w:rsidSect="0063366C">
      <w:headerReference w:type="even" r:id="rId19"/>
      <w:headerReference w:type="default" r:id="rId20"/>
      <w:footerReference w:type="even" r:id="rId21"/>
      <w:footerReference w:type="default" r:id="rId22"/>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96B135" w14:textId="77777777" w:rsidR="00E02EF0" w:rsidRPr="00DF39FA" w:rsidRDefault="00E02EF0">
      <w:pPr>
        <w:rPr>
          <w:rFonts w:cs="Arial"/>
          <w:szCs w:val="20"/>
        </w:rPr>
      </w:pPr>
      <w:r>
        <w:separator/>
      </w:r>
    </w:p>
  </w:endnote>
  <w:endnote w:type="continuationSeparator" w:id="0">
    <w:p w14:paraId="76AC3533" w14:textId="77777777" w:rsidR="00E02EF0" w:rsidRPr="00DF39FA" w:rsidRDefault="00E02EF0">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F1BA9F" w14:textId="77777777" w:rsidR="00E02EF0" w:rsidRDefault="00E02EF0" w:rsidP="0063366C">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45911CAF" w14:textId="77777777" w:rsidR="00E02EF0" w:rsidRPr="0063366C" w:rsidRDefault="00E02EF0" w:rsidP="0063366C">
    <w:pPr>
      <w:pStyle w:val="a4"/>
      <w:pBdr>
        <w:top w:val="single" w:sz="4" w:space="1" w:color="auto"/>
        <w:between w:val="single" w:sz="4" w:space="0" w:color="auto"/>
      </w:pBdr>
      <w:spacing w:after="60"/>
      <w:jc w:val="center"/>
      <w:rPr>
        <w:rFonts w:ascii="FrankRuehl" w:hAnsi="FrankRuehl" w:cs="FrankRuehl"/>
        <w:color w:val="000000"/>
      </w:rPr>
    </w:pPr>
    <w:r w:rsidRPr="0063366C">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8D6DBD" w14:textId="77777777" w:rsidR="00E02EF0" w:rsidRDefault="00E02EF0" w:rsidP="0063366C">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71200F">
      <w:rPr>
        <w:rFonts w:ascii="FrankRuehl" w:hAnsi="FrankRuehl" w:cs="FrankRuehl"/>
        <w:noProof/>
        <w:rtl/>
      </w:rPr>
      <w:t>1</w:t>
    </w:r>
    <w:r>
      <w:rPr>
        <w:rFonts w:ascii="FrankRuehl" w:hAnsi="FrankRuehl" w:cs="FrankRuehl"/>
        <w:rtl/>
      </w:rPr>
      <w:fldChar w:fldCharType="end"/>
    </w:r>
  </w:p>
  <w:p w14:paraId="4EB7CB31" w14:textId="77777777" w:rsidR="00E02EF0" w:rsidRPr="0063366C" w:rsidRDefault="00E02EF0" w:rsidP="0063366C">
    <w:pPr>
      <w:pStyle w:val="a4"/>
      <w:pBdr>
        <w:top w:val="single" w:sz="4" w:space="1" w:color="auto"/>
        <w:between w:val="single" w:sz="4" w:space="0" w:color="auto"/>
      </w:pBdr>
      <w:spacing w:after="60"/>
      <w:jc w:val="center"/>
      <w:rPr>
        <w:rFonts w:ascii="FrankRuehl" w:hAnsi="FrankRuehl" w:cs="FrankRuehl"/>
        <w:color w:val="000000"/>
      </w:rPr>
    </w:pPr>
    <w:r w:rsidRPr="0063366C">
      <w:rPr>
        <w:rFonts w:ascii="FrankRuehl" w:hAnsi="FrankRuehl" w:cs="FrankRuehl"/>
        <w:color w:val="000000"/>
      </w:rPr>
      <w:pict w14:anchorId="3537E6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747290" w14:textId="77777777" w:rsidR="00E02EF0" w:rsidRPr="00DF39FA" w:rsidRDefault="00E02EF0">
      <w:pPr>
        <w:rPr>
          <w:rFonts w:cs="Arial"/>
          <w:szCs w:val="20"/>
        </w:rPr>
      </w:pPr>
      <w:r>
        <w:separator/>
      </w:r>
    </w:p>
  </w:footnote>
  <w:footnote w:type="continuationSeparator" w:id="0">
    <w:p w14:paraId="0BE208F5" w14:textId="77777777" w:rsidR="00E02EF0" w:rsidRPr="00DF39FA" w:rsidRDefault="00E02EF0">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E184ED" w14:textId="77777777" w:rsidR="00E02EF0" w:rsidRPr="0063366C" w:rsidRDefault="00E02EF0" w:rsidP="0063366C">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(רח') 51848-02-14</w:t>
    </w:r>
    <w:r>
      <w:rPr>
        <w:rFonts w:ascii="David" w:hAnsi="David"/>
        <w:color w:val="000000"/>
        <w:sz w:val="22"/>
        <w:szCs w:val="22"/>
        <w:rtl/>
      </w:rPr>
      <w:tab/>
      <w:t xml:space="preserve"> פרקליטות מחוז מרכז נ' דוד דדה חי אמר</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0933DA" w14:textId="77777777" w:rsidR="00E02EF0" w:rsidRPr="0063366C" w:rsidRDefault="00E02EF0" w:rsidP="0063366C">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(רח') 51848-02-14</w:t>
    </w:r>
    <w:r>
      <w:rPr>
        <w:rFonts w:ascii="David" w:hAnsi="David"/>
        <w:color w:val="000000"/>
        <w:sz w:val="22"/>
        <w:szCs w:val="22"/>
        <w:rtl/>
      </w:rPr>
      <w:tab/>
      <w:t xml:space="preserve"> פרקליטות מחוז מרכז נ' דוד דדה חי אמר</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A75E03"/>
    <w:rsid w:val="00190C81"/>
    <w:rsid w:val="0027533B"/>
    <w:rsid w:val="00441676"/>
    <w:rsid w:val="0063366C"/>
    <w:rsid w:val="0071200F"/>
    <w:rsid w:val="007F6A3D"/>
    <w:rsid w:val="0088137D"/>
    <w:rsid w:val="009165C1"/>
    <w:rsid w:val="00A05C6B"/>
    <w:rsid w:val="00A41BC6"/>
    <w:rsid w:val="00A75E03"/>
    <w:rsid w:val="00C817DE"/>
    <w:rsid w:val="00CB37CA"/>
    <w:rsid w:val="00E02EF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5C2A1349"/>
  <w15:chartTrackingRefBased/>
  <w15:docId w15:val="{105006BD-96DB-4DCB-AAA1-B3ADC2528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A75E03"/>
    <w:pPr>
      <w:bidi/>
    </w:pPr>
    <w:rPr>
      <w:rFonts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A75E03"/>
    <w:pPr>
      <w:tabs>
        <w:tab w:val="center" w:pos="4153"/>
        <w:tab w:val="right" w:pos="8306"/>
      </w:tabs>
    </w:pPr>
  </w:style>
  <w:style w:type="paragraph" w:styleId="a4">
    <w:name w:val="footer"/>
    <w:basedOn w:val="a"/>
    <w:rsid w:val="00A75E03"/>
    <w:pPr>
      <w:tabs>
        <w:tab w:val="center" w:pos="4153"/>
        <w:tab w:val="right" w:pos="8306"/>
      </w:tabs>
    </w:pPr>
  </w:style>
  <w:style w:type="character" w:styleId="a5">
    <w:name w:val="page number"/>
    <w:basedOn w:val="a0"/>
    <w:rsid w:val="00A75E03"/>
  </w:style>
  <w:style w:type="character" w:styleId="Hyperlink">
    <w:name w:val="Hyperlink"/>
    <w:rsid w:val="009165C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 TargetMode="External"/><Relationship Id="rId13" Type="http://schemas.openxmlformats.org/officeDocument/2006/relationships/hyperlink" Target="http://www.nevo.co.il/law/127622" TargetMode="External"/><Relationship Id="rId18" Type="http://schemas.openxmlformats.org/officeDocument/2006/relationships/hyperlink" Target="http://www.nevo.co.il/advertisements/nevo-100.doc" TargetMode="External"/><Relationship Id="rId3" Type="http://schemas.openxmlformats.org/officeDocument/2006/relationships/webSettings" Target="webSettings.xml"/><Relationship Id="rId21" Type="http://schemas.openxmlformats.org/officeDocument/2006/relationships/footer" Target="footer1.xml"/><Relationship Id="rId7" Type="http://schemas.openxmlformats.org/officeDocument/2006/relationships/hyperlink" Target="http://www.nevo.co.il/law/127622/7.a" TargetMode="External"/><Relationship Id="rId12" Type="http://schemas.openxmlformats.org/officeDocument/2006/relationships/hyperlink" Target="http://www.nevo.co.il/law/127622" TargetMode="External"/><Relationship Id="rId17" Type="http://schemas.openxmlformats.org/officeDocument/2006/relationships/hyperlink" Target="http://www.nevo.co.il/case/11206432" TargetMode="External"/><Relationship Id="rId2" Type="http://schemas.openxmlformats.org/officeDocument/2006/relationships/settings" Target="settings.xml"/><Relationship Id="rId16" Type="http://schemas.openxmlformats.org/officeDocument/2006/relationships/hyperlink" Target="http://www.nevo.co.il/case/5699446" TargetMode="External"/><Relationship Id="rId20" Type="http://schemas.openxmlformats.org/officeDocument/2006/relationships/header" Target="header2.xml"/><Relationship Id="rId1" Type="http://schemas.openxmlformats.org/officeDocument/2006/relationships/styles" Target="styles.xml"/><Relationship Id="rId6" Type="http://schemas.openxmlformats.org/officeDocument/2006/relationships/hyperlink" Target="http://www.nevo.co.il/law/127622" TargetMode="External"/><Relationship Id="rId11" Type="http://schemas.openxmlformats.org/officeDocument/2006/relationships/hyperlink" Target="http://www.nevo.co.il/law/127622" TargetMode="External"/><Relationship Id="rId24"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hyperlink" Target="http://www.nevo.co.il/case/5873418" TargetMode="External"/><Relationship Id="rId23" Type="http://schemas.openxmlformats.org/officeDocument/2006/relationships/fontTable" Target="fontTable.xml"/><Relationship Id="rId10" Type="http://schemas.openxmlformats.org/officeDocument/2006/relationships/hyperlink" Target="http://www.nevo.co.il/law/127622" TargetMode="External"/><Relationship Id="rId19"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www.nevo.co.il/law/127622/7.a" TargetMode="External"/><Relationship Id="rId14" Type="http://schemas.openxmlformats.org/officeDocument/2006/relationships/hyperlink" Target="http://www.nevo.co.il/law/4216" TargetMode="External"/><Relationship Id="rId22"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2009</Words>
  <Characters>10049</Characters>
  <Application>Microsoft Office Word</Application>
  <DocSecurity>0</DocSecurity>
  <Lines>83</Lines>
  <Paragraphs>24</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12034</CharactersWithSpaces>
  <SharedDoc>false</SharedDoc>
  <HLinks>
    <vt:vector size="78" baseType="variant">
      <vt:variant>
        <vt:i4>393283</vt:i4>
      </vt:variant>
      <vt:variant>
        <vt:i4>36</vt:i4>
      </vt:variant>
      <vt:variant>
        <vt:i4>0</vt:i4>
      </vt:variant>
      <vt:variant>
        <vt:i4>5</vt:i4>
      </vt:variant>
      <vt:variant>
        <vt:lpwstr>http://www.nevo.co.il/advertisements/nevo-100.doc</vt:lpwstr>
      </vt:variant>
      <vt:variant>
        <vt:lpwstr/>
      </vt:variant>
      <vt:variant>
        <vt:i4>3539057</vt:i4>
      </vt:variant>
      <vt:variant>
        <vt:i4>33</vt:i4>
      </vt:variant>
      <vt:variant>
        <vt:i4>0</vt:i4>
      </vt:variant>
      <vt:variant>
        <vt:i4>5</vt:i4>
      </vt:variant>
      <vt:variant>
        <vt:lpwstr>http://www.nevo.co.il/case/11206432</vt:lpwstr>
      </vt:variant>
      <vt:variant>
        <vt:lpwstr/>
      </vt:variant>
      <vt:variant>
        <vt:i4>4063359</vt:i4>
      </vt:variant>
      <vt:variant>
        <vt:i4>30</vt:i4>
      </vt:variant>
      <vt:variant>
        <vt:i4>0</vt:i4>
      </vt:variant>
      <vt:variant>
        <vt:i4>5</vt:i4>
      </vt:variant>
      <vt:variant>
        <vt:lpwstr>http://www.nevo.co.il/case/5699446</vt:lpwstr>
      </vt:variant>
      <vt:variant>
        <vt:lpwstr/>
      </vt:variant>
      <vt:variant>
        <vt:i4>4063358</vt:i4>
      </vt:variant>
      <vt:variant>
        <vt:i4>27</vt:i4>
      </vt:variant>
      <vt:variant>
        <vt:i4>0</vt:i4>
      </vt:variant>
      <vt:variant>
        <vt:i4>5</vt:i4>
      </vt:variant>
      <vt:variant>
        <vt:lpwstr>http://www.nevo.co.il/case/5873418</vt:lpwstr>
      </vt:variant>
      <vt:variant>
        <vt:lpwstr/>
      </vt:variant>
      <vt:variant>
        <vt:i4>8257637</vt:i4>
      </vt:variant>
      <vt:variant>
        <vt:i4>24</vt:i4>
      </vt:variant>
      <vt:variant>
        <vt:i4>0</vt:i4>
      </vt:variant>
      <vt:variant>
        <vt:i4>5</vt:i4>
      </vt:variant>
      <vt:variant>
        <vt:lpwstr>http://www.nevo.co.il/law/4216</vt:lpwstr>
      </vt:variant>
      <vt:variant>
        <vt:lpwstr/>
      </vt:variant>
      <vt:variant>
        <vt:i4>4980820</vt:i4>
      </vt:variant>
      <vt:variant>
        <vt:i4>21</vt:i4>
      </vt:variant>
      <vt:variant>
        <vt:i4>0</vt:i4>
      </vt:variant>
      <vt:variant>
        <vt:i4>5</vt:i4>
      </vt:variant>
      <vt:variant>
        <vt:lpwstr>http://www.nevo.co.il/law/127622</vt:lpwstr>
      </vt:variant>
      <vt:variant>
        <vt:lpwstr/>
      </vt:variant>
      <vt:variant>
        <vt:i4>4980820</vt:i4>
      </vt:variant>
      <vt:variant>
        <vt:i4>18</vt:i4>
      </vt:variant>
      <vt:variant>
        <vt:i4>0</vt:i4>
      </vt:variant>
      <vt:variant>
        <vt:i4>5</vt:i4>
      </vt:variant>
      <vt:variant>
        <vt:lpwstr>http://www.nevo.co.il/law/127622</vt:lpwstr>
      </vt:variant>
      <vt:variant>
        <vt:lpwstr/>
      </vt:variant>
      <vt:variant>
        <vt:i4>4980820</vt:i4>
      </vt:variant>
      <vt:variant>
        <vt:i4>15</vt:i4>
      </vt:variant>
      <vt:variant>
        <vt:i4>0</vt:i4>
      </vt:variant>
      <vt:variant>
        <vt:i4>5</vt:i4>
      </vt:variant>
      <vt:variant>
        <vt:lpwstr>http://www.nevo.co.il/law/127622</vt:lpwstr>
      </vt:variant>
      <vt:variant>
        <vt:lpwstr/>
      </vt:variant>
      <vt:variant>
        <vt:i4>4980820</vt:i4>
      </vt:variant>
      <vt:variant>
        <vt:i4>12</vt:i4>
      </vt:variant>
      <vt:variant>
        <vt:i4>0</vt:i4>
      </vt:variant>
      <vt:variant>
        <vt:i4>5</vt:i4>
      </vt:variant>
      <vt:variant>
        <vt:lpwstr>http://www.nevo.co.il/law/127622</vt:lpwstr>
      </vt:variant>
      <vt:variant>
        <vt:lpwstr/>
      </vt:variant>
      <vt:variant>
        <vt:i4>1704021</vt:i4>
      </vt:variant>
      <vt:variant>
        <vt:i4>9</vt:i4>
      </vt:variant>
      <vt:variant>
        <vt:i4>0</vt:i4>
      </vt:variant>
      <vt:variant>
        <vt:i4>5</vt:i4>
      </vt:variant>
      <vt:variant>
        <vt:lpwstr>http://www.nevo.co.il/law/127622/7.a</vt:lpwstr>
      </vt:variant>
      <vt:variant>
        <vt:lpwstr/>
      </vt:variant>
      <vt:variant>
        <vt:i4>8257637</vt:i4>
      </vt:variant>
      <vt:variant>
        <vt:i4>6</vt:i4>
      </vt:variant>
      <vt:variant>
        <vt:i4>0</vt:i4>
      </vt:variant>
      <vt:variant>
        <vt:i4>5</vt:i4>
      </vt:variant>
      <vt:variant>
        <vt:lpwstr>http://www.nevo.co.il/law/4216</vt:lpwstr>
      </vt:variant>
      <vt:variant>
        <vt:lpwstr/>
      </vt:variant>
      <vt:variant>
        <vt:i4>1704021</vt:i4>
      </vt:variant>
      <vt:variant>
        <vt:i4>3</vt:i4>
      </vt:variant>
      <vt:variant>
        <vt:i4>0</vt:i4>
      </vt:variant>
      <vt:variant>
        <vt:i4>5</vt:i4>
      </vt:variant>
      <vt:variant>
        <vt:lpwstr>http://www.nevo.co.il/law/127622/7.a</vt:lpwstr>
      </vt:variant>
      <vt:variant>
        <vt:lpwstr/>
      </vt:variant>
      <vt:variant>
        <vt:i4>4980820</vt:i4>
      </vt:variant>
      <vt:variant>
        <vt:i4>0</vt:i4>
      </vt:variant>
      <vt:variant>
        <vt:i4>0</vt:i4>
      </vt:variant>
      <vt:variant>
        <vt:i4>5</vt:i4>
      </vt:variant>
      <vt:variant>
        <vt:lpwstr>http://www.nevo.co.il/law/127622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2025-04-22T22:15:00Z</dcterms:created>
  <dcterms:modified xsi:type="dcterms:W3CDTF">2025-04-22T22:15:00Z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51848</vt:lpwstr>
  </property>
  <property fmtid="{D5CDD505-2E9C-101B-9397-08002B2CF9AE}" pid="6" name="NEWPARTB">
    <vt:lpwstr>02</vt:lpwstr>
  </property>
  <property fmtid="{D5CDD505-2E9C-101B-9397-08002B2CF9AE}" pid="7" name="NEWPARTC">
    <vt:lpwstr>14</vt:lpwstr>
  </property>
  <property fmtid="{D5CDD505-2E9C-101B-9397-08002B2CF9AE}" pid="8" name="APPELLANT">
    <vt:lpwstr>פרקליטות מחוז מרכז</vt:lpwstr>
  </property>
  <property fmtid="{D5CDD505-2E9C-101B-9397-08002B2CF9AE}" pid="9" name="APPELLEE">
    <vt:lpwstr>דוד דדה חי אמר</vt:lpwstr>
  </property>
  <property fmtid="{D5CDD505-2E9C-101B-9397-08002B2CF9AE}" pid="10" name="LAWYER">
    <vt:lpwstr>שקד עזרא;ירון פורר</vt:lpwstr>
  </property>
  <property fmtid="{D5CDD505-2E9C-101B-9397-08002B2CF9AE}" pid="11" name="JUDGE">
    <vt:lpwstr> עינת רון</vt:lpwstr>
  </property>
  <property fmtid="{D5CDD505-2E9C-101B-9397-08002B2CF9AE}" pid="12" name="CITY">
    <vt:lpwstr>רח'</vt:lpwstr>
  </property>
  <property fmtid="{D5CDD505-2E9C-101B-9397-08002B2CF9AE}" pid="13" name="DATE">
    <vt:lpwstr>20150308</vt:lpwstr>
  </property>
  <property fmtid="{D5CDD505-2E9C-101B-9397-08002B2CF9AE}" pid="14" name="TYPE_N_DATE">
    <vt:lpwstr>38020150308</vt:lpwstr>
  </property>
  <property fmtid="{D5CDD505-2E9C-101B-9397-08002B2CF9AE}" pid="15" name="WORDNUMPAGES">
    <vt:lpwstr>8</vt:lpwstr>
  </property>
  <property fmtid="{D5CDD505-2E9C-101B-9397-08002B2CF9AE}" pid="16" name="TYPE_ABS_DATE">
    <vt:lpwstr>380020150308</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5873418;5699446;11206432</vt:lpwstr>
  </property>
  <property fmtid="{D5CDD505-2E9C-101B-9397-08002B2CF9AE}" pid="36" name="LAWLISTTMP1">
    <vt:lpwstr>127622/007.a</vt:lpwstr>
  </property>
  <property fmtid="{D5CDD505-2E9C-101B-9397-08002B2CF9AE}" pid="37" name="LAWLISTTMP2">
    <vt:lpwstr>4216</vt:lpwstr>
  </property>
</Properties>
</file>