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8D7EE5" w:rsidRPr="009D20F0" w14:paraId="36C6C2E6" w14:textId="77777777">
        <w:trPr>
          <w:trHeight w:hRule="exact" w:val="418"/>
          <w:jc w:val="center"/>
        </w:trPr>
        <w:tc>
          <w:tcPr>
            <w:tcW w:w="8720" w:type="dxa"/>
            <w:gridSpan w:val="3"/>
          </w:tcPr>
          <w:p w14:paraId="3EBB6963" w14:textId="77777777" w:rsidR="008D7EE5" w:rsidRPr="009D20F0" w:rsidRDefault="009D20F0">
            <w:pPr>
              <w:pStyle w:val="a3"/>
              <w:tabs>
                <w:tab w:val="clear" w:pos="8306"/>
              </w:tabs>
              <w:jc w:val="center"/>
              <w:rPr>
                <w:rFonts w:ascii="Tahoma" w:hAnsi="Tahoma" w:cs="Tahoma"/>
                <w:b/>
                <w:bCs/>
                <w:color w:val="000080"/>
                <w:sz w:val="20"/>
                <w:szCs w:val="20"/>
                <w:rtl/>
              </w:rPr>
            </w:pPr>
            <w:bookmarkStart w:id="0" w:name="LastJudge"/>
            <w:r w:rsidRPr="009D20F0">
              <w:rPr>
                <w:rFonts w:ascii="Tahoma" w:hAnsi="Tahoma" w:cs="Tahoma" w:hint="cs"/>
                <w:b/>
                <w:bCs/>
                <w:color w:val="000080"/>
                <w:sz w:val="20"/>
                <w:szCs w:val="20"/>
                <w:rtl/>
              </w:rPr>
              <w:t>בתי המשפט</w:t>
            </w:r>
          </w:p>
        </w:tc>
      </w:tr>
      <w:tr w:rsidR="008D7EE5" w:rsidRPr="009D20F0" w14:paraId="1F3CC809" w14:textId="77777777">
        <w:trPr>
          <w:trHeight w:val="709"/>
          <w:jc w:val="center"/>
        </w:trPr>
        <w:tc>
          <w:tcPr>
            <w:tcW w:w="4805" w:type="dxa"/>
          </w:tcPr>
          <w:p w14:paraId="022FB36C" w14:textId="77777777" w:rsidR="008D7EE5" w:rsidRPr="009D20F0" w:rsidRDefault="009D20F0">
            <w:pPr>
              <w:rPr>
                <w:b/>
                <w:bCs/>
                <w:sz w:val="28"/>
                <w:szCs w:val="28"/>
                <w:rtl/>
              </w:rPr>
            </w:pPr>
            <w:r w:rsidRPr="009D20F0">
              <w:rPr>
                <w:rFonts w:hint="cs"/>
                <w:b/>
                <w:bCs/>
                <w:sz w:val="28"/>
                <w:szCs w:val="28"/>
                <w:rtl/>
              </w:rPr>
              <w:t>בית משפט השלום קריית גת</w:t>
            </w:r>
          </w:p>
        </w:tc>
        <w:tc>
          <w:tcPr>
            <w:tcW w:w="236" w:type="dxa"/>
            <w:vMerge w:val="restart"/>
          </w:tcPr>
          <w:p w14:paraId="7B02DCBF" w14:textId="77777777" w:rsidR="008D7EE5" w:rsidRPr="009D20F0" w:rsidRDefault="008D7EE5">
            <w:pPr>
              <w:pStyle w:val="a3"/>
              <w:jc w:val="right"/>
              <w:rPr>
                <w:b/>
                <w:bCs/>
                <w:sz w:val="28"/>
                <w:szCs w:val="28"/>
                <w:rtl/>
              </w:rPr>
            </w:pPr>
          </w:p>
        </w:tc>
        <w:tc>
          <w:tcPr>
            <w:tcW w:w="3679" w:type="dxa"/>
            <w:vMerge w:val="restart"/>
          </w:tcPr>
          <w:p w14:paraId="37DB732A" w14:textId="77777777" w:rsidR="008D7EE5" w:rsidRPr="009D20F0" w:rsidRDefault="009D20F0">
            <w:pPr>
              <w:jc w:val="right"/>
              <w:rPr>
                <w:b/>
                <w:bCs/>
                <w:sz w:val="28"/>
                <w:szCs w:val="28"/>
                <w:rtl/>
              </w:rPr>
            </w:pPr>
            <w:r w:rsidRPr="009D20F0">
              <w:rPr>
                <w:b/>
                <w:bCs/>
                <w:sz w:val="28"/>
                <w:szCs w:val="28"/>
                <w:rtl/>
              </w:rPr>
              <w:t>ת"פ</w:t>
            </w:r>
            <w:r w:rsidRPr="009D20F0">
              <w:rPr>
                <w:rFonts w:hint="cs"/>
                <w:b/>
                <w:bCs/>
                <w:sz w:val="28"/>
                <w:szCs w:val="28"/>
                <w:rtl/>
              </w:rPr>
              <w:t xml:space="preserve"> </w:t>
            </w:r>
            <w:r w:rsidRPr="009D20F0">
              <w:rPr>
                <w:b/>
                <w:bCs/>
                <w:sz w:val="28"/>
                <w:szCs w:val="28"/>
                <w:rtl/>
              </w:rPr>
              <w:t>54697-02-14</w:t>
            </w:r>
          </w:p>
          <w:p w14:paraId="78DDF2B0" w14:textId="77777777" w:rsidR="008D7EE5" w:rsidRPr="009D20F0" w:rsidRDefault="008D7EE5">
            <w:pPr>
              <w:pStyle w:val="a3"/>
              <w:tabs>
                <w:tab w:val="clear" w:pos="4153"/>
              </w:tabs>
              <w:jc w:val="right"/>
              <w:rPr>
                <w:b/>
                <w:bCs/>
                <w:sz w:val="20"/>
                <w:szCs w:val="20"/>
                <w:rtl/>
              </w:rPr>
            </w:pPr>
          </w:p>
          <w:p w14:paraId="75B4415F" w14:textId="77777777" w:rsidR="008D7EE5" w:rsidRPr="009D20F0" w:rsidRDefault="009D20F0">
            <w:pPr>
              <w:pStyle w:val="a3"/>
              <w:tabs>
                <w:tab w:val="clear" w:pos="4153"/>
              </w:tabs>
              <w:jc w:val="right"/>
              <w:rPr>
                <w:b/>
                <w:bCs/>
                <w:sz w:val="28"/>
                <w:szCs w:val="28"/>
                <w:rtl/>
              </w:rPr>
            </w:pPr>
            <w:r w:rsidRPr="009D20F0">
              <w:rPr>
                <w:b/>
                <w:bCs/>
                <w:sz w:val="28"/>
                <w:szCs w:val="28"/>
                <w:rtl/>
              </w:rPr>
              <w:t>27 מאי 2015</w:t>
            </w:r>
          </w:p>
        </w:tc>
      </w:tr>
      <w:tr w:rsidR="008D7EE5" w:rsidRPr="009D20F0" w14:paraId="3E0632F6" w14:textId="77777777">
        <w:trPr>
          <w:trHeight w:val="547"/>
          <w:jc w:val="center"/>
        </w:trPr>
        <w:tc>
          <w:tcPr>
            <w:tcW w:w="4805" w:type="dxa"/>
          </w:tcPr>
          <w:p w14:paraId="79D2B1BF" w14:textId="77777777" w:rsidR="008D7EE5" w:rsidRPr="009D20F0" w:rsidRDefault="009D20F0">
            <w:pPr>
              <w:rPr>
                <w:b/>
                <w:bCs/>
                <w:sz w:val="28"/>
                <w:szCs w:val="28"/>
                <w:rtl/>
              </w:rPr>
            </w:pPr>
            <w:r w:rsidRPr="009D20F0">
              <w:rPr>
                <w:rFonts w:hint="cs"/>
                <w:b/>
                <w:bCs/>
                <w:sz w:val="28"/>
                <w:szCs w:val="28"/>
                <w:rtl/>
              </w:rPr>
              <w:t>בפני: כב' ה</w:t>
            </w:r>
            <w:r w:rsidRPr="009D20F0">
              <w:rPr>
                <w:b/>
                <w:bCs/>
                <w:sz w:val="28"/>
                <w:szCs w:val="28"/>
                <w:rtl/>
              </w:rPr>
              <w:t>שופטת בכירה רובין לביא</w:t>
            </w:r>
          </w:p>
        </w:tc>
        <w:tc>
          <w:tcPr>
            <w:tcW w:w="236" w:type="dxa"/>
            <w:vMerge/>
          </w:tcPr>
          <w:p w14:paraId="22F9DA3C" w14:textId="77777777" w:rsidR="008D7EE5" w:rsidRPr="009D20F0" w:rsidRDefault="008D7EE5">
            <w:pPr>
              <w:pStyle w:val="a3"/>
              <w:jc w:val="right"/>
              <w:rPr>
                <w:b/>
                <w:bCs/>
                <w:sz w:val="28"/>
                <w:szCs w:val="28"/>
                <w:rtl/>
              </w:rPr>
            </w:pPr>
          </w:p>
        </w:tc>
        <w:tc>
          <w:tcPr>
            <w:tcW w:w="3679" w:type="dxa"/>
            <w:vMerge/>
          </w:tcPr>
          <w:p w14:paraId="6635EE5C" w14:textId="77777777" w:rsidR="008D7EE5" w:rsidRPr="009D20F0" w:rsidRDefault="008D7EE5">
            <w:pPr>
              <w:jc w:val="right"/>
              <w:rPr>
                <w:b/>
                <w:bCs/>
                <w:sz w:val="28"/>
                <w:szCs w:val="28"/>
                <w:rtl/>
              </w:rPr>
            </w:pPr>
          </w:p>
        </w:tc>
      </w:tr>
    </w:tbl>
    <w:p w14:paraId="0EDDE4A8" w14:textId="77777777" w:rsidR="008D7EE5" w:rsidRPr="009D20F0" w:rsidRDefault="008D7EE5">
      <w:pPr>
        <w:pStyle w:val="a3"/>
        <w:jc w:val="center"/>
        <w:rPr>
          <w:rFonts w:ascii="Tahoma" w:hAnsi="Tahoma" w:cs="Tahoma"/>
          <w:b/>
          <w:bCs/>
          <w:color w:val="000080"/>
          <w:sz w:val="20"/>
          <w:szCs w:val="20"/>
          <w:rtl/>
        </w:rPr>
      </w:pPr>
    </w:p>
    <w:p w14:paraId="7199B9F9" w14:textId="77777777" w:rsidR="008D7EE5" w:rsidRPr="009D20F0" w:rsidRDefault="008D7EE5">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8D7EE5" w:rsidRPr="009D20F0" w14:paraId="731F10CF" w14:textId="77777777">
        <w:tc>
          <w:tcPr>
            <w:tcW w:w="945" w:type="dxa"/>
          </w:tcPr>
          <w:p w14:paraId="31808775" w14:textId="77777777" w:rsidR="008D7EE5" w:rsidRPr="009D20F0" w:rsidRDefault="009D20F0">
            <w:pPr>
              <w:jc w:val="left"/>
              <w:rPr>
                <w:rFonts w:ascii="Times New Roman" w:eastAsia="Times New Roman" w:hAnsi="Times New Roman"/>
                <w:b/>
                <w:bCs/>
                <w:sz w:val="26"/>
                <w:rtl/>
              </w:rPr>
            </w:pPr>
            <w:bookmarkStart w:id="1" w:name="FirstAppellant"/>
            <w:r w:rsidRPr="009D20F0">
              <w:rPr>
                <w:rFonts w:ascii="Times New Roman" w:eastAsia="Times New Roman" w:hAnsi="Times New Roman" w:hint="cs"/>
                <w:b/>
                <w:bCs/>
                <w:sz w:val="26"/>
                <w:rtl/>
              </w:rPr>
              <w:t>בעניין:</w:t>
            </w:r>
          </w:p>
        </w:tc>
        <w:tc>
          <w:tcPr>
            <w:tcW w:w="7857" w:type="dxa"/>
            <w:gridSpan w:val="4"/>
          </w:tcPr>
          <w:p w14:paraId="2AD9730A" w14:textId="77777777" w:rsidR="008D7EE5" w:rsidRPr="009D20F0" w:rsidRDefault="009D20F0">
            <w:pPr>
              <w:jc w:val="left"/>
              <w:rPr>
                <w:rFonts w:ascii="Times New Roman" w:eastAsia="Times New Roman" w:hAnsi="Times New Roman"/>
                <w:b/>
                <w:bCs/>
                <w:sz w:val="26"/>
                <w:rtl/>
              </w:rPr>
            </w:pPr>
            <w:r w:rsidRPr="009D20F0">
              <w:rPr>
                <w:rFonts w:ascii="Times New Roman" w:eastAsia="Times New Roman" w:hAnsi="Times New Roman" w:hint="cs"/>
                <w:b/>
                <w:bCs/>
                <w:sz w:val="26"/>
                <w:rtl/>
              </w:rPr>
              <w:t>מדינת ישראל</w:t>
            </w:r>
            <w:bookmarkStart w:id="2" w:name="_GoBack"/>
            <w:bookmarkEnd w:id="2"/>
          </w:p>
        </w:tc>
      </w:tr>
      <w:bookmarkEnd w:id="1"/>
      <w:tr w:rsidR="008D7EE5" w:rsidRPr="009D20F0" w14:paraId="4B651641" w14:textId="77777777">
        <w:trPr>
          <w:gridAfter w:val="1"/>
          <w:wAfter w:w="106" w:type="dxa"/>
        </w:trPr>
        <w:tc>
          <w:tcPr>
            <w:tcW w:w="945" w:type="dxa"/>
          </w:tcPr>
          <w:p w14:paraId="09D4CEA9" w14:textId="77777777" w:rsidR="008D7EE5" w:rsidRPr="009D20F0" w:rsidRDefault="008D7EE5">
            <w:pPr>
              <w:ind w:left="26"/>
              <w:jc w:val="left"/>
              <w:rPr>
                <w:rFonts w:ascii="Times New Roman" w:eastAsia="Times New Roman" w:hAnsi="Times New Roman"/>
                <w:b/>
                <w:bCs/>
                <w:sz w:val="26"/>
                <w:rtl/>
              </w:rPr>
            </w:pPr>
          </w:p>
        </w:tc>
        <w:tc>
          <w:tcPr>
            <w:tcW w:w="6416" w:type="dxa"/>
          </w:tcPr>
          <w:p w14:paraId="4408EDCE" w14:textId="77777777" w:rsidR="008D7EE5" w:rsidRPr="009D20F0" w:rsidRDefault="008D7EE5">
            <w:pPr>
              <w:jc w:val="left"/>
              <w:rPr>
                <w:rFonts w:ascii="Times New Roman" w:eastAsia="Times New Roman" w:hAnsi="Times New Roman"/>
                <w:b/>
                <w:bCs/>
                <w:sz w:val="26"/>
                <w:rtl/>
              </w:rPr>
            </w:pPr>
          </w:p>
        </w:tc>
        <w:tc>
          <w:tcPr>
            <w:tcW w:w="1335" w:type="dxa"/>
            <w:gridSpan w:val="2"/>
          </w:tcPr>
          <w:p w14:paraId="2597CB75" w14:textId="77777777" w:rsidR="008D7EE5" w:rsidRPr="009D20F0" w:rsidRDefault="009D20F0">
            <w:pPr>
              <w:ind w:left="26"/>
              <w:jc w:val="left"/>
              <w:rPr>
                <w:rFonts w:ascii="Times New Roman" w:eastAsia="Times New Roman" w:hAnsi="Times New Roman"/>
                <w:b/>
                <w:bCs/>
                <w:sz w:val="26"/>
                <w:rtl/>
              </w:rPr>
            </w:pPr>
            <w:r w:rsidRPr="009D20F0">
              <w:rPr>
                <w:rFonts w:ascii="Times New Roman" w:eastAsia="Times New Roman" w:hAnsi="Times New Roman" w:hint="cs"/>
                <w:b/>
                <w:bCs/>
                <w:sz w:val="26"/>
                <w:rtl/>
              </w:rPr>
              <w:t>המאשימה</w:t>
            </w:r>
          </w:p>
        </w:tc>
      </w:tr>
      <w:tr w:rsidR="008D7EE5" w:rsidRPr="009D20F0" w14:paraId="09CC7B27" w14:textId="77777777">
        <w:trPr>
          <w:gridAfter w:val="1"/>
          <w:wAfter w:w="106" w:type="dxa"/>
        </w:trPr>
        <w:tc>
          <w:tcPr>
            <w:tcW w:w="8696" w:type="dxa"/>
            <w:gridSpan w:val="4"/>
          </w:tcPr>
          <w:p w14:paraId="001391C9" w14:textId="77777777" w:rsidR="008D7EE5" w:rsidRPr="009D20F0" w:rsidRDefault="009D20F0">
            <w:pPr>
              <w:jc w:val="center"/>
              <w:rPr>
                <w:rFonts w:ascii="Arial" w:eastAsia="Times New Roman" w:hAnsi="Arial"/>
                <w:b/>
                <w:bCs/>
                <w:sz w:val="26"/>
              </w:rPr>
            </w:pPr>
            <w:r w:rsidRPr="009D20F0">
              <w:rPr>
                <w:rFonts w:ascii="Arial" w:eastAsia="Times New Roman" w:hAnsi="Arial"/>
                <w:b/>
                <w:bCs/>
                <w:sz w:val="26"/>
                <w:rtl/>
              </w:rPr>
              <w:t>נ</w:t>
            </w:r>
            <w:r w:rsidRPr="009D20F0">
              <w:rPr>
                <w:rFonts w:ascii="Arial" w:eastAsia="Times New Roman" w:hAnsi="Arial" w:hint="cs"/>
                <w:b/>
                <w:bCs/>
                <w:sz w:val="26"/>
                <w:rtl/>
              </w:rPr>
              <w:t xml:space="preserve"> </w:t>
            </w:r>
            <w:r w:rsidRPr="009D20F0">
              <w:rPr>
                <w:rFonts w:ascii="Arial" w:eastAsia="Times New Roman" w:hAnsi="Arial"/>
                <w:b/>
                <w:bCs/>
                <w:sz w:val="26"/>
                <w:rtl/>
              </w:rPr>
              <w:t>ג</w:t>
            </w:r>
            <w:r w:rsidRPr="009D20F0">
              <w:rPr>
                <w:rFonts w:ascii="Arial" w:eastAsia="Times New Roman" w:hAnsi="Arial" w:hint="cs"/>
                <w:b/>
                <w:bCs/>
                <w:sz w:val="26"/>
                <w:rtl/>
              </w:rPr>
              <w:t xml:space="preserve"> </w:t>
            </w:r>
            <w:r w:rsidRPr="009D20F0">
              <w:rPr>
                <w:rFonts w:ascii="Arial" w:eastAsia="Times New Roman" w:hAnsi="Arial"/>
                <w:b/>
                <w:bCs/>
                <w:sz w:val="26"/>
                <w:rtl/>
              </w:rPr>
              <w:t>ד</w:t>
            </w:r>
          </w:p>
        </w:tc>
      </w:tr>
      <w:tr w:rsidR="008D7EE5" w:rsidRPr="009D20F0" w14:paraId="0024958A" w14:textId="77777777">
        <w:trPr>
          <w:gridAfter w:val="1"/>
          <w:wAfter w:w="106" w:type="dxa"/>
        </w:trPr>
        <w:tc>
          <w:tcPr>
            <w:tcW w:w="945" w:type="dxa"/>
          </w:tcPr>
          <w:p w14:paraId="049D4451" w14:textId="77777777" w:rsidR="008D7EE5" w:rsidRPr="009D20F0" w:rsidRDefault="008D7EE5">
            <w:pPr>
              <w:ind w:left="26"/>
              <w:rPr>
                <w:rFonts w:ascii="Times New Roman" w:eastAsia="Times New Roman" w:hAnsi="Times New Roman"/>
                <w:b/>
                <w:bCs/>
                <w:sz w:val="26"/>
                <w:rtl/>
              </w:rPr>
            </w:pPr>
          </w:p>
        </w:tc>
        <w:tc>
          <w:tcPr>
            <w:tcW w:w="6435" w:type="dxa"/>
            <w:gridSpan w:val="2"/>
          </w:tcPr>
          <w:p w14:paraId="20527A97" w14:textId="77777777" w:rsidR="008D7EE5" w:rsidRPr="009D20F0" w:rsidRDefault="009D20F0">
            <w:pPr>
              <w:jc w:val="left"/>
              <w:rPr>
                <w:b/>
                <w:bCs/>
                <w:sz w:val="26"/>
                <w:rtl/>
              </w:rPr>
            </w:pPr>
            <w:r w:rsidRPr="009D20F0">
              <w:rPr>
                <w:rFonts w:ascii="Times New Roman" w:eastAsia="Times New Roman" w:hAnsi="Times New Roman" w:hint="cs"/>
                <w:rtl/>
              </w:rPr>
              <w:t>שי עמוס</w:t>
            </w:r>
            <w:r w:rsidRPr="009D20F0">
              <w:rPr>
                <w:rFonts w:ascii="Times New Roman" w:eastAsia="Times New Roman" w:hAnsi="Times New Roman" w:hint="cs"/>
                <w:b/>
                <w:bCs/>
                <w:sz w:val="26"/>
                <w:rtl/>
              </w:rPr>
              <w:t xml:space="preserve"> </w:t>
            </w:r>
            <w:r w:rsidRPr="009D20F0">
              <w:rPr>
                <w:rFonts w:ascii="Times New Roman" w:eastAsia="Times New Roman" w:hAnsi="Times New Roman" w:hint="cs"/>
                <w:rtl/>
              </w:rPr>
              <w:t>ת.ז.</w:t>
            </w:r>
            <w:r w:rsidRPr="009D20F0">
              <w:rPr>
                <w:rFonts w:ascii="Times New Roman" w:eastAsia="Times New Roman" w:hAnsi="Times New Roman" w:hint="cs"/>
                <w:b/>
                <w:bCs/>
                <w:sz w:val="26"/>
                <w:rtl/>
              </w:rPr>
              <w:t xml:space="preserve"> </w:t>
            </w:r>
            <w:r w:rsidRPr="009D20F0">
              <w:rPr>
                <w:rFonts w:ascii="Times New Roman" w:eastAsia="Times New Roman" w:hAnsi="Times New Roman" w:hint="cs"/>
                <w:rtl/>
              </w:rPr>
              <w:t>305544967</w:t>
            </w:r>
          </w:p>
        </w:tc>
        <w:tc>
          <w:tcPr>
            <w:tcW w:w="1316" w:type="dxa"/>
          </w:tcPr>
          <w:p w14:paraId="1735A5C1" w14:textId="77777777" w:rsidR="008D7EE5" w:rsidRPr="009D20F0" w:rsidRDefault="008D7EE5">
            <w:pPr>
              <w:rPr>
                <w:rFonts w:ascii="Times New Roman" w:eastAsia="Times New Roman" w:hAnsi="Times New Roman"/>
                <w:b/>
                <w:bCs/>
                <w:sz w:val="26"/>
                <w:rtl/>
              </w:rPr>
            </w:pPr>
          </w:p>
        </w:tc>
      </w:tr>
      <w:tr w:rsidR="008D7EE5" w:rsidRPr="009D20F0" w14:paraId="3259D08D" w14:textId="77777777">
        <w:trPr>
          <w:gridAfter w:val="1"/>
          <w:wAfter w:w="106" w:type="dxa"/>
        </w:trPr>
        <w:tc>
          <w:tcPr>
            <w:tcW w:w="945" w:type="dxa"/>
          </w:tcPr>
          <w:p w14:paraId="168979FF" w14:textId="77777777" w:rsidR="008D7EE5" w:rsidRPr="009D20F0" w:rsidRDefault="008D7EE5">
            <w:pPr>
              <w:ind w:left="26"/>
              <w:jc w:val="left"/>
              <w:rPr>
                <w:rFonts w:ascii="Times New Roman" w:eastAsia="Times New Roman" w:hAnsi="Times New Roman"/>
                <w:b/>
                <w:bCs/>
                <w:sz w:val="26"/>
                <w:rtl/>
              </w:rPr>
            </w:pPr>
          </w:p>
        </w:tc>
        <w:tc>
          <w:tcPr>
            <w:tcW w:w="6435" w:type="dxa"/>
            <w:gridSpan w:val="2"/>
          </w:tcPr>
          <w:p w14:paraId="3319DB38" w14:textId="77777777" w:rsidR="008D7EE5" w:rsidRPr="009D20F0" w:rsidRDefault="008D7EE5">
            <w:pPr>
              <w:jc w:val="left"/>
              <w:rPr>
                <w:rFonts w:ascii="Times New Roman" w:eastAsia="Times New Roman" w:hAnsi="Times New Roman"/>
                <w:b/>
                <w:bCs/>
                <w:sz w:val="26"/>
                <w:rtl/>
              </w:rPr>
            </w:pPr>
          </w:p>
        </w:tc>
        <w:tc>
          <w:tcPr>
            <w:tcW w:w="1316" w:type="dxa"/>
          </w:tcPr>
          <w:p w14:paraId="01FBC24E" w14:textId="77777777" w:rsidR="008D7EE5" w:rsidRPr="009D20F0" w:rsidRDefault="009D20F0">
            <w:pPr>
              <w:jc w:val="left"/>
              <w:rPr>
                <w:rFonts w:ascii="Times New Roman" w:eastAsia="Times New Roman" w:hAnsi="Times New Roman"/>
                <w:b/>
                <w:bCs/>
                <w:sz w:val="26"/>
                <w:rtl/>
              </w:rPr>
            </w:pPr>
            <w:r w:rsidRPr="009D20F0">
              <w:rPr>
                <w:rFonts w:ascii="Times New Roman" w:eastAsia="Times New Roman" w:hAnsi="Times New Roman" w:hint="cs"/>
                <w:b/>
                <w:bCs/>
                <w:sz w:val="26"/>
                <w:rtl/>
              </w:rPr>
              <w:t>הנאשם</w:t>
            </w:r>
          </w:p>
        </w:tc>
      </w:tr>
    </w:tbl>
    <w:p w14:paraId="3AA27D21" w14:textId="77777777" w:rsidR="008D7EE5" w:rsidRPr="009D20F0" w:rsidRDefault="008D7EE5">
      <w:pPr>
        <w:rPr>
          <w:rFonts w:ascii="Arial" w:hAnsi="Arial"/>
          <w:b/>
          <w:bCs/>
          <w:sz w:val="26"/>
          <w:rtl/>
        </w:rPr>
      </w:pPr>
    </w:p>
    <w:p w14:paraId="06A7258C" w14:textId="77777777" w:rsidR="008D7EE5" w:rsidRPr="009D20F0" w:rsidRDefault="009D20F0">
      <w:pPr>
        <w:rPr>
          <w:rFonts w:ascii="Arial" w:hAnsi="Arial"/>
          <w:b/>
          <w:bCs/>
          <w:sz w:val="26"/>
          <w:rtl/>
        </w:rPr>
      </w:pPr>
      <w:r w:rsidRPr="009D20F0">
        <w:rPr>
          <w:rFonts w:ascii="Arial" w:hAnsi="Arial" w:hint="cs"/>
          <w:b/>
          <w:bCs/>
          <w:sz w:val="26"/>
          <w:rtl/>
        </w:rPr>
        <w:t>נוכחים:</w:t>
      </w:r>
    </w:p>
    <w:p w14:paraId="55581512" w14:textId="77777777" w:rsidR="008D7EE5" w:rsidRPr="009D20F0" w:rsidRDefault="009D20F0">
      <w:pPr>
        <w:rPr>
          <w:rtl/>
        </w:rPr>
      </w:pPr>
      <w:bookmarkStart w:id="3" w:name="FirstLawyer"/>
      <w:r w:rsidRPr="009D20F0">
        <w:rPr>
          <w:rFonts w:hint="cs"/>
          <w:rtl/>
        </w:rPr>
        <w:t>ב"כ</w:t>
      </w:r>
      <w:bookmarkEnd w:id="3"/>
      <w:r w:rsidRPr="009D20F0">
        <w:rPr>
          <w:rFonts w:hint="cs"/>
          <w:rtl/>
        </w:rPr>
        <w:t xml:space="preserve"> המאשימה עו"ד </w:t>
      </w:r>
      <w:r w:rsidRPr="009D20F0">
        <w:rPr>
          <w:rtl/>
        </w:rPr>
        <w:t>–</w:t>
      </w:r>
      <w:r w:rsidRPr="009D20F0">
        <w:rPr>
          <w:rFonts w:hint="cs"/>
          <w:rtl/>
        </w:rPr>
        <w:t xml:space="preserve"> ליפז סימני </w:t>
      </w:r>
    </w:p>
    <w:p w14:paraId="2F2D29A2" w14:textId="77777777" w:rsidR="008D7EE5" w:rsidRPr="009D20F0" w:rsidRDefault="009D20F0">
      <w:pPr>
        <w:rPr>
          <w:rtl/>
        </w:rPr>
      </w:pPr>
      <w:r w:rsidRPr="009D20F0">
        <w:rPr>
          <w:rFonts w:hint="cs"/>
          <w:rtl/>
        </w:rPr>
        <w:t xml:space="preserve">הנאשם -   בעצמו                    ובא כוחו עו"ד </w:t>
      </w:r>
      <w:r w:rsidRPr="009D20F0">
        <w:rPr>
          <w:rtl/>
        </w:rPr>
        <w:t>–</w:t>
      </w:r>
      <w:r w:rsidRPr="009D20F0">
        <w:rPr>
          <w:rFonts w:hint="cs"/>
          <w:rtl/>
        </w:rPr>
        <w:t xml:space="preserve"> תאמר אסדי</w:t>
      </w:r>
    </w:p>
    <w:p w14:paraId="72A2FA60" w14:textId="77777777" w:rsidR="008D7EE5" w:rsidRPr="009D20F0" w:rsidRDefault="009D20F0">
      <w:pPr>
        <w:rPr>
          <w:rtl/>
        </w:rPr>
      </w:pPr>
      <w:r w:rsidRPr="009D20F0">
        <w:rPr>
          <w:rFonts w:hint="cs"/>
          <w:rtl/>
        </w:rPr>
        <w:t>ק. מבחן</w:t>
      </w:r>
    </w:p>
    <w:p w14:paraId="716C1C80" w14:textId="77777777" w:rsidR="008D7EE5" w:rsidRPr="009D20F0" w:rsidRDefault="009D20F0">
      <w:pPr>
        <w:rPr>
          <w:sz w:val="6"/>
          <w:szCs w:val="6"/>
          <w:rtl/>
        </w:rPr>
      </w:pPr>
      <w:r w:rsidRPr="009D20F0">
        <w:rPr>
          <w:sz w:val="6"/>
          <w:szCs w:val="6"/>
          <w:rtl/>
        </w:rPr>
        <w:t>&lt;#1#&gt;</w:t>
      </w:r>
    </w:p>
    <w:p w14:paraId="5B8E3C6E" w14:textId="77777777" w:rsidR="008D7EE5" w:rsidRPr="009D20F0" w:rsidRDefault="008D7EE5">
      <w:pPr>
        <w:pStyle w:val="12"/>
        <w:rPr>
          <w:b w:val="0"/>
          <w:bCs w:val="0"/>
          <w:u w:val="none"/>
          <w:rtl/>
        </w:rPr>
      </w:pPr>
    </w:p>
    <w:p w14:paraId="7AB13162" w14:textId="77777777" w:rsidR="00546601" w:rsidRDefault="009D20F0">
      <w:pPr>
        <w:jc w:val="center"/>
        <w:rPr>
          <w:rFonts w:ascii="Arial" w:hAnsi="Arial"/>
          <w:b/>
          <w:color w:val="FF0000"/>
          <w:sz w:val="28"/>
          <w:szCs w:val="24"/>
          <w:rtl/>
        </w:rPr>
      </w:pPr>
      <w:r w:rsidRPr="009D20F0">
        <w:rPr>
          <w:rFonts w:ascii="Arial" w:hAnsi="Arial"/>
          <w:b/>
          <w:color w:val="FF0000"/>
          <w:sz w:val="28"/>
          <w:szCs w:val="24"/>
          <w:rtl/>
        </w:rPr>
        <w:t>במסמך זה הושמטו פרוטוקולים</w:t>
      </w:r>
      <w:bookmarkStart w:id="4" w:name="LawTable"/>
      <w:bookmarkEnd w:id="4"/>
    </w:p>
    <w:p w14:paraId="7AC06C3E" w14:textId="77777777" w:rsidR="00546601" w:rsidRPr="00546601" w:rsidRDefault="00546601" w:rsidP="00546601">
      <w:pPr>
        <w:spacing w:after="120" w:line="240" w:lineRule="exact"/>
        <w:ind w:left="283" w:hanging="283"/>
        <w:rPr>
          <w:rFonts w:ascii="FrankRuehl" w:hAnsi="FrankRuehl" w:cs="FrankRuehl"/>
          <w:color w:val="FF0000"/>
          <w:szCs w:val="24"/>
          <w:rtl/>
        </w:rPr>
      </w:pPr>
    </w:p>
    <w:p w14:paraId="4305793D" w14:textId="77777777" w:rsidR="00546601" w:rsidRPr="00546601" w:rsidRDefault="00546601" w:rsidP="00546601">
      <w:pPr>
        <w:spacing w:after="120" w:line="240" w:lineRule="exact"/>
        <w:ind w:left="283" w:hanging="283"/>
        <w:rPr>
          <w:rFonts w:ascii="FrankRuehl" w:hAnsi="FrankRuehl" w:cs="FrankRuehl"/>
          <w:color w:val="FF0000"/>
          <w:szCs w:val="24"/>
          <w:rtl/>
        </w:rPr>
      </w:pPr>
      <w:r w:rsidRPr="00546601">
        <w:rPr>
          <w:rFonts w:ascii="FrankRuehl" w:hAnsi="FrankRuehl" w:cs="FrankRuehl"/>
          <w:color w:val="FF0000"/>
          <w:szCs w:val="24"/>
          <w:rtl/>
        </w:rPr>
        <w:t xml:space="preserve">חקיקה שאוזכרה: </w:t>
      </w:r>
    </w:p>
    <w:p w14:paraId="4408F699" w14:textId="77777777" w:rsidR="00546601" w:rsidRPr="00546601" w:rsidRDefault="00546601" w:rsidP="00546601">
      <w:pPr>
        <w:spacing w:after="120" w:line="240" w:lineRule="exact"/>
        <w:ind w:left="283" w:hanging="283"/>
        <w:rPr>
          <w:rFonts w:ascii="FrankRuehl" w:hAnsi="FrankRuehl" w:cs="FrankRuehl"/>
          <w:color w:val="0000FF"/>
          <w:szCs w:val="24"/>
          <w:u w:val="single"/>
          <w:rtl/>
        </w:rPr>
      </w:pPr>
      <w:hyperlink r:id="rId6" w:history="1">
        <w:r w:rsidRPr="00546601">
          <w:rPr>
            <w:rStyle w:val="Hyperlink"/>
            <w:rFonts w:ascii="FrankRuehl" w:hAnsi="FrankRuehl" w:cs="FrankRuehl"/>
            <w:szCs w:val="24"/>
            <w:rtl/>
          </w:rPr>
          <w:t>פקודת הסמים המסוכנים [נוסח חדש], תשל"ג-1973</w:t>
        </w:r>
      </w:hyperlink>
    </w:p>
    <w:p w14:paraId="26E91277" w14:textId="77777777" w:rsidR="00546601" w:rsidRPr="00546601" w:rsidRDefault="00546601" w:rsidP="00546601">
      <w:pPr>
        <w:spacing w:after="120" w:line="240" w:lineRule="exact"/>
        <w:ind w:left="283" w:hanging="283"/>
        <w:rPr>
          <w:rFonts w:ascii="FrankRuehl" w:hAnsi="FrankRuehl" w:cs="FrankRuehl"/>
          <w:szCs w:val="24"/>
          <w:rtl/>
        </w:rPr>
      </w:pPr>
    </w:p>
    <w:p w14:paraId="567632A0" w14:textId="77777777" w:rsidR="00546601" w:rsidRPr="00546601" w:rsidRDefault="00546601">
      <w:pPr>
        <w:jc w:val="center"/>
        <w:rPr>
          <w:rFonts w:ascii="Arial" w:hAnsi="Arial"/>
          <w:sz w:val="28"/>
          <w:szCs w:val="24"/>
          <w:rtl/>
        </w:rPr>
      </w:pPr>
      <w:bookmarkStart w:id="5" w:name="LawTable_End"/>
      <w:bookmarkEnd w:id="5"/>
    </w:p>
    <w:p w14:paraId="0F810456" w14:textId="77777777" w:rsidR="00546601" w:rsidRPr="00546601" w:rsidRDefault="00546601">
      <w:pPr>
        <w:jc w:val="center"/>
        <w:rPr>
          <w:rFonts w:ascii="Arial" w:hAnsi="Arial"/>
          <w:b/>
          <w:color w:val="FF0000"/>
          <w:sz w:val="28"/>
          <w:szCs w:val="24"/>
          <w:rtl/>
        </w:rPr>
      </w:pPr>
    </w:p>
    <w:p w14:paraId="63901368" w14:textId="77777777" w:rsidR="008D7EE5" w:rsidRPr="00546601" w:rsidRDefault="008D7EE5">
      <w:pPr>
        <w:jc w:val="center"/>
        <w:rPr>
          <w:rFonts w:ascii="Arial" w:hAnsi="Arial"/>
          <w:b/>
          <w:bCs/>
          <w:sz w:val="28"/>
          <w:szCs w:val="28"/>
          <w:rtl/>
        </w:rPr>
      </w:pPr>
    </w:p>
    <w:p w14:paraId="29457784" w14:textId="77777777" w:rsidR="009D20F0" w:rsidRPr="009D20F0" w:rsidRDefault="009D20F0">
      <w:pPr>
        <w:jc w:val="center"/>
        <w:rPr>
          <w:rFonts w:ascii="Arial" w:hAnsi="Arial"/>
          <w:sz w:val="28"/>
          <w:szCs w:val="28"/>
          <w:rtl/>
        </w:rPr>
      </w:pPr>
    </w:p>
    <w:p w14:paraId="6906CAA8" w14:textId="77777777" w:rsidR="009D20F0" w:rsidRPr="009D20F0" w:rsidRDefault="009D20F0">
      <w:pPr>
        <w:jc w:val="center"/>
        <w:rPr>
          <w:rFonts w:ascii="Arial" w:hAnsi="Arial"/>
          <w:b/>
          <w:bCs/>
          <w:sz w:val="28"/>
          <w:szCs w:val="28"/>
          <w:rtl/>
        </w:rPr>
      </w:pPr>
    </w:p>
    <w:p w14:paraId="449988B7" w14:textId="77777777" w:rsidR="009D20F0" w:rsidRPr="009D20F0" w:rsidRDefault="009D20F0">
      <w:pPr>
        <w:jc w:val="center"/>
        <w:rPr>
          <w:rFonts w:ascii="Arial" w:hAnsi="Arial"/>
          <w:b/>
          <w:bCs/>
          <w:sz w:val="28"/>
          <w:szCs w:val="28"/>
          <w:rtl/>
        </w:rPr>
      </w:pPr>
    </w:p>
    <w:p w14:paraId="511EADB8" w14:textId="77777777" w:rsidR="009D20F0" w:rsidRPr="009D20F0" w:rsidRDefault="009D20F0" w:rsidP="009D20F0">
      <w:pPr>
        <w:jc w:val="center"/>
        <w:rPr>
          <w:rFonts w:ascii="Arial" w:hAnsi="Arial"/>
          <w:b/>
          <w:bCs/>
          <w:sz w:val="28"/>
          <w:szCs w:val="28"/>
          <w:u w:val="single"/>
          <w:rtl/>
        </w:rPr>
      </w:pPr>
      <w:bookmarkStart w:id="6" w:name="PsakDin"/>
      <w:bookmarkEnd w:id="0"/>
      <w:r w:rsidRPr="009D20F0">
        <w:rPr>
          <w:rFonts w:ascii="Arial" w:hAnsi="Arial"/>
          <w:b/>
          <w:bCs/>
          <w:sz w:val="28"/>
          <w:szCs w:val="28"/>
          <w:u w:val="single"/>
          <w:rtl/>
        </w:rPr>
        <w:t>גזר דין</w:t>
      </w:r>
    </w:p>
    <w:bookmarkEnd w:id="6"/>
    <w:p w14:paraId="20FB527F" w14:textId="77777777" w:rsidR="008D7EE5" w:rsidRDefault="008D7EE5">
      <w:pPr>
        <w:rPr>
          <w:rFonts w:ascii="Arial" w:hAnsi="Arial"/>
        </w:rPr>
      </w:pPr>
    </w:p>
    <w:p w14:paraId="6498A621" w14:textId="77777777" w:rsidR="008D7EE5" w:rsidRDefault="009D20F0">
      <w:pPr>
        <w:rPr>
          <w:rtl/>
        </w:rPr>
      </w:pPr>
      <w:bookmarkStart w:id="7" w:name="ABSTRACT_START"/>
      <w:bookmarkEnd w:id="7"/>
      <w:r>
        <w:rPr>
          <w:rFonts w:hint="cs"/>
          <w:rtl/>
        </w:rPr>
        <w:t>הנאשם הודה והורשע במסגרת הסדר טיעון שכלל תיקון מהותי בכתב האישום והסכמה עונשית, בכך שבתאריך 8.10.13, לקראת ערב, סוכן משטרתי יצר קשר טלפוני עם אחר קובי, וביקש לרכוש ממנו סוליה וחצי חשיש</w:t>
      </w:r>
      <w:bookmarkStart w:id="8" w:name="ABSTRACT_END"/>
      <w:bookmarkEnd w:id="8"/>
      <w:r>
        <w:rPr>
          <w:rFonts w:hint="cs"/>
          <w:rtl/>
        </w:rPr>
        <w:t xml:space="preserve">. בהמשך בעקבות שיחות טלפון נוספות תיאמו להיפגש בביצוע עסקת סמים, הסוכן הגיע למכולת , המתין להגעת קובי, בשלב הזה פגש בו הנאשם. </w:t>
      </w:r>
      <w:r>
        <w:rPr>
          <w:rFonts w:hint="cs"/>
          <w:rtl/>
        </w:rPr>
        <w:lastRenderedPageBreak/>
        <w:t xml:space="preserve">הסוכן ביקש שיצור קשר עם קובי והנאשם אמר לו שבעוד דקה הוא פה, ואכן כעבור דקות ספורות הגיע קובי למקום ובוצעה עסקה, במהלכה רכש הסוכן שתי פלטות סם מסוכן מסוג חשיש. לאחר מכן אמר להם הנאשם לסוכן: "אם אני צועק תברח", קובי חצה את פלטה לשניים ולשני רבעים. הסוכן מסר לקובי 6,600 ₪ במזומן ו קיבל פלטה וחצי </w:t>
      </w:r>
      <w:r>
        <w:rPr>
          <w:rtl/>
        </w:rPr>
        <w:t>–</w:t>
      </w:r>
      <w:r>
        <w:rPr>
          <w:rFonts w:hint="cs"/>
          <w:rtl/>
        </w:rPr>
        <w:t xml:space="preserve"> עבירה של סיוע לביצוע עסקת סמים.</w:t>
      </w:r>
    </w:p>
    <w:p w14:paraId="4F2A3194" w14:textId="77777777" w:rsidR="008D7EE5" w:rsidRDefault="008D7EE5">
      <w:pPr>
        <w:rPr>
          <w:rtl/>
        </w:rPr>
      </w:pPr>
    </w:p>
    <w:p w14:paraId="20BCE2B2" w14:textId="77777777" w:rsidR="008D7EE5" w:rsidRDefault="009D20F0">
      <w:pPr>
        <w:rPr>
          <w:rtl/>
        </w:rPr>
      </w:pPr>
      <w:r>
        <w:rPr>
          <w:rFonts w:hint="cs"/>
          <w:rtl/>
        </w:rPr>
        <w:t xml:space="preserve">על פי ההסדר אם שירות המבחן ימליצו על כך לאחר שהנאשם ישולב בהליך טיפולי, תסתפק התביעה ב- 6 חודשי מאסר בעבודות שירות כולל הפעלה של מאסר מותנה של 3 חודשים בחופף ובאי כח הצדדים לא התיחסו לרכיבים נלווים וגם בעתירה שלה לעונש לא ביקשה התובעת פסילה ופסילה מותנית אלא רק לאחר שבית משפט העיר לה. הסניגור טוען שהרכיבים נלוים לא היו חלק מההסדר, אך גם הוסיף כי ברור שיהיה מאסר מותנה וקנס. והואיל ועל פי פקודת הסמים יש להטיל פסילה בפועל וכן לא יעלה על הדעת שאדם שעדיין בדיקות השתן מעידות על שימוש ימשיך וינהג, מצאתי להוסיף כך רכיב של פסילה. </w:t>
      </w:r>
    </w:p>
    <w:p w14:paraId="095177AC" w14:textId="77777777" w:rsidR="008D7EE5" w:rsidRDefault="008D7EE5">
      <w:pPr>
        <w:rPr>
          <w:rtl/>
        </w:rPr>
      </w:pPr>
    </w:p>
    <w:p w14:paraId="1568AD05" w14:textId="77777777" w:rsidR="008D7EE5" w:rsidRDefault="009D20F0">
      <w:pPr>
        <w:rPr>
          <w:rtl/>
        </w:rPr>
      </w:pPr>
      <w:r>
        <w:rPr>
          <w:rFonts w:hint="cs"/>
          <w:rtl/>
        </w:rPr>
        <w:t xml:space="preserve">נתקבלו בהתאם להסדר תסקירים וחוות דעת ממונה, מהם עולה שהנאשם כבן 23, רווק, לפני כ- 9 ימים נישא, הוא עובד היום בשתי עבודות במקביל בתיווך ושיפוצים. כפי הנראה הוא בן למשפחה נורמטיבית, השלים 12 שנות לימוד, אך לא השלים תעודת בגרות. כעבור 10 שנים למעשה נפלט על רקע בעיות קשב וריכוז ועבר אבחון פסיכודידקטי. התגייס לצה"ל. </w:t>
      </w:r>
    </w:p>
    <w:p w14:paraId="6BC260BF" w14:textId="77777777" w:rsidR="008D7EE5" w:rsidRDefault="008D7EE5">
      <w:pPr>
        <w:rPr>
          <w:rtl/>
        </w:rPr>
      </w:pPr>
    </w:p>
    <w:p w14:paraId="1B06679D" w14:textId="77777777" w:rsidR="008D7EE5" w:rsidRDefault="009D20F0">
      <w:pPr>
        <w:rPr>
          <w:rtl/>
        </w:rPr>
      </w:pPr>
      <w:r>
        <w:rPr>
          <w:rFonts w:hint="cs"/>
          <w:rtl/>
        </w:rPr>
        <w:t>הנאשם לא תופס עצמו כאדם בעל התנהגות עבריינית ושלל תחילה כל בעייתיות בתחום הסמים וטען שיכול להפסיק לבדו. שירות מבחן שלחו אותו לבדיקות מעקב ולמרות דבריו שהתנקה מסמים, מצאו לכאורה כי משמש בסמים. הדיון נדחה למעשה כדי לבחון זאת וגם בתסקיר שהוגש היום צוין כי נמצאו מספר דגימות שתן עם שרידי סם. הסניגור טוען כי בבדיקה הקודמת שצוינה בתסקיר נמצאה טעות ומבדיקת מעבדה  עלה שלא נמצאו שרידי סם. הוא סבור שגם בשלושה מקרים הנוספים עליהם מדווחים היום קיימת אפשרות דומה.</w:t>
      </w:r>
    </w:p>
    <w:p w14:paraId="5FC1BEFC" w14:textId="77777777" w:rsidR="008D7EE5" w:rsidRDefault="008D7EE5">
      <w:pPr>
        <w:rPr>
          <w:rtl/>
        </w:rPr>
      </w:pPr>
    </w:p>
    <w:p w14:paraId="26C8B84B" w14:textId="77777777" w:rsidR="008D7EE5" w:rsidRDefault="009D20F0">
      <w:pPr>
        <w:rPr>
          <w:rtl/>
        </w:rPr>
      </w:pPr>
      <w:r>
        <w:rPr>
          <w:rFonts w:hint="cs"/>
          <w:rtl/>
        </w:rPr>
        <w:t>בנסיבות אלה, התובעת ביקשה שהדיון שוב ידחה כדי להמתין ולקבל את תוצאות הבדיקות, אך קצין המבחן סבור שאין בכך צורך ואף בית משפט סבור שאם אכן משתמש בסמים הממונה לא יכשירו לבצע עבודות שירות ויהיה עליו לשאת המאסר בכלא.</w:t>
      </w:r>
    </w:p>
    <w:p w14:paraId="7D52DA8D" w14:textId="77777777" w:rsidR="008D7EE5" w:rsidRDefault="008D7EE5">
      <w:pPr>
        <w:rPr>
          <w:rtl/>
        </w:rPr>
      </w:pPr>
    </w:p>
    <w:p w14:paraId="6E975419" w14:textId="77777777" w:rsidR="008D7EE5" w:rsidRDefault="009D20F0">
      <w:pPr>
        <w:rPr>
          <w:rtl/>
        </w:rPr>
      </w:pPr>
      <w:r>
        <w:rPr>
          <w:rFonts w:hint="cs"/>
          <w:rtl/>
        </w:rPr>
        <w:t xml:space="preserve">אין ספק, כי מדובר במי שקיימת נזקקות טיפולית גבוהה בעניינו. מהתסקיר המשלים שהוגש עולה שהוא הקפיד להגיע באופן סדיר לבדיקות ולטפול הקבוצתי ומבטא נכונות לעבוד על התכנים ולערוך שינוי. הוא שיתף אותם בקשיים עמם מתמודד. אף ביקש לקבל סיוע במצבו הנפשי. </w:t>
      </w:r>
    </w:p>
    <w:p w14:paraId="3E822D1B" w14:textId="77777777" w:rsidR="008D7EE5" w:rsidRDefault="009D20F0">
      <w:pPr>
        <w:rPr>
          <w:rtl/>
        </w:rPr>
      </w:pPr>
      <w:r>
        <w:rPr>
          <w:rFonts w:hint="cs"/>
          <w:rtl/>
        </w:rPr>
        <w:lastRenderedPageBreak/>
        <w:t xml:space="preserve">בנסיבות אלה, שירות המבחן ממליצים להסתפק בעבודות שירות יחד עם צו מבחן ברוח הסדר הטיעון. </w:t>
      </w:r>
    </w:p>
    <w:p w14:paraId="23093F8D" w14:textId="77777777" w:rsidR="008D7EE5" w:rsidRDefault="008D7EE5">
      <w:pPr>
        <w:jc w:val="center"/>
        <w:rPr>
          <w:szCs w:val="24"/>
          <w:rtl/>
        </w:rPr>
      </w:pPr>
    </w:p>
    <w:p w14:paraId="34D7B66D" w14:textId="77777777" w:rsidR="008D7EE5" w:rsidRDefault="009D20F0">
      <w:pPr>
        <w:rPr>
          <w:rtl/>
        </w:rPr>
      </w:pPr>
      <w:r>
        <w:rPr>
          <w:rtl/>
        </w:rPr>
        <w:t xml:space="preserve"> </w:t>
      </w:r>
      <w:r>
        <w:rPr>
          <w:rFonts w:hint="cs"/>
          <w:rtl/>
        </w:rPr>
        <w:t>לאור האמור, הסדר הטיעון יכובד.</w:t>
      </w:r>
    </w:p>
    <w:p w14:paraId="527E41E6" w14:textId="77777777" w:rsidR="008D7EE5" w:rsidRDefault="008D7EE5">
      <w:pPr>
        <w:rPr>
          <w:rtl/>
        </w:rPr>
      </w:pPr>
    </w:p>
    <w:p w14:paraId="50B2E746" w14:textId="77777777" w:rsidR="008D7EE5" w:rsidRDefault="009D20F0">
      <w:pPr>
        <w:rPr>
          <w:rtl/>
        </w:rPr>
      </w:pPr>
      <w:r>
        <w:rPr>
          <w:rFonts w:hint="cs"/>
          <w:rtl/>
        </w:rPr>
        <w:t>אני גוזרת על הנאשם לעונשים כדלקמן:</w:t>
      </w:r>
    </w:p>
    <w:p w14:paraId="7A5F56A5" w14:textId="77777777" w:rsidR="008D7EE5" w:rsidRDefault="008D7EE5">
      <w:pPr>
        <w:rPr>
          <w:rtl/>
        </w:rPr>
      </w:pPr>
    </w:p>
    <w:p w14:paraId="368BFF90" w14:textId="77777777" w:rsidR="008D7EE5" w:rsidRDefault="009D20F0">
      <w:pPr>
        <w:ind w:left="720" w:hanging="720"/>
        <w:rPr>
          <w:rtl/>
        </w:rPr>
      </w:pPr>
      <w:r>
        <w:rPr>
          <w:rFonts w:hint="cs"/>
          <w:rtl/>
        </w:rPr>
        <w:t>1.</w:t>
      </w:r>
      <w:r>
        <w:rPr>
          <w:rFonts w:hint="cs"/>
          <w:rtl/>
        </w:rPr>
        <w:tab/>
        <w:t xml:space="preserve">מאסר לתקופה של 6  חודשים. </w:t>
      </w:r>
    </w:p>
    <w:p w14:paraId="33D80876" w14:textId="77777777" w:rsidR="008D7EE5" w:rsidRDefault="008D7EE5">
      <w:pPr>
        <w:rPr>
          <w:rtl/>
        </w:rPr>
      </w:pPr>
    </w:p>
    <w:p w14:paraId="01C965D9" w14:textId="77777777" w:rsidR="008D7EE5" w:rsidRDefault="009D20F0">
      <w:pPr>
        <w:ind w:left="720" w:hanging="720"/>
        <w:rPr>
          <w:rtl/>
        </w:rPr>
      </w:pPr>
      <w:r>
        <w:rPr>
          <w:rFonts w:hint="cs"/>
          <w:rtl/>
        </w:rPr>
        <w:t>2.</w:t>
      </w:r>
      <w:r>
        <w:rPr>
          <w:rFonts w:hint="cs"/>
          <w:rtl/>
        </w:rPr>
        <w:tab/>
      </w:r>
      <w:r>
        <w:rPr>
          <w:rtl/>
        </w:rPr>
        <w:t xml:space="preserve">הנני מורה על הפעלת עונש של </w:t>
      </w:r>
      <w:r>
        <w:rPr>
          <w:rFonts w:hint="cs"/>
          <w:rtl/>
        </w:rPr>
        <w:t>מאסר מותנה</w:t>
      </w:r>
      <w:r>
        <w:rPr>
          <w:rtl/>
        </w:rPr>
        <w:t xml:space="preserve"> למשך  </w:t>
      </w:r>
      <w:r>
        <w:rPr>
          <w:rFonts w:hint="cs"/>
          <w:rtl/>
        </w:rPr>
        <w:t>3</w:t>
      </w:r>
      <w:r>
        <w:rPr>
          <w:rtl/>
        </w:rPr>
        <w:t xml:space="preserve"> חודשים  כפי שנפסק על </w:t>
      </w:r>
    </w:p>
    <w:p w14:paraId="2654D42E" w14:textId="77777777" w:rsidR="008D7EE5" w:rsidRDefault="009D20F0">
      <w:pPr>
        <w:ind w:left="720"/>
        <w:rPr>
          <w:rtl/>
        </w:rPr>
      </w:pPr>
      <w:r>
        <w:rPr>
          <w:rtl/>
        </w:rPr>
        <w:t xml:space="preserve">תנאי  בבית משפט  </w:t>
      </w:r>
      <w:r>
        <w:rPr>
          <w:rFonts w:hint="cs"/>
          <w:rtl/>
        </w:rPr>
        <w:t xml:space="preserve">קרית גת </w:t>
      </w:r>
      <w:r>
        <w:rPr>
          <w:rtl/>
        </w:rPr>
        <w:t xml:space="preserve">  ביום</w:t>
      </w:r>
      <w:r>
        <w:rPr>
          <w:rFonts w:hint="cs"/>
          <w:rtl/>
        </w:rPr>
        <w:t xml:space="preserve"> 9.6.14</w:t>
      </w:r>
      <w:r>
        <w:rPr>
          <w:rtl/>
        </w:rPr>
        <w:t xml:space="preserve">   בתיק מס'   </w:t>
      </w:r>
      <w:r>
        <w:rPr>
          <w:rFonts w:hint="cs"/>
          <w:rtl/>
        </w:rPr>
        <w:t>35180-12-13</w:t>
      </w:r>
      <w:r>
        <w:rPr>
          <w:rtl/>
        </w:rPr>
        <w:t xml:space="preserve"> לריצוי באופן חופ</w:t>
      </w:r>
      <w:r>
        <w:rPr>
          <w:rFonts w:hint="cs"/>
          <w:rtl/>
        </w:rPr>
        <w:t>ף</w:t>
      </w:r>
      <w:r>
        <w:rPr>
          <w:rtl/>
        </w:rPr>
        <w:t>.</w:t>
      </w:r>
    </w:p>
    <w:p w14:paraId="1F5CB1D8" w14:textId="77777777" w:rsidR="008D7EE5" w:rsidRDefault="008D7EE5">
      <w:pPr>
        <w:ind w:firstLine="720"/>
        <w:rPr>
          <w:rtl/>
        </w:rPr>
      </w:pPr>
    </w:p>
    <w:p w14:paraId="421F80BD" w14:textId="77777777" w:rsidR="008D7EE5" w:rsidRDefault="009D20F0">
      <w:pPr>
        <w:ind w:left="720"/>
      </w:pPr>
      <w:r>
        <w:rPr>
          <w:rFonts w:hint="cs"/>
          <w:rtl/>
        </w:rPr>
        <w:t xml:space="preserve">את המאסר ישא בעבודות שירות במתנ"ס נווה אילן, אשקלון,  וזאת 5 ימים בשבוע, 8.5 שעות יומיות, בעבודות אחזקה וסיוע, מנהלה ושירותים בפיקוח ישראלי שרון. </w:t>
      </w:r>
    </w:p>
    <w:p w14:paraId="4D9AA142" w14:textId="77777777" w:rsidR="008D7EE5" w:rsidRDefault="009D20F0">
      <w:pPr>
        <w:ind w:left="720"/>
      </w:pPr>
      <w:r>
        <w:rPr>
          <w:rFonts w:hint="cs"/>
          <w:rtl/>
        </w:rPr>
        <w:t>תחילת המאסר מיום  23.6.15  ועליו להתייצב בשעה 08:00 במועד זה בפני המפקח על עבודות השירות לצורך קליטה והצבה במפקדת גוש דרום ב"ש, ליד כלא ב"ש,  (אוטובוס אגד מתחנה מרכזית בב"ש קו 46).</w:t>
      </w:r>
    </w:p>
    <w:p w14:paraId="40294F92" w14:textId="77777777" w:rsidR="008D7EE5" w:rsidRDefault="009D20F0">
      <w:pPr>
        <w:ind w:left="720"/>
        <w:rPr>
          <w:rtl/>
        </w:rPr>
      </w:pPr>
      <w:r>
        <w:rPr>
          <w:rFonts w:hint="cs"/>
          <w:rtl/>
        </w:rPr>
        <w:t xml:space="preserve">על הנאשם לדווח לממונה על עבודות השירות בשב"ס אודות כל שינוי בכתובתו ובפרטיו. </w:t>
      </w:r>
    </w:p>
    <w:p w14:paraId="0BDE71C7" w14:textId="77777777" w:rsidR="008D7EE5" w:rsidRDefault="009D20F0">
      <w:pPr>
        <w:ind w:left="720"/>
        <w:rPr>
          <w:rtl/>
        </w:rPr>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6FBF9BAF" w14:textId="77777777" w:rsidR="008D7EE5" w:rsidRDefault="009D20F0">
      <w:pPr>
        <w:ind w:left="720"/>
        <w:rPr>
          <w:rtl/>
        </w:rPr>
      </w:pPr>
      <w:r>
        <w:rPr>
          <w:rFonts w:hint="cs"/>
          <w:rtl/>
        </w:rPr>
        <w:t xml:space="preserve">אני מתירה לממונה לערוך בדיקות שתן לגילוי שרידי סם לאור המצוין לעיל, ומוסבר לנאשם כי אם ימצא משתמש בסמים, בסמכותו של הממונה להורות כי את המאסר ישא בכלא. </w:t>
      </w:r>
    </w:p>
    <w:p w14:paraId="24C471DA" w14:textId="77777777" w:rsidR="008D7EE5" w:rsidRDefault="008D7EE5">
      <w:pPr>
        <w:ind w:firstLine="720"/>
        <w:rPr>
          <w:rtl/>
        </w:rPr>
      </w:pPr>
    </w:p>
    <w:p w14:paraId="1F50739E" w14:textId="77777777" w:rsidR="008D7EE5" w:rsidRDefault="009D20F0">
      <w:pPr>
        <w:ind w:left="720" w:hanging="720"/>
        <w:rPr>
          <w:rtl/>
        </w:rPr>
      </w:pPr>
      <w:r>
        <w:rPr>
          <w:rFonts w:hint="cs"/>
          <w:rtl/>
        </w:rPr>
        <w:t>3.</w:t>
      </w:r>
      <w:r>
        <w:rPr>
          <w:rFonts w:hint="cs"/>
          <w:rtl/>
        </w:rPr>
        <w:tab/>
        <w:t>אני מטילה על הנאשם  10 חודשי מאסר על תנאי למשך    3שנים והתנאי הוא שלא יעבור עבירה מסוג פשע ל</w:t>
      </w:r>
      <w:hyperlink r:id="rId7" w:history="1">
        <w:r w:rsidRPr="009D20F0">
          <w:rPr>
            <w:color w:val="0000FF"/>
            <w:u w:val="single"/>
            <w:rtl/>
          </w:rPr>
          <w:t>פקודת הסמים המסוכנים</w:t>
        </w:r>
      </w:hyperlink>
      <w:r>
        <w:rPr>
          <w:rFonts w:hint="cs"/>
          <w:rtl/>
        </w:rPr>
        <w:t>.</w:t>
      </w:r>
    </w:p>
    <w:p w14:paraId="6C702972" w14:textId="77777777" w:rsidR="008D7EE5" w:rsidRDefault="008D7EE5">
      <w:pPr>
        <w:ind w:firstLine="720"/>
        <w:rPr>
          <w:rtl/>
        </w:rPr>
      </w:pPr>
    </w:p>
    <w:p w14:paraId="25F2EB55" w14:textId="77777777" w:rsidR="008D7EE5" w:rsidRDefault="009D20F0">
      <w:pPr>
        <w:ind w:left="720" w:hanging="720"/>
        <w:rPr>
          <w:rtl/>
        </w:rPr>
      </w:pPr>
      <w:r>
        <w:rPr>
          <w:rFonts w:hint="cs"/>
          <w:rtl/>
        </w:rPr>
        <w:t>4.</w:t>
      </w:r>
      <w:r>
        <w:rPr>
          <w:rFonts w:hint="cs"/>
          <w:rtl/>
        </w:rPr>
        <w:tab/>
        <w:t>אני מטילה על הנאשם  10 חודשי מאסר על תנאי למשך    3שנים והתנאי הוא שלא יעבור עבירה מסוג פשע ל</w:t>
      </w:r>
      <w:hyperlink r:id="rId8" w:history="1">
        <w:r w:rsidRPr="009D20F0">
          <w:rPr>
            <w:color w:val="0000FF"/>
            <w:u w:val="single"/>
            <w:rtl/>
          </w:rPr>
          <w:t>פקודת הסמים המסוכנים</w:t>
        </w:r>
      </w:hyperlink>
      <w:r>
        <w:rPr>
          <w:rFonts w:hint="cs"/>
          <w:rtl/>
        </w:rPr>
        <w:t>.</w:t>
      </w:r>
    </w:p>
    <w:p w14:paraId="733AEB86" w14:textId="77777777" w:rsidR="008D7EE5" w:rsidRDefault="008D7EE5">
      <w:pPr>
        <w:ind w:firstLine="720"/>
        <w:rPr>
          <w:rtl/>
        </w:rPr>
      </w:pPr>
    </w:p>
    <w:p w14:paraId="366A771B" w14:textId="77777777" w:rsidR="008D7EE5" w:rsidRDefault="009D20F0">
      <w:pPr>
        <w:rPr>
          <w:rtl/>
        </w:rPr>
      </w:pPr>
      <w:r>
        <w:rPr>
          <w:rFonts w:hint="cs"/>
          <w:rtl/>
        </w:rPr>
        <w:t>5.</w:t>
      </w:r>
      <w:r>
        <w:rPr>
          <w:rFonts w:hint="cs"/>
          <w:rtl/>
        </w:rPr>
        <w:tab/>
      </w:r>
      <w:r>
        <w:rPr>
          <w:rtl/>
        </w:rPr>
        <w:t>הנני פוסלת את הנאש</w:t>
      </w:r>
      <w:r>
        <w:rPr>
          <w:rFonts w:hint="cs"/>
          <w:rtl/>
        </w:rPr>
        <w:t>ם/ת</w:t>
      </w:r>
      <w:r>
        <w:rPr>
          <w:rtl/>
        </w:rPr>
        <w:t xml:space="preserve"> מלקבל או מלהחזיק רשיון נהיגה לתקופה של </w:t>
      </w:r>
      <w:r>
        <w:rPr>
          <w:rFonts w:hint="cs"/>
          <w:rtl/>
        </w:rPr>
        <w:t>3</w:t>
      </w:r>
      <w:r>
        <w:rPr>
          <w:rtl/>
        </w:rPr>
        <w:t xml:space="preserve"> חודש</w:t>
      </w:r>
      <w:r>
        <w:rPr>
          <w:rFonts w:hint="cs"/>
          <w:rtl/>
        </w:rPr>
        <w:t>/</w:t>
      </w:r>
      <w:r>
        <w:rPr>
          <w:rtl/>
        </w:rPr>
        <w:t xml:space="preserve">ים. </w:t>
      </w:r>
    </w:p>
    <w:p w14:paraId="2D68115D" w14:textId="77777777" w:rsidR="008D7EE5" w:rsidRDefault="009D20F0">
      <w:pPr>
        <w:rPr>
          <w:rtl/>
        </w:rPr>
      </w:pPr>
      <w:r>
        <w:rPr>
          <w:rtl/>
        </w:rPr>
        <w:tab/>
      </w:r>
      <w:r>
        <w:rPr>
          <w:rFonts w:hint="cs"/>
          <w:rtl/>
        </w:rPr>
        <w:t xml:space="preserve">לצורך זאת יפקיד רשיונו במזכירות בית המשפט ומוסברת לו חומרת העבירה. </w:t>
      </w:r>
    </w:p>
    <w:p w14:paraId="0C6EEC5D" w14:textId="77777777" w:rsidR="008D7EE5" w:rsidRDefault="008D7EE5">
      <w:pPr>
        <w:ind w:firstLine="720"/>
        <w:rPr>
          <w:rtl/>
        </w:rPr>
      </w:pPr>
    </w:p>
    <w:p w14:paraId="166E5B84" w14:textId="77777777" w:rsidR="008D7EE5" w:rsidRDefault="009D20F0">
      <w:pPr>
        <w:ind w:left="720" w:hanging="720"/>
        <w:rPr>
          <w:rtl/>
        </w:rPr>
      </w:pPr>
      <w:r>
        <w:rPr>
          <w:rFonts w:hint="cs"/>
          <w:rtl/>
        </w:rPr>
        <w:t>6.</w:t>
      </w:r>
      <w:r>
        <w:rPr>
          <w:rtl/>
        </w:rPr>
        <w:tab/>
        <w:t>קנס בסך</w:t>
      </w:r>
      <w:r>
        <w:rPr>
          <w:rFonts w:hint="cs"/>
          <w:rtl/>
        </w:rPr>
        <w:t xml:space="preserve"> </w:t>
      </w:r>
      <w:r>
        <w:rPr>
          <w:rtl/>
        </w:rPr>
        <w:t xml:space="preserve"> </w:t>
      </w:r>
      <w:r>
        <w:rPr>
          <w:rFonts w:hint="cs"/>
          <w:rtl/>
        </w:rPr>
        <w:t>1000</w:t>
      </w:r>
      <w:r>
        <w:rPr>
          <w:rtl/>
        </w:rPr>
        <w:t xml:space="preserve"> </w:t>
      </w:r>
      <w:r>
        <w:rPr>
          <w:rFonts w:hint="cs"/>
          <w:rtl/>
        </w:rPr>
        <w:t>₪</w:t>
      </w:r>
      <w:r>
        <w:rPr>
          <w:rtl/>
        </w:rPr>
        <w:t xml:space="preserve">, </w:t>
      </w:r>
      <w:r>
        <w:rPr>
          <w:rFonts w:hint="cs"/>
          <w:rtl/>
        </w:rPr>
        <w:t xml:space="preserve"> שיקוזז מהפקדון והיתרה תושב לנאשם או מי מטעמו על פרטי חשבון בנק שימציא. </w:t>
      </w:r>
    </w:p>
    <w:p w14:paraId="22B9A57B" w14:textId="77777777" w:rsidR="008D7EE5" w:rsidRDefault="008D7EE5">
      <w:pPr>
        <w:ind w:left="720" w:hanging="720"/>
        <w:rPr>
          <w:rtl/>
        </w:rPr>
      </w:pPr>
    </w:p>
    <w:p w14:paraId="470E20F2" w14:textId="77777777" w:rsidR="008D7EE5" w:rsidRDefault="009D20F0">
      <w:pPr>
        <w:ind w:left="720" w:hanging="720"/>
        <w:rPr>
          <w:rtl/>
        </w:rPr>
      </w:pPr>
      <w:r>
        <w:rPr>
          <w:rFonts w:hint="cs"/>
          <w:rtl/>
        </w:rPr>
        <w:t>7</w:t>
      </w:r>
      <w:r>
        <w:rPr>
          <w:rtl/>
        </w:rPr>
        <w:t>.</w:t>
      </w:r>
      <w:r>
        <w:rPr>
          <w:rtl/>
        </w:rPr>
        <w:tab/>
      </w:r>
      <w:r>
        <w:rPr>
          <w:rFonts w:hint="cs"/>
          <w:rtl/>
        </w:rPr>
        <w:t>הנאשם יחתום על התחייבות בסך 6000  ₪ להימנע מביצוע עבירה מסוג פשע ל</w:t>
      </w:r>
      <w:hyperlink r:id="rId9" w:history="1">
        <w:r w:rsidRPr="009D20F0">
          <w:rPr>
            <w:color w:val="0000FF"/>
            <w:u w:val="single"/>
            <w:rtl/>
          </w:rPr>
          <w:t>פקודת הסמים המסוכנים</w:t>
        </w:r>
      </w:hyperlink>
      <w:r>
        <w:rPr>
          <w:rFonts w:hint="cs"/>
          <w:rtl/>
        </w:rPr>
        <w:t xml:space="preserve">. במשך 3    שנים מהיום. </w:t>
      </w:r>
    </w:p>
    <w:p w14:paraId="0412C5C6" w14:textId="77777777" w:rsidR="008D7EE5" w:rsidRDefault="009D20F0">
      <w:pPr>
        <w:rPr>
          <w:rtl/>
        </w:rPr>
      </w:pPr>
      <w:r>
        <w:rPr>
          <w:rFonts w:hint="cs"/>
          <w:rtl/>
        </w:rPr>
        <w:tab/>
        <w:t xml:space="preserve">אם לא יחתום על ההתחייבות, יאסר למשך 90  ימים. </w:t>
      </w:r>
    </w:p>
    <w:p w14:paraId="5F39F8F2" w14:textId="77777777" w:rsidR="008D7EE5" w:rsidRDefault="008D7EE5">
      <w:pPr>
        <w:rPr>
          <w:rtl/>
        </w:rPr>
      </w:pPr>
    </w:p>
    <w:p w14:paraId="4E1048B6" w14:textId="77777777" w:rsidR="008D7EE5" w:rsidRDefault="009D20F0">
      <w:pPr>
        <w:ind w:left="720" w:hanging="720"/>
        <w:rPr>
          <w:rtl/>
        </w:rPr>
      </w:pPr>
      <w:r>
        <w:rPr>
          <w:rFonts w:hint="cs"/>
          <w:rtl/>
        </w:rPr>
        <w:t>8.</w:t>
      </w:r>
      <w:r>
        <w:rPr>
          <w:rFonts w:hint="cs"/>
          <w:rtl/>
        </w:rPr>
        <w:tab/>
        <w:t xml:space="preserve">הנאשם ימצא בפיקוח שירות המבחן למשך שנה מהיום. </w:t>
      </w:r>
    </w:p>
    <w:p w14:paraId="61C23E10" w14:textId="77777777" w:rsidR="008D7EE5" w:rsidRDefault="009D20F0">
      <w:pPr>
        <w:ind w:left="720" w:hanging="720"/>
        <w:rPr>
          <w:rtl/>
        </w:rPr>
      </w:pPr>
      <w:r>
        <w:rPr>
          <w:rFonts w:hint="cs"/>
          <w:rtl/>
        </w:rPr>
        <w:tab/>
        <w:t xml:space="preserve">לצורך זאת עליו לחתום על צו מבחן. </w:t>
      </w:r>
    </w:p>
    <w:p w14:paraId="73D3E4BE" w14:textId="77777777" w:rsidR="008D7EE5" w:rsidRDefault="009D20F0">
      <w:pPr>
        <w:ind w:left="720" w:hanging="720"/>
        <w:rPr>
          <w:rtl/>
        </w:rPr>
      </w:pPr>
      <w:r>
        <w:rPr>
          <w:rFonts w:hint="cs"/>
          <w:rtl/>
        </w:rPr>
        <w:tab/>
        <w:t>מוסבר לנאשם כי אם לא יעמוד בתנאי הצו, ניתן יהיה להפקיעו ולגזור דינו לרכיבי ענישה נוספים.</w:t>
      </w:r>
    </w:p>
    <w:p w14:paraId="22FB53AC" w14:textId="77777777" w:rsidR="008D7EE5" w:rsidRDefault="008D7EE5">
      <w:pPr>
        <w:ind w:left="720" w:hanging="720"/>
        <w:rPr>
          <w:rtl/>
        </w:rPr>
      </w:pPr>
    </w:p>
    <w:p w14:paraId="1EC5B0B3" w14:textId="77777777" w:rsidR="008D7EE5" w:rsidRDefault="009D20F0">
      <w:pPr>
        <w:rPr>
          <w:b/>
          <w:bCs/>
          <w:rtl/>
        </w:rPr>
      </w:pPr>
      <w:r>
        <w:rPr>
          <w:b/>
          <w:bCs/>
          <w:rtl/>
        </w:rPr>
        <w:t xml:space="preserve">זכות ערעור תוך 45 יום מהיום. </w:t>
      </w:r>
    </w:p>
    <w:p w14:paraId="211873E2" w14:textId="77777777" w:rsidR="008D7EE5" w:rsidRDefault="008D7EE5">
      <w:pPr>
        <w:rPr>
          <w:b/>
          <w:bCs/>
          <w:rtl/>
        </w:rPr>
      </w:pPr>
    </w:p>
    <w:p w14:paraId="42226910" w14:textId="77777777" w:rsidR="008D7EE5" w:rsidRDefault="009D20F0">
      <w:pPr>
        <w:rPr>
          <w:b/>
          <w:bCs/>
          <w:sz w:val="6"/>
          <w:szCs w:val="6"/>
          <w:rtl/>
        </w:rPr>
      </w:pPr>
      <w:r>
        <w:rPr>
          <w:b/>
          <w:bCs/>
          <w:sz w:val="6"/>
          <w:szCs w:val="6"/>
          <w:rtl/>
        </w:rPr>
        <w:t>&lt;#4#&gt;</w:t>
      </w:r>
    </w:p>
    <w:p w14:paraId="3D255AFC" w14:textId="77777777" w:rsidR="008D7EE5" w:rsidRDefault="008D7EE5">
      <w:pPr>
        <w:jc w:val="right"/>
        <w:rPr>
          <w:rtl/>
        </w:rPr>
      </w:pPr>
    </w:p>
    <w:p w14:paraId="5D205D05" w14:textId="77777777" w:rsidR="008D7EE5" w:rsidRDefault="009D20F0">
      <w:pPr>
        <w:jc w:val="center"/>
        <w:rPr>
          <w:rtl/>
        </w:rPr>
      </w:pPr>
      <w:r>
        <w:rPr>
          <w:b/>
          <w:bCs/>
          <w:rtl/>
        </w:rPr>
        <w:t xml:space="preserve">ניתנה והודעה היום ט' סיוון תשע"ה, 27/05/2015 במעמד הנוכחים. </w:t>
      </w:r>
    </w:p>
    <w:p w14:paraId="3D9D831A" w14:textId="77777777" w:rsidR="008D7EE5" w:rsidRPr="009D20F0" w:rsidRDefault="009D20F0">
      <w:pPr>
        <w:jc w:val="right"/>
        <w:rPr>
          <w:color w:val="FFFFFF"/>
          <w:sz w:val="2"/>
          <w:szCs w:val="2"/>
          <w:rtl/>
        </w:rPr>
      </w:pPr>
      <w:r w:rsidRPr="009D20F0">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D7EE5" w14:paraId="43DF10AE" w14:textId="77777777">
        <w:trPr>
          <w:trHeight w:val="316"/>
          <w:jc w:val="right"/>
        </w:trPr>
        <w:tc>
          <w:tcPr>
            <w:tcW w:w="3936" w:type="dxa"/>
          </w:tcPr>
          <w:p w14:paraId="5EBB40B4" w14:textId="77777777" w:rsidR="008D7EE5" w:rsidRPr="009D20F0" w:rsidRDefault="009D20F0">
            <w:pPr>
              <w:jc w:val="center"/>
              <w:rPr>
                <w:rFonts w:ascii="Times New Roman" w:eastAsia="Times New Roman" w:hAnsi="Times New Roman" w:cs="Times New Roman"/>
                <w:color w:val="FFFFFF"/>
                <w:sz w:val="2"/>
                <w:szCs w:val="2"/>
              </w:rPr>
            </w:pPr>
            <w:r w:rsidRPr="009D20F0">
              <w:rPr>
                <w:rFonts w:ascii="Times New Roman" w:eastAsia="Times New Roman" w:hAnsi="Times New Roman" w:cs="Times New Roman"/>
                <w:color w:val="FFFFFF"/>
                <w:sz w:val="2"/>
                <w:szCs w:val="2"/>
                <w:rtl/>
              </w:rPr>
              <w:t>54678313</w:t>
            </w:r>
          </w:p>
          <w:p w14:paraId="50AE2570" w14:textId="77777777" w:rsidR="008D7EE5" w:rsidRDefault="008D7EE5">
            <w:pPr>
              <w:jc w:val="center"/>
              <w:rPr>
                <w:rFonts w:ascii="Times New Roman" w:eastAsia="Times New Roman" w:hAnsi="Times New Roman" w:cs="Times New Roman"/>
                <w:rtl/>
              </w:rPr>
            </w:pPr>
          </w:p>
        </w:tc>
      </w:tr>
      <w:tr w:rsidR="008D7EE5" w14:paraId="27AAD507" w14:textId="77777777">
        <w:trPr>
          <w:trHeight w:val="361"/>
          <w:jc w:val="right"/>
        </w:trPr>
        <w:tc>
          <w:tcPr>
            <w:tcW w:w="3936" w:type="dxa"/>
          </w:tcPr>
          <w:p w14:paraId="5F8FB8A1" w14:textId="77777777" w:rsidR="008D7EE5" w:rsidRDefault="009D20F0">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5FBB2D88" w14:textId="77777777" w:rsidR="008D7EE5" w:rsidRDefault="008D7EE5">
      <w:pPr>
        <w:jc w:val="right"/>
        <w:rPr>
          <w:rtl/>
        </w:rPr>
      </w:pPr>
    </w:p>
    <w:p w14:paraId="2ACE98E4" w14:textId="77777777" w:rsidR="009D20F0" w:rsidRPr="009D20F0" w:rsidRDefault="009D20F0" w:rsidP="009D20F0">
      <w:pPr>
        <w:keepNext/>
        <w:jc w:val="left"/>
        <w:rPr>
          <w:color w:val="000000"/>
          <w:sz w:val="22"/>
          <w:szCs w:val="22"/>
          <w:rtl/>
        </w:rPr>
      </w:pPr>
    </w:p>
    <w:p w14:paraId="52CC3E8A" w14:textId="77777777" w:rsidR="009D20F0" w:rsidRPr="009D20F0" w:rsidRDefault="009D20F0" w:rsidP="009D20F0">
      <w:pPr>
        <w:keepNext/>
        <w:jc w:val="left"/>
        <w:rPr>
          <w:color w:val="000000"/>
          <w:sz w:val="22"/>
          <w:szCs w:val="22"/>
          <w:rtl/>
        </w:rPr>
      </w:pPr>
      <w:r w:rsidRPr="009D20F0">
        <w:rPr>
          <w:color w:val="000000"/>
          <w:sz w:val="22"/>
          <w:szCs w:val="22"/>
          <w:rtl/>
        </w:rPr>
        <w:t>רובין לביא 54678313</w:t>
      </w:r>
    </w:p>
    <w:p w14:paraId="00881A90" w14:textId="77777777" w:rsidR="009D20F0" w:rsidRDefault="009D20F0" w:rsidP="009D20F0">
      <w:pPr>
        <w:jc w:val="left"/>
      </w:pPr>
      <w:r w:rsidRPr="009D20F0">
        <w:rPr>
          <w:color w:val="000000"/>
          <w:rtl/>
        </w:rPr>
        <w:t>נוסח מסמך זה כפוף לשינויי ניסוח ועריכה</w:t>
      </w:r>
    </w:p>
    <w:p w14:paraId="006FC568" w14:textId="77777777" w:rsidR="009D20F0" w:rsidRDefault="009D20F0" w:rsidP="009D20F0">
      <w:pPr>
        <w:jc w:val="left"/>
        <w:rPr>
          <w:rtl/>
        </w:rPr>
      </w:pPr>
    </w:p>
    <w:p w14:paraId="5AF4D802" w14:textId="77777777" w:rsidR="009D20F0" w:rsidRDefault="009D20F0" w:rsidP="009D20F0">
      <w:pPr>
        <w:jc w:val="center"/>
        <w:rPr>
          <w:color w:val="0000FF"/>
          <w:szCs w:val="24"/>
          <w:u w:val="single"/>
        </w:rPr>
      </w:pPr>
      <w:hyperlink r:id="rId10" w:history="1">
        <w:r>
          <w:rPr>
            <w:color w:val="0000FF"/>
            <w:szCs w:val="24"/>
            <w:u w:val="single"/>
            <w:rtl/>
          </w:rPr>
          <w:t>בעניין עריכה ושינויים במסמכי פסיקה, חקיקה ועוד באתר נבו – הקש כאן</w:t>
        </w:r>
      </w:hyperlink>
    </w:p>
    <w:p w14:paraId="7E0FB706" w14:textId="77777777" w:rsidR="008D7EE5" w:rsidRDefault="008D7EE5" w:rsidP="009D20F0">
      <w:pPr>
        <w:jc w:val="center"/>
        <w:rPr>
          <w:rFonts w:hint="cs"/>
          <w:color w:val="0000FF"/>
          <w:szCs w:val="24"/>
          <w:u w:val="single"/>
          <w:rtl/>
        </w:rPr>
      </w:pPr>
    </w:p>
    <w:p w14:paraId="3BED6128" w14:textId="77777777" w:rsidR="006F2963" w:rsidRDefault="006F2963" w:rsidP="009D20F0">
      <w:pPr>
        <w:jc w:val="center"/>
        <w:rPr>
          <w:rFonts w:hint="cs"/>
          <w:color w:val="0000FF"/>
          <w:szCs w:val="24"/>
          <w:u w:val="single"/>
          <w:rtl/>
        </w:rPr>
      </w:pPr>
    </w:p>
    <w:p w14:paraId="1CB51EAA" w14:textId="77777777" w:rsidR="006F2963" w:rsidRPr="009D20F0" w:rsidRDefault="006F2963" w:rsidP="009D20F0">
      <w:pPr>
        <w:jc w:val="center"/>
        <w:rPr>
          <w:color w:val="0000FF"/>
          <w:szCs w:val="24"/>
          <w:u w:val="single"/>
        </w:rPr>
      </w:pPr>
    </w:p>
    <w:sectPr w:rsidR="006F2963" w:rsidRPr="009D20F0" w:rsidSect="009D20F0">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3B1E2" w14:textId="77777777" w:rsidR="00231C9C" w:rsidRDefault="00231C9C">
      <w:r>
        <w:separator/>
      </w:r>
    </w:p>
  </w:endnote>
  <w:endnote w:type="continuationSeparator" w:id="0">
    <w:p w14:paraId="4A61EF02" w14:textId="77777777" w:rsidR="00231C9C" w:rsidRDefault="0023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11F3E" w14:textId="77777777" w:rsidR="00231C9C" w:rsidRDefault="00231C9C" w:rsidP="009D20F0">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24</w:t>
    </w:r>
    <w:r>
      <w:rPr>
        <w:rFonts w:ascii="FrankRuehl" w:hAnsi="FrankRuehl" w:cs="FrankRuehl"/>
        <w:szCs w:val="24"/>
        <w:rtl/>
      </w:rPr>
      <w:fldChar w:fldCharType="end"/>
    </w:r>
  </w:p>
  <w:p w14:paraId="04F83278" w14:textId="77777777" w:rsidR="00231C9C" w:rsidRPr="009D20F0" w:rsidRDefault="00231C9C" w:rsidP="009D20F0">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9D20F0">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05715" w14:textId="77777777" w:rsidR="00231C9C" w:rsidRDefault="00231C9C" w:rsidP="009D20F0">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C845C3">
      <w:rPr>
        <w:rFonts w:ascii="FrankRuehl" w:hAnsi="FrankRuehl" w:cs="FrankRuehl"/>
        <w:noProof/>
        <w:szCs w:val="24"/>
        <w:rtl/>
      </w:rPr>
      <w:t>1</w:t>
    </w:r>
    <w:r>
      <w:rPr>
        <w:rFonts w:ascii="FrankRuehl" w:hAnsi="FrankRuehl" w:cs="FrankRuehl"/>
        <w:szCs w:val="24"/>
        <w:rtl/>
      </w:rPr>
      <w:fldChar w:fldCharType="end"/>
    </w:r>
  </w:p>
  <w:p w14:paraId="74F9B943" w14:textId="77777777" w:rsidR="00231C9C" w:rsidRPr="009D20F0" w:rsidRDefault="00231C9C" w:rsidP="009D20F0">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9D20F0">
      <w:rPr>
        <w:rFonts w:ascii="FrankRuehl" w:hAnsi="FrankRuehl" w:cs="FrankRuehl"/>
        <w:color w:val="000000"/>
        <w:szCs w:val="24"/>
      </w:rPr>
      <w:pict w14:anchorId="38B77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5C1E8" w14:textId="77777777" w:rsidR="00231C9C" w:rsidRDefault="00231C9C">
      <w:r>
        <w:separator/>
      </w:r>
    </w:p>
  </w:footnote>
  <w:footnote w:type="continuationSeparator" w:id="0">
    <w:p w14:paraId="650F2BE1" w14:textId="77777777" w:rsidR="00231C9C" w:rsidRDefault="00231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9057C" w14:textId="77777777" w:rsidR="00231C9C" w:rsidRPr="009D20F0" w:rsidRDefault="00231C9C" w:rsidP="009D20F0">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54697-02-14</w:t>
    </w:r>
    <w:r>
      <w:rPr>
        <w:color w:val="000000"/>
        <w:sz w:val="22"/>
        <w:szCs w:val="22"/>
        <w:rtl/>
      </w:rPr>
      <w:tab/>
      <w:t xml:space="preserve"> מדינת ישראל נ' שי עמוס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65CF1" w14:textId="77777777" w:rsidR="00231C9C" w:rsidRPr="009D20F0" w:rsidRDefault="00231C9C" w:rsidP="009D20F0">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54697-02-14</w:t>
    </w:r>
    <w:r>
      <w:rPr>
        <w:color w:val="000000"/>
        <w:sz w:val="22"/>
        <w:szCs w:val="22"/>
        <w:rtl/>
      </w:rPr>
      <w:tab/>
      <w:t xml:space="preserve"> מדינת ישראל נ' שי עמוס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7EE5"/>
    <w:rsid w:val="00043E01"/>
    <w:rsid w:val="0014432C"/>
    <w:rsid w:val="00231C9C"/>
    <w:rsid w:val="004822B2"/>
    <w:rsid w:val="00546601"/>
    <w:rsid w:val="006F2963"/>
    <w:rsid w:val="0080220A"/>
    <w:rsid w:val="008D7EE5"/>
    <w:rsid w:val="009D20F0"/>
    <w:rsid w:val="00A447C4"/>
    <w:rsid w:val="00BC129A"/>
    <w:rsid w:val="00C845C3"/>
    <w:rsid w:val="00D83F5A"/>
    <w:rsid w:val="00DB05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2B7F96"/>
  <w15:chartTrackingRefBased/>
  <w15:docId w15:val="{B7F4BA87-B393-4D34-9530-CF89E418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7EE5"/>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D7EE5"/>
    <w:pPr>
      <w:tabs>
        <w:tab w:val="center" w:pos="4153"/>
        <w:tab w:val="right" w:pos="8306"/>
      </w:tabs>
    </w:pPr>
  </w:style>
  <w:style w:type="paragraph" w:styleId="a4">
    <w:name w:val="footer"/>
    <w:basedOn w:val="a"/>
    <w:rsid w:val="008D7EE5"/>
    <w:pPr>
      <w:tabs>
        <w:tab w:val="center" w:pos="4153"/>
        <w:tab w:val="right" w:pos="8306"/>
      </w:tabs>
    </w:pPr>
  </w:style>
  <w:style w:type="character" w:styleId="a5">
    <w:name w:val="page number"/>
    <w:basedOn w:val="a0"/>
    <w:rsid w:val="008D7EE5"/>
  </w:style>
  <w:style w:type="paragraph" w:customStyle="1" w:styleId="12">
    <w:name w:val="רגיל + ‏12 נק'"/>
    <w:aliases w:val="מיושר לשני הצדדים,מרווח בין שורות:  שורה וחצי"/>
    <w:basedOn w:val="a"/>
    <w:rsid w:val="008D7EE5"/>
    <w:pPr>
      <w:spacing w:line="240" w:lineRule="auto"/>
      <w:jc w:val="left"/>
    </w:pPr>
    <w:rPr>
      <w:rFonts w:ascii="Times New Roman" w:eastAsia="Times New Roman" w:hAnsi="Times New Roman"/>
      <w:b/>
      <w:bCs/>
      <w:szCs w:val="24"/>
      <w:u w:val="single"/>
    </w:rPr>
  </w:style>
  <w:style w:type="character" w:styleId="a6">
    <w:name w:val="line number"/>
    <w:basedOn w:val="a0"/>
    <w:rsid w:val="008D7EE5"/>
  </w:style>
  <w:style w:type="character" w:styleId="Hyperlink">
    <w:name w:val="Hyperlink"/>
    <w:rsid w:val="009D20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863</Words>
  <Characters>4319</Characters>
  <Application>Microsoft Office Word</Application>
  <DocSecurity>0</DocSecurity>
  <Lines>35</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5172</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2025-04-22T22:15:00Z</dcterms:created>
  <dcterms:modified xsi:type="dcterms:W3CDTF">2025-04-22T22:15:00Z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54697</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שי עמוס</vt:lpwstr>
  </property>
  <property fmtid="{D5CDD505-2E9C-101B-9397-08002B2CF9AE}" pid="10" name="LAWYER">
    <vt:lpwstr>ליפז סימני;תאמר אסדי</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20150527</vt:lpwstr>
  </property>
  <property fmtid="{D5CDD505-2E9C-101B-9397-08002B2CF9AE}" pid="14" name="TYPE_N_DATE">
    <vt:lpwstr>38020150527</vt:lpwstr>
  </property>
  <property fmtid="{D5CDD505-2E9C-101B-9397-08002B2CF9AE}" pid="15" name="WORDNUMPAGES">
    <vt:lpwstr>4</vt:lpwstr>
  </property>
  <property fmtid="{D5CDD505-2E9C-101B-9397-08002B2CF9AE}" pid="16" name="TYPE_ABS_DATE">
    <vt:lpwstr>380020150527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4216:3</vt:lpwstr>
  </property>
</Properties>
</file>