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B7019E" w:rsidRPr="0022134E" w14:paraId="337E8A86" w14:textId="77777777">
        <w:trPr>
          <w:trHeight w:hRule="exact" w:val="418"/>
          <w:jc w:val="center"/>
        </w:trPr>
        <w:tc>
          <w:tcPr>
            <w:tcW w:w="8720" w:type="dxa"/>
            <w:gridSpan w:val="3"/>
          </w:tcPr>
          <w:p w14:paraId="4C715960" w14:textId="77777777" w:rsidR="00B7019E" w:rsidRPr="0022134E" w:rsidRDefault="0022134E">
            <w:pPr>
              <w:pStyle w:val="a4"/>
              <w:tabs>
                <w:tab w:val="clear" w:pos="8306"/>
              </w:tabs>
              <w:jc w:val="center"/>
              <w:rPr>
                <w:rFonts w:ascii="Tahoma" w:hAnsi="Tahoma" w:cs="Tahoma"/>
                <w:b/>
                <w:bCs/>
                <w:color w:val="000080"/>
                <w:sz w:val="20"/>
                <w:szCs w:val="20"/>
                <w:rtl/>
              </w:rPr>
            </w:pPr>
            <w:r w:rsidRPr="0022134E">
              <w:rPr>
                <w:rFonts w:ascii="Tahoma" w:hAnsi="Tahoma" w:cs="Tahoma"/>
                <w:b/>
                <w:bCs/>
                <w:color w:val="000080"/>
                <w:sz w:val="20"/>
                <w:szCs w:val="20"/>
                <w:rtl/>
              </w:rPr>
              <w:t>בית משפט השלום בראשון לציון</w:t>
            </w:r>
          </w:p>
        </w:tc>
      </w:tr>
      <w:tr w:rsidR="00B7019E" w:rsidRPr="0022134E" w14:paraId="57942867" w14:textId="77777777">
        <w:trPr>
          <w:trHeight w:val="337"/>
          <w:jc w:val="center"/>
        </w:trPr>
        <w:tc>
          <w:tcPr>
            <w:tcW w:w="3973" w:type="dxa"/>
          </w:tcPr>
          <w:p w14:paraId="1894F792" w14:textId="77777777" w:rsidR="00B7019E" w:rsidRPr="0022134E" w:rsidRDefault="0022134E">
            <w:pPr>
              <w:rPr>
                <w:b/>
                <w:bCs/>
                <w:sz w:val="26"/>
                <w:szCs w:val="26"/>
                <w:rtl/>
              </w:rPr>
            </w:pPr>
            <w:r w:rsidRPr="0022134E">
              <w:rPr>
                <w:b/>
                <w:bCs/>
                <w:sz w:val="26"/>
                <w:szCs w:val="26"/>
                <w:rtl/>
              </w:rPr>
              <w:t>ת"פ</w:t>
            </w:r>
            <w:r w:rsidRPr="0022134E">
              <w:rPr>
                <w:rFonts w:hint="cs"/>
                <w:b/>
                <w:bCs/>
                <w:sz w:val="26"/>
                <w:szCs w:val="26"/>
                <w:rtl/>
              </w:rPr>
              <w:t xml:space="preserve"> </w:t>
            </w:r>
            <w:r w:rsidRPr="0022134E">
              <w:rPr>
                <w:b/>
                <w:bCs/>
                <w:sz w:val="26"/>
                <w:szCs w:val="26"/>
                <w:rtl/>
              </w:rPr>
              <w:t>18987-03-14</w:t>
            </w:r>
            <w:r w:rsidRPr="0022134E">
              <w:rPr>
                <w:rFonts w:hint="cs"/>
                <w:b/>
                <w:bCs/>
                <w:sz w:val="26"/>
                <w:szCs w:val="26"/>
                <w:rtl/>
              </w:rPr>
              <w:t xml:space="preserve"> </w:t>
            </w:r>
            <w:r w:rsidRPr="0022134E">
              <w:rPr>
                <w:b/>
                <w:bCs/>
                <w:sz w:val="26"/>
                <w:szCs w:val="26"/>
                <w:rtl/>
              </w:rPr>
              <w:t>מדינת ישראל נ' אזולאי(עציר)</w:t>
            </w:r>
          </w:p>
          <w:p w14:paraId="25EA5B0E" w14:textId="77777777" w:rsidR="00B7019E" w:rsidRPr="0022134E" w:rsidRDefault="00B7019E">
            <w:pPr>
              <w:rPr>
                <w:b/>
                <w:bCs/>
                <w:sz w:val="26"/>
                <w:szCs w:val="26"/>
                <w:rtl/>
              </w:rPr>
            </w:pPr>
          </w:p>
        </w:tc>
        <w:tc>
          <w:tcPr>
            <w:tcW w:w="1068" w:type="dxa"/>
          </w:tcPr>
          <w:p w14:paraId="2AB3F8B6" w14:textId="77777777" w:rsidR="00B7019E" w:rsidRPr="0022134E" w:rsidRDefault="00B7019E">
            <w:pPr>
              <w:pStyle w:val="a4"/>
              <w:jc w:val="right"/>
              <w:rPr>
                <w:b/>
                <w:bCs/>
                <w:sz w:val="26"/>
                <w:szCs w:val="26"/>
                <w:rtl/>
              </w:rPr>
            </w:pPr>
          </w:p>
        </w:tc>
        <w:tc>
          <w:tcPr>
            <w:tcW w:w="3679" w:type="dxa"/>
          </w:tcPr>
          <w:p w14:paraId="555922AD" w14:textId="77777777" w:rsidR="00B7019E" w:rsidRPr="0022134E" w:rsidRDefault="0022134E">
            <w:pPr>
              <w:pStyle w:val="a4"/>
              <w:tabs>
                <w:tab w:val="clear" w:pos="4153"/>
              </w:tabs>
              <w:jc w:val="right"/>
              <w:rPr>
                <w:b/>
                <w:bCs/>
                <w:sz w:val="26"/>
                <w:szCs w:val="26"/>
                <w:rtl/>
              </w:rPr>
            </w:pPr>
            <w:r w:rsidRPr="0022134E">
              <w:rPr>
                <w:b/>
                <w:bCs/>
                <w:sz w:val="26"/>
                <w:szCs w:val="26"/>
                <w:rtl/>
              </w:rPr>
              <w:t>01 יולי 2014</w:t>
            </w:r>
          </w:p>
        </w:tc>
      </w:tr>
    </w:tbl>
    <w:p w14:paraId="69DEE449" w14:textId="77777777" w:rsidR="00B7019E" w:rsidRPr="0022134E" w:rsidRDefault="00B7019E">
      <w:pPr>
        <w:pStyle w:val="a4"/>
        <w:jc w:val="center"/>
        <w:rPr>
          <w:rFonts w:ascii="Tahoma" w:hAnsi="Tahoma" w:cs="Tahoma"/>
          <w:b/>
          <w:bCs/>
          <w:color w:val="000080"/>
          <w:sz w:val="20"/>
          <w:szCs w:val="20"/>
          <w:rtl/>
        </w:rPr>
      </w:pPr>
    </w:p>
    <w:p w14:paraId="26E8C1CD" w14:textId="77777777" w:rsidR="00B7019E" w:rsidRPr="0022134E" w:rsidRDefault="00B7019E">
      <w:pPr>
        <w:spacing w:line="360" w:lineRule="auto"/>
        <w:jc w:val="both"/>
        <w:rPr>
          <w:rFonts w:ascii="Arial" w:hAnsi="Arial"/>
          <w:rtl/>
        </w:rPr>
      </w:pPr>
    </w:p>
    <w:tbl>
      <w:tblPr>
        <w:bidiVisual/>
        <w:tblW w:w="8802" w:type="dxa"/>
        <w:tblInd w:w="-28" w:type="dxa"/>
        <w:tblLook w:val="01E0" w:firstRow="1" w:lastRow="1" w:firstColumn="1" w:lastColumn="1" w:noHBand="0" w:noVBand="0"/>
      </w:tblPr>
      <w:tblGrid>
        <w:gridCol w:w="2880"/>
        <w:gridCol w:w="5839"/>
        <w:gridCol w:w="83"/>
      </w:tblGrid>
      <w:tr w:rsidR="00B7019E" w:rsidRPr="0022134E" w14:paraId="52207564" w14:textId="77777777">
        <w:trPr>
          <w:gridAfter w:val="1"/>
          <w:wAfter w:w="55" w:type="dxa"/>
        </w:trPr>
        <w:tc>
          <w:tcPr>
            <w:tcW w:w="8719" w:type="dxa"/>
            <w:gridSpan w:val="2"/>
          </w:tcPr>
          <w:p w14:paraId="4A5FA3EC" w14:textId="77777777" w:rsidR="00B7019E" w:rsidRPr="0022134E" w:rsidRDefault="0022134E">
            <w:pPr>
              <w:spacing w:line="360" w:lineRule="auto"/>
              <w:jc w:val="both"/>
              <w:rPr>
                <w:rFonts w:ascii="Arial" w:eastAsia="Times New Roman" w:hAnsi="Arial" w:cs="Times New Roman"/>
                <w:rtl/>
              </w:rPr>
            </w:pPr>
            <w:r w:rsidRPr="0022134E">
              <w:rPr>
                <w:rFonts w:ascii="Times New Roman" w:eastAsia="Times New Roman" w:hAnsi="Times New Roman" w:hint="cs"/>
                <w:b/>
                <w:bCs/>
                <w:sz w:val="26"/>
                <w:szCs w:val="26"/>
                <w:rtl/>
              </w:rPr>
              <w:t>בפני כב' סגן הנשיאה, השופט אברהם הימן</w:t>
            </w:r>
          </w:p>
        </w:tc>
      </w:tr>
      <w:tr w:rsidR="00B7019E" w:rsidRPr="0022134E" w14:paraId="7A7BBEEB" w14:textId="77777777">
        <w:tc>
          <w:tcPr>
            <w:tcW w:w="2880" w:type="dxa"/>
          </w:tcPr>
          <w:p w14:paraId="4244634E" w14:textId="77777777" w:rsidR="00B7019E" w:rsidRPr="0022134E" w:rsidRDefault="0022134E">
            <w:pPr>
              <w:ind w:left="26"/>
              <w:rPr>
                <w:rFonts w:ascii="Times New Roman" w:eastAsia="Times New Roman" w:hAnsi="Times New Roman"/>
                <w:b/>
                <w:bCs/>
                <w:sz w:val="26"/>
                <w:szCs w:val="26"/>
                <w:rtl/>
              </w:rPr>
            </w:pPr>
            <w:bookmarkStart w:id="0" w:name="FirstAppellant"/>
            <w:bookmarkStart w:id="1" w:name="LastJudge"/>
            <w:bookmarkEnd w:id="1"/>
            <w:r w:rsidRPr="0022134E">
              <w:rPr>
                <w:rFonts w:ascii="Times New Roman" w:eastAsia="Times New Roman" w:hAnsi="Times New Roman" w:hint="cs"/>
                <w:b/>
                <w:bCs/>
                <w:sz w:val="26"/>
                <w:szCs w:val="26"/>
                <w:rtl/>
              </w:rPr>
              <w:t>ה</w:t>
            </w:r>
            <w:r w:rsidRPr="0022134E">
              <w:rPr>
                <w:rFonts w:ascii="Times New Roman" w:eastAsia="Times New Roman" w:hAnsi="Times New Roman" w:hint="cs"/>
                <w:rtl/>
              </w:rPr>
              <w:t>מאשימה</w:t>
            </w:r>
          </w:p>
        </w:tc>
        <w:tc>
          <w:tcPr>
            <w:tcW w:w="5922" w:type="dxa"/>
            <w:gridSpan w:val="2"/>
          </w:tcPr>
          <w:p w14:paraId="54A28957" w14:textId="77777777" w:rsidR="00B7019E" w:rsidRPr="0022134E" w:rsidRDefault="0022134E">
            <w:pPr>
              <w:rPr>
                <w:rFonts w:ascii="Times New Roman" w:eastAsia="Times New Roman" w:hAnsi="Times New Roman"/>
                <w:b/>
                <w:bCs/>
                <w:sz w:val="26"/>
                <w:szCs w:val="26"/>
                <w:rtl/>
              </w:rPr>
            </w:pPr>
            <w:r w:rsidRPr="0022134E">
              <w:rPr>
                <w:rFonts w:ascii="Times New Roman" w:eastAsia="Times New Roman" w:hAnsi="Times New Roman" w:hint="cs"/>
                <w:b/>
                <w:bCs/>
                <w:sz w:val="26"/>
                <w:szCs w:val="26"/>
                <w:rtl/>
              </w:rPr>
              <w:t xml:space="preserve"> </w:t>
            </w:r>
            <w:r w:rsidRPr="0022134E">
              <w:rPr>
                <w:rFonts w:ascii="Times New Roman" w:eastAsia="Times New Roman" w:hAnsi="Times New Roman" w:hint="cs"/>
                <w:rtl/>
              </w:rPr>
              <w:t>מדינת ישראל</w:t>
            </w:r>
          </w:p>
        </w:tc>
      </w:tr>
      <w:bookmarkEnd w:id="0"/>
      <w:tr w:rsidR="00B7019E" w:rsidRPr="0022134E" w14:paraId="6DDA0FBA" w14:textId="77777777">
        <w:tc>
          <w:tcPr>
            <w:tcW w:w="8802" w:type="dxa"/>
            <w:gridSpan w:val="3"/>
          </w:tcPr>
          <w:p w14:paraId="78584849" w14:textId="77777777" w:rsidR="00B7019E" w:rsidRPr="0022134E" w:rsidRDefault="0022134E">
            <w:pPr>
              <w:jc w:val="center"/>
              <w:rPr>
                <w:rFonts w:ascii="Arial" w:eastAsia="Times New Roman" w:hAnsi="Arial"/>
                <w:b/>
                <w:bCs/>
                <w:sz w:val="26"/>
                <w:szCs w:val="26"/>
              </w:rPr>
            </w:pPr>
            <w:r w:rsidRPr="0022134E">
              <w:rPr>
                <w:rFonts w:ascii="Arial" w:eastAsia="Times New Roman" w:hAnsi="Arial"/>
                <w:b/>
                <w:bCs/>
                <w:sz w:val="26"/>
                <w:szCs w:val="26"/>
                <w:rtl/>
              </w:rPr>
              <w:t>נגד</w:t>
            </w:r>
          </w:p>
        </w:tc>
      </w:tr>
      <w:tr w:rsidR="00B7019E" w:rsidRPr="0022134E" w14:paraId="4DBEF0A4" w14:textId="77777777">
        <w:tc>
          <w:tcPr>
            <w:tcW w:w="2880" w:type="dxa"/>
          </w:tcPr>
          <w:p w14:paraId="619A5279" w14:textId="77777777" w:rsidR="00B7019E" w:rsidRPr="0022134E" w:rsidRDefault="0022134E">
            <w:pPr>
              <w:ind w:left="26"/>
              <w:rPr>
                <w:rFonts w:ascii="Times New Roman" w:eastAsia="Times New Roman" w:hAnsi="Times New Roman"/>
                <w:b/>
                <w:bCs/>
                <w:sz w:val="26"/>
                <w:szCs w:val="26"/>
                <w:rtl/>
              </w:rPr>
            </w:pPr>
            <w:r w:rsidRPr="0022134E">
              <w:rPr>
                <w:rFonts w:ascii="Times New Roman" w:eastAsia="Times New Roman" w:hAnsi="Times New Roman" w:hint="cs"/>
                <w:b/>
                <w:bCs/>
                <w:sz w:val="26"/>
                <w:szCs w:val="26"/>
                <w:rtl/>
              </w:rPr>
              <w:t>ה</w:t>
            </w:r>
            <w:r w:rsidRPr="0022134E">
              <w:rPr>
                <w:rFonts w:ascii="Times New Roman" w:eastAsia="Times New Roman" w:hAnsi="Times New Roman" w:hint="cs"/>
                <w:rtl/>
              </w:rPr>
              <w:t>נאשם</w:t>
            </w:r>
          </w:p>
        </w:tc>
        <w:tc>
          <w:tcPr>
            <w:tcW w:w="5922" w:type="dxa"/>
            <w:gridSpan w:val="2"/>
          </w:tcPr>
          <w:p w14:paraId="785AC831" w14:textId="77777777" w:rsidR="00B7019E" w:rsidRPr="0022134E" w:rsidRDefault="0022134E">
            <w:pPr>
              <w:rPr>
                <w:rFonts w:ascii="Times New Roman" w:eastAsia="Times New Roman" w:hAnsi="Times New Roman"/>
                <w:b/>
                <w:bCs/>
                <w:sz w:val="26"/>
                <w:szCs w:val="26"/>
                <w:rtl/>
              </w:rPr>
            </w:pPr>
            <w:r w:rsidRPr="0022134E">
              <w:rPr>
                <w:rFonts w:ascii="Times New Roman" w:eastAsia="Times New Roman" w:hAnsi="Times New Roman" w:hint="cs"/>
                <w:rtl/>
              </w:rPr>
              <w:t xml:space="preserve">ג'רמי זאק אזולאי </w:t>
            </w:r>
          </w:p>
        </w:tc>
      </w:tr>
    </w:tbl>
    <w:p w14:paraId="3122B2B3" w14:textId="77777777" w:rsidR="00B7019E" w:rsidRPr="0022134E" w:rsidRDefault="0022134E">
      <w:pPr>
        <w:spacing w:line="360" w:lineRule="auto"/>
        <w:jc w:val="both"/>
        <w:rPr>
          <w:sz w:val="6"/>
          <w:szCs w:val="6"/>
          <w:rtl/>
        </w:rPr>
      </w:pPr>
      <w:r w:rsidRPr="0022134E">
        <w:rPr>
          <w:sz w:val="6"/>
          <w:szCs w:val="6"/>
          <w:rtl/>
        </w:rPr>
        <w:t>&lt;#2#&gt;</w:t>
      </w:r>
    </w:p>
    <w:p w14:paraId="1B2E3ED1" w14:textId="77777777" w:rsidR="00B7019E" w:rsidRPr="0022134E" w:rsidRDefault="0022134E">
      <w:pPr>
        <w:pStyle w:val="12"/>
        <w:rPr>
          <w:u w:val="none"/>
          <w:rtl/>
        </w:rPr>
      </w:pPr>
      <w:r w:rsidRPr="0022134E">
        <w:rPr>
          <w:rFonts w:hint="cs"/>
          <w:u w:val="none"/>
          <w:rtl/>
        </w:rPr>
        <w:t>נוכחים:</w:t>
      </w:r>
    </w:p>
    <w:p w14:paraId="582C9DD5" w14:textId="77777777" w:rsidR="00B7019E" w:rsidRPr="0022134E" w:rsidRDefault="0022134E">
      <w:pPr>
        <w:pStyle w:val="12"/>
        <w:rPr>
          <w:b w:val="0"/>
          <w:bCs w:val="0"/>
          <w:u w:val="none"/>
          <w:rtl/>
        </w:rPr>
      </w:pPr>
      <w:bookmarkStart w:id="2" w:name="FirstLawyer"/>
      <w:r w:rsidRPr="0022134E">
        <w:rPr>
          <w:rFonts w:hint="cs"/>
          <w:b w:val="0"/>
          <w:bCs w:val="0"/>
          <w:u w:val="none"/>
          <w:rtl/>
        </w:rPr>
        <w:t>ב"כ</w:t>
      </w:r>
      <w:bookmarkEnd w:id="2"/>
      <w:r w:rsidRPr="0022134E">
        <w:rPr>
          <w:rFonts w:hint="cs"/>
          <w:b w:val="0"/>
          <w:bCs w:val="0"/>
          <w:u w:val="none"/>
          <w:rtl/>
        </w:rPr>
        <w:t xml:space="preserve"> המאשימה עו"ד איתי שמואלי</w:t>
      </w:r>
    </w:p>
    <w:p w14:paraId="42AFE047" w14:textId="77777777" w:rsidR="00B7019E" w:rsidRPr="0022134E" w:rsidRDefault="0022134E">
      <w:pPr>
        <w:pStyle w:val="12"/>
        <w:rPr>
          <w:b w:val="0"/>
          <w:bCs w:val="0"/>
          <w:u w:val="none"/>
          <w:rtl/>
        </w:rPr>
      </w:pPr>
      <w:r w:rsidRPr="0022134E">
        <w:rPr>
          <w:rFonts w:hint="cs"/>
          <w:b w:val="0"/>
          <w:bCs w:val="0"/>
          <w:u w:val="none"/>
          <w:rtl/>
        </w:rPr>
        <w:t>הנאשם וב"כ עו"ד יזהר קונפורטי, סנגוריה ציבורית</w:t>
      </w:r>
    </w:p>
    <w:p w14:paraId="703BCCD8" w14:textId="77777777" w:rsidR="00B7019E" w:rsidRPr="0022134E" w:rsidRDefault="00B7019E">
      <w:pPr>
        <w:pStyle w:val="12"/>
        <w:rPr>
          <w:b w:val="0"/>
          <w:bCs w:val="0"/>
          <w:u w:val="none"/>
          <w:rtl/>
        </w:rPr>
      </w:pPr>
    </w:p>
    <w:p w14:paraId="412E7E7E" w14:textId="77777777" w:rsidR="005054FB" w:rsidRDefault="0022134E">
      <w:pPr>
        <w:spacing w:line="360" w:lineRule="auto"/>
        <w:jc w:val="center"/>
        <w:rPr>
          <w:rFonts w:ascii="Arial" w:hAnsi="Arial"/>
          <w:sz w:val="28"/>
          <w:szCs w:val="28"/>
          <w:rtl/>
        </w:rPr>
      </w:pPr>
      <w:r w:rsidRPr="0022134E">
        <w:rPr>
          <w:rFonts w:ascii="Arial" w:hAnsi="Arial"/>
          <w:b/>
          <w:color w:val="FF0000"/>
          <w:sz w:val="28"/>
          <w:rtl/>
        </w:rPr>
        <w:t>במסמך זה הושמטו פרוטוקולים</w:t>
      </w:r>
      <w:bookmarkStart w:id="3" w:name="LawTable"/>
      <w:bookmarkEnd w:id="3"/>
    </w:p>
    <w:p w14:paraId="2FB783B6" w14:textId="77777777" w:rsidR="005054FB" w:rsidRPr="005054FB" w:rsidRDefault="005054FB" w:rsidP="005054FB">
      <w:pPr>
        <w:spacing w:after="120" w:line="240" w:lineRule="exact"/>
        <w:ind w:left="283" w:hanging="283"/>
        <w:jc w:val="both"/>
        <w:rPr>
          <w:rFonts w:ascii="FrankRuehl" w:hAnsi="FrankRuehl" w:cs="FrankRuehl"/>
          <w:rtl/>
        </w:rPr>
      </w:pPr>
    </w:p>
    <w:p w14:paraId="2E44B216" w14:textId="77777777" w:rsidR="005054FB" w:rsidRPr="005054FB" w:rsidRDefault="005054FB" w:rsidP="005054FB">
      <w:pPr>
        <w:spacing w:after="120" w:line="240" w:lineRule="exact"/>
        <w:ind w:left="283" w:hanging="283"/>
        <w:jc w:val="both"/>
        <w:rPr>
          <w:rFonts w:ascii="FrankRuehl" w:hAnsi="FrankRuehl" w:cs="FrankRuehl"/>
          <w:rtl/>
        </w:rPr>
      </w:pPr>
      <w:r w:rsidRPr="005054FB">
        <w:rPr>
          <w:rFonts w:ascii="FrankRuehl" w:hAnsi="FrankRuehl" w:cs="FrankRuehl"/>
          <w:rtl/>
        </w:rPr>
        <w:t xml:space="preserve">חקיקה שאוזכרה: </w:t>
      </w:r>
    </w:p>
    <w:p w14:paraId="1C70CF16" w14:textId="77777777" w:rsidR="005054FB" w:rsidRPr="005054FB" w:rsidRDefault="005054FB" w:rsidP="005054FB">
      <w:pPr>
        <w:spacing w:after="120" w:line="240" w:lineRule="exact"/>
        <w:ind w:left="283" w:hanging="283"/>
        <w:jc w:val="both"/>
        <w:rPr>
          <w:rFonts w:ascii="FrankRuehl" w:hAnsi="FrankRuehl" w:cs="FrankRuehl"/>
          <w:rtl/>
        </w:rPr>
      </w:pPr>
      <w:hyperlink r:id="rId6" w:history="1">
        <w:r w:rsidRPr="005054FB">
          <w:rPr>
            <w:rFonts w:ascii="FrankRuehl" w:hAnsi="FrankRuehl" w:cs="FrankRuehl"/>
            <w:color w:val="0000FF"/>
            <w:u w:val="single"/>
            <w:rtl/>
          </w:rPr>
          <w:t>חוק העונשין, תשל"ז-1977</w:t>
        </w:r>
      </w:hyperlink>
    </w:p>
    <w:p w14:paraId="2EC53158" w14:textId="77777777" w:rsidR="005054FB" w:rsidRPr="005054FB" w:rsidRDefault="005054FB" w:rsidP="005054FB">
      <w:pPr>
        <w:spacing w:after="120" w:line="240" w:lineRule="exact"/>
        <w:ind w:left="283" w:hanging="283"/>
        <w:jc w:val="both"/>
        <w:rPr>
          <w:rFonts w:ascii="FrankRuehl" w:hAnsi="FrankRuehl" w:cs="FrankRuehl"/>
          <w:rtl/>
        </w:rPr>
      </w:pPr>
      <w:hyperlink r:id="rId7" w:history="1">
        <w:r w:rsidRPr="005054FB">
          <w:rPr>
            <w:rFonts w:ascii="FrankRuehl" w:hAnsi="FrankRuehl" w:cs="FrankRuehl"/>
            <w:color w:val="0000FF"/>
            <w:u w:val="single"/>
            <w:rtl/>
          </w:rPr>
          <w:t>פקודת הסמים המסוכנים [נוסח חדש], תשל"ג-1973</w:t>
        </w:r>
      </w:hyperlink>
    </w:p>
    <w:p w14:paraId="5E02D934" w14:textId="77777777" w:rsidR="005054FB" w:rsidRPr="005054FB" w:rsidRDefault="005054FB" w:rsidP="005054FB">
      <w:pPr>
        <w:spacing w:after="120" w:line="240" w:lineRule="exact"/>
        <w:ind w:left="283" w:hanging="283"/>
        <w:jc w:val="both"/>
        <w:rPr>
          <w:rFonts w:ascii="FrankRuehl" w:hAnsi="FrankRuehl" w:cs="FrankRuehl"/>
          <w:rtl/>
        </w:rPr>
      </w:pPr>
    </w:p>
    <w:p w14:paraId="2E5390BC" w14:textId="77777777" w:rsidR="0022134E" w:rsidRPr="0022134E" w:rsidRDefault="0022134E">
      <w:pPr>
        <w:spacing w:line="360" w:lineRule="auto"/>
        <w:jc w:val="center"/>
        <w:rPr>
          <w:rFonts w:ascii="Arial" w:hAnsi="Arial"/>
          <w:b/>
          <w:bCs/>
          <w:sz w:val="28"/>
          <w:szCs w:val="28"/>
          <w:rtl/>
        </w:rPr>
      </w:pPr>
      <w:bookmarkStart w:id="4" w:name="LawTable_End"/>
      <w:bookmarkEnd w:id="4"/>
    </w:p>
    <w:p w14:paraId="56E444E7" w14:textId="77777777" w:rsidR="0022134E" w:rsidRPr="0022134E" w:rsidRDefault="0022134E" w:rsidP="0022134E">
      <w:pPr>
        <w:spacing w:line="360" w:lineRule="auto"/>
        <w:jc w:val="center"/>
        <w:rPr>
          <w:rFonts w:ascii="Arial" w:hAnsi="Arial"/>
          <w:b/>
          <w:bCs/>
          <w:sz w:val="28"/>
          <w:szCs w:val="28"/>
          <w:u w:val="single"/>
          <w:rtl/>
        </w:rPr>
      </w:pPr>
      <w:bookmarkStart w:id="5" w:name="PsakDin"/>
      <w:r w:rsidRPr="0022134E">
        <w:rPr>
          <w:rFonts w:ascii="Arial" w:hAnsi="Arial"/>
          <w:b/>
          <w:bCs/>
          <w:sz w:val="28"/>
          <w:szCs w:val="28"/>
          <w:u w:val="single"/>
          <w:rtl/>
        </w:rPr>
        <w:t>גזר דין</w:t>
      </w:r>
    </w:p>
    <w:bookmarkEnd w:id="5"/>
    <w:p w14:paraId="0E342C23" w14:textId="77777777" w:rsidR="00B7019E" w:rsidRDefault="00B7019E">
      <w:pPr>
        <w:spacing w:line="360" w:lineRule="auto"/>
        <w:jc w:val="both"/>
        <w:rPr>
          <w:rFonts w:ascii="Arial" w:hAnsi="Arial"/>
          <w:rtl/>
        </w:rPr>
      </w:pPr>
    </w:p>
    <w:p w14:paraId="028DE281" w14:textId="77777777" w:rsidR="00B7019E" w:rsidRDefault="0022134E">
      <w:pPr>
        <w:spacing w:line="360" w:lineRule="auto"/>
        <w:jc w:val="both"/>
        <w:rPr>
          <w:rFonts w:ascii="Arial" w:hAnsi="Arial"/>
          <w:rtl/>
        </w:rPr>
      </w:pPr>
      <w:bookmarkStart w:id="6" w:name="ABSTRACT_START"/>
      <w:bookmarkEnd w:id="6"/>
      <w:r>
        <w:rPr>
          <w:rFonts w:ascii="Arial" w:hAnsi="Arial" w:hint="cs"/>
          <w:rtl/>
        </w:rPr>
        <w:t>נגד הנאשם הוגש כתב אישום אשר בו ייחסה לו התביעה שתי עבירות. האחת יבוא סם מסוכן והשניה החזקת סם מסוכן שלא לצריכה עצמית. מאחורי שתי עבירות אלה עומדים מעשיו של הנאשם שבתאריך 6.3.14 סמוך לשעה 23:30 עת הגיע הנאשם בטיסה לנתב"ג מפריז, נתפס עליו סם מסוג חשיש במשקל כולל של 184 ג'.</w:t>
      </w:r>
    </w:p>
    <w:p w14:paraId="183733A6" w14:textId="77777777" w:rsidR="00B7019E" w:rsidRDefault="0022134E">
      <w:pPr>
        <w:spacing w:line="360" w:lineRule="auto"/>
        <w:jc w:val="both"/>
        <w:rPr>
          <w:rFonts w:ascii="Arial" w:hAnsi="Arial"/>
          <w:rtl/>
        </w:rPr>
      </w:pPr>
      <w:r>
        <w:rPr>
          <w:rFonts w:ascii="Arial" w:hAnsi="Arial" w:hint="cs"/>
          <w:rtl/>
        </w:rPr>
        <w:t>משום מעשה זה יוחסו לנאשם שתי העבירות הללו.</w:t>
      </w:r>
    </w:p>
    <w:p w14:paraId="18C53768" w14:textId="77777777" w:rsidR="00B7019E" w:rsidRDefault="00B7019E">
      <w:pPr>
        <w:spacing w:line="360" w:lineRule="auto"/>
        <w:jc w:val="both"/>
        <w:rPr>
          <w:rFonts w:ascii="Arial" w:hAnsi="Arial"/>
          <w:rtl/>
        </w:rPr>
      </w:pPr>
      <w:bookmarkStart w:id="7" w:name="ABSTRACT_END"/>
      <w:bookmarkEnd w:id="7"/>
    </w:p>
    <w:p w14:paraId="60EB61ED" w14:textId="77777777" w:rsidR="00B7019E" w:rsidRDefault="0022134E">
      <w:pPr>
        <w:spacing w:line="360" w:lineRule="auto"/>
        <w:jc w:val="both"/>
        <w:rPr>
          <w:rFonts w:ascii="Arial" w:hAnsi="Arial"/>
          <w:rtl/>
        </w:rPr>
      </w:pPr>
      <w:r>
        <w:rPr>
          <w:rFonts w:ascii="Arial" w:hAnsi="Arial" w:hint="cs"/>
          <w:rtl/>
        </w:rPr>
        <w:t>במאמר מוסגר נראה לי כי היה ראוי לצמצם מספר העבירות המיוחסות לנאשם בגין מעשה אחד ולייחס לנאשם העבירה של יבוא סם מסוכן בלא הצורך להוסיף לה עבירה נוספת אך זו הערה לאוזני התביעה ומבחינת גזר הדין, לדעתי אין בה כדי לשנות את תמונת המצב, קל וחומר שאין בה כדי להחמיר מעשי הנאשם.</w:t>
      </w:r>
    </w:p>
    <w:p w14:paraId="4118B670" w14:textId="77777777" w:rsidR="00B7019E" w:rsidRDefault="00B7019E">
      <w:pPr>
        <w:spacing w:line="360" w:lineRule="auto"/>
        <w:jc w:val="both"/>
        <w:rPr>
          <w:rFonts w:ascii="Arial" w:hAnsi="Arial"/>
          <w:rtl/>
        </w:rPr>
      </w:pPr>
    </w:p>
    <w:p w14:paraId="6C1BAB65" w14:textId="77777777" w:rsidR="00B7019E" w:rsidRDefault="0022134E">
      <w:pPr>
        <w:spacing w:line="360" w:lineRule="auto"/>
        <w:jc w:val="both"/>
        <w:rPr>
          <w:rFonts w:ascii="Arial" w:hAnsi="Arial"/>
          <w:rtl/>
        </w:rPr>
      </w:pPr>
      <w:r>
        <w:rPr>
          <w:rFonts w:ascii="Arial" w:hAnsi="Arial" w:hint="cs"/>
          <w:rtl/>
        </w:rPr>
        <w:t>עוד אומר כי כפי שקבעתי במקרים רבים בחינת מעשי נאשם איננה בחינה פורמלית אלא בחינה מהותית. רוצה לומר, שבית המשפט גוזר דינו של אדם על פי המעשה ולא על פי העבירות המיוחסות לו במובן הפורמלי.</w:t>
      </w:r>
    </w:p>
    <w:p w14:paraId="7C8B312E" w14:textId="77777777" w:rsidR="00B7019E" w:rsidRDefault="00B7019E">
      <w:pPr>
        <w:spacing w:line="360" w:lineRule="auto"/>
        <w:jc w:val="both"/>
        <w:rPr>
          <w:rFonts w:ascii="Arial" w:hAnsi="Arial"/>
          <w:rtl/>
        </w:rPr>
      </w:pPr>
    </w:p>
    <w:p w14:paraId="02EABCB5" w14:textId="77777777" w:rsidR="00B7019E" w:rsidRDefault="0022134E">
      <w:pPr>
        <w:spacing w:line="360" w:lineRule="auto"/>
        <w:jc w:val="both"/>
        <w:rPr>
          <w:rFonts w:ascii="Arial" w:hAnsi="Arial"/>
          <w:rtl/>
        </w:rPr>
      </w:pPr>
      <w:r>
        <w:rPr>
          <w:rFonts w:ascii="Arial" w:hAnsi="Arial" w:hint="cs"/>
          <w:rtl/>
        </w:rPr>
        <w:lastRenderedPageBreak/>
        <w:t>בדיון שהתקיים בפני ביום 17.3.14 הודיעו הצדדים כי הגיעו להסדר טיעון לפיו הנאשם יודה ויורשע בעובדות כתב האישום המתוקן. אעיר כי התיקון הוא במשקל הסם לפי שקודם לתיקון יוחס לנאשם החזקה של 277 ג' חשיש. התיקון הוא בכך שמשקל הסם הוא 184 ג' חשיש.</w:t>
      </w:r>
    </w:p>
    <w:p w14:paraId="02561D23" w14:textId="77777777" w:rsidR="00B7019E" w:rsidRDefault="00B7019E">
      <w:pPr>
        <w:spacing w:line="360" w:lineRule="auto"/>
        <w:jc w:val="both"/>
        <w:rPr>
          <w:rFonts w:ascii="Arial" w:hAnsi="Arial"/>
          <w:rtl/>
        </w:rPr>
      </w:pPr>
    </w:p>
    <w:p w14:paraId="3CA86FBB" w14:textId="77777777" w:rsidR="00B7019E" w:rsidRDefault="0022134E">
      <w:pPr>
        <w:spacing w:line="360" w:lineRule="auto"/>
        <w:jc w:val="both"/>
        <w:rPr>
          <w:rFonts w:ascii="Arial" w:hAnsi="Arial"/>
          <w:rtl/>
        </w:rPr>
      </w:pPr>
      <w:r>
        <w:rPr>
          <w:rFonts w:ascii="Arial" w:hAnsi="Arial" w:hint="cs"/>
          <w:rtl/>
        </w:rPr>
        <w:t>על פי ההסכם, בטרם גזר דינו, הופנה הנאשם לשרות המבחן על מנת לקבל תסקיר לעניין העונש.</w:t>
      </w:r>
    </w:p>
    <w:p w14:paraId="24D32342" w14:textId="77777777" w:rsidR="00B7019E" w:rsidRDefault="00B7019E">
      <w:pPr>
        <w:spacing w:line="360" w:lineRule="auto"/>
        <w:jc w:val="both"/>
        <w:rPr>
          <w:rFonts w:ascii="Arial" w:hAnsi="Arial"/>
          <w:rtl/>
        </w:rPr>
      </w:pPr>
    </w:p>
    <w:p w14:paraId="52FC745D" w14:textId="77777777" w:rsidR="00B7019E" w:rsidRDefault="0022134E">
      <w:pPr>
        <w:spacing w:line="360" w:lineRule="auto"/>
        <w:jc w:val="both"/>
        <w:rPr>
          <w:rFonts w:ascii="Arial" w:hAnsi="Arial"/>
          <w:rtl/>
        </w:rPr>
      </w:pPr>
      <w:r>
        <w:rPr>
          <w:rFonts w:ascii="Arial" w:hAnsi="Arial" w:hint="cs"/>
          <w:rtl/>
        </w:rPr>
        <w:t>סופו של הליך הוא שעובר לדיון דהיום הוגש תסקיר לעניין העונש שאליו אתייחס בהמשך הדברים.</w:t>
      </w:r>
    </w:p>
    <w:p w14:paraId="3A090860" w14:textId="77777777" w:rsidR="00B7019E" w:rsidRDefault="00B7019E">
      <w:pPr>
        <w:spacing w:line="360" w:lineRule="auto"/>
        <w:jc w:val="both"/>
        <w:rPr>
          <w:rFonts w:ascii="Arial" w:hAnsi="Arial"/>
          <w:rtl/>
        </w:rPr>
      </w:pPr>
    </w:p>
    <w:p w14:paraId="079316A2" w14:textId="77777777" w:rsidR="00B7019E" w:rsidRDefault="0022134E">
      <w:pPr>
        <w:spacing w:line="360" w:lineRule="auto"/>
        <w:jc w:val="both"/>
        <w:rPr>
          <w:rFonts w:ascii="Arial" w:hAnsi="Arial"/>
          <w:rtl/>
        </w:rPr>
      </w:pPr>
      <w:r>
        <w:rPr>
          <w:rFonts w:ascii="Arial" w:hAnsi="Arial" w:hint="cs"/>
          <w:rtl/>
        </w:rPr>
        <w:t>בדיון דהיום טענו הצדדים לעונש.</w:t>
      </w:r>
    </w:p>
    <w:p w14:paraId="30D7EA78" w14:textId="77777777" w:rsidR="00B7019E" w:rsidRDefault="00B7019E">
      <w:pPr>
        <w:spacing w:line="360" w:lineRule="auto"/>
        <w:jc w:val="both"/>
        <w:rPr>
          <w:rFonts w:ascii="Arial" w:hAnsi="Arial"/>
          <w:rtl/>
        </w:rPr>
      </w:pPr>
    </w:p>
    <w:p w14:paraId="664AB81C" w14:textId="77777777" w:rsidR="00B7019E" w:rsidRDefault="0022134E">
      <w:pPr>
        <w:spacing w:line="360" w:lineRule="auto"/>
        <w:jc w:val="both"/>
        <w:rPr>
          <w:rFonts w:ascii="Arial" w:hAnsi="Arial"/>
          <w:rtl/>
        </w:rPr>
      </w:pPr>
      <w:r>
        <w:rPr>
          <w:rFonts w:ascii="Arial" w:hAnsi="Arial" w:hint="cs"/>
          <w:rtl/>
        </w:rPr>
        <w:t>התביעה עתרה להשית על הנאשם עונש של מאסר בפועל. עיקר עמדה עונשית זו טמון בחומרת העבירה ואומר אך ורק בחומרת העבירה לפי שלטעמי הנסיבות הרלוונטיות לעונשו של הנאשם יש בהם כדי להקל בדין.</w:t>
      </w:r>
    </w:p>
    <w:p w14:paraId="5B86050E" w14:textId="77777777" w:rsidR="00B7019E" w:rsidRDefault="0022134E">
      <w:pPr>
        <w:spacing w:line="360" w:lineRule="auto"/>
        <w:jc w:val="both"/>
        <w:rPr>
          <w:rFonts w:ascii="Arial" w:hAnsi="Arial"/>
          <w:rtl/>
        </w:rPr>
      </w:pPr>
      <w:r>
        <w:rPr>
          <w:rFonts w:ascii="Arial" w:hAnsi="Arial" w:hint="cs"/>
          <w:rtl/>
        </w:rPr>
        <w:t>ב"כ התביעה הפנה את תשומת הלב למעשה החמור של יבוא סם ולעונש הקבוע בצידה של עבירה זו, 20 שנות מאסר, עונש שבא לבטא החומר שמצא המחוקק במעשה.</w:t>
      </w:r>
    </w:p>
    <w:p w14:paraId="3F7CBFBB" w14:textId="77777777" w:rsidR="00B7019E" w:rsidRDefault="0022134E">
      <w:pPr>
        <w:spacing w:line="360" w:lineRule="auto"/>
        <w:jc w:val="both"/>
        <w:rPr>
          <w:rFonts w:ascii="Arial" w:hAnsi="Arial"/>
          <w:rtl/>
        </w:rPr>
      </w:pPr>
      <w:r>
        <w:rPr>
          <w:rFonts w:ascii="Arial" w:hAnsi="Arial" w:hint="cs"/>
          <w:rtl/>
        </w:rPr>
        <w:t>ב"כ  התביעה מצא כנסיבה לחומרא השימוש בסמים בארץ מוצאו של הנאשם מגיל צעיר ובאופן מאסיבי. רוצה לומר שאדם זה שקוע בעולם הסמים ואין ליתן אמון בדבריו כי נטש דרך זו, דברים שאמר לשרות המבחן.</w:t>
      </w:r>
    </w:p>
    <w:p w14:paraId="2FD43403" w14:textId="77777777" w:rsidR="00B7019E" w:rsidRDefault="00B7019E">
      <w:pPr>
        <w:spacing w:line="360" w:lineRule="auto"/>
        <w:jc w:val="both"/>
        <w:rPr>
          <w:rFonts w:ascii="Arial" w:hAnsi="Arial"/>
          <w:rtl/>
        </w:rPr>
      </w:pPr>
    </w:p>
    <w:p w14:paraId="7ADC3113" w14:textId="77777777" w:rsidR="00B7019E" w:rsidRDefault="0022134E">
      <w:pPr>
        <w:spacing w:line="360" w:lineRule="auto"/>
        <w:jc w:val="both"/>
        <w:rPr>
          <w:rFonts w:ascii="Arial" w:hAnsi="Arial"/>
          <w:rtl/>
        </w:rPr>
      </w:pPr>
      <w:r>
        <w:rPr>
          <w:rFonts w:ascii="Arial" w:hAnsi="Arial" w:hint="cs"/>
          <w:rtl/>
        </w:rPr>
        <w:t>ב"כ הנאשם ביקש להקל עם הנאשם. עיקר בקשתו מבוסס על האמור בתסקיר שרות המבחן וכוונתי לתסקיר האחרון. ב"כ הנאשם ביקש להימנע מהרשעת הנאשם ובקשה זו נסמכת על כך שהנאשם הגיע ארצה  במטרה אחת להתגייס לצה"ל. יצויין כי הנאשם הינו כבן 18, וממילא מצוי בגיל גיוס לצה"ל.</w:t>
      </w:r>
    </w:p>
    <w:p w14:paraId="6C53ABDF" w14:textId="77777777" w:rsidR="00B7019E" w:rsidRDefault="00B7019E">
      <w:pPr>
        <w:spacing w:line="360" w:lineRule="auto"/>
        <w:jc w:val="both"/>
        <w:rPr>
          <w:rFonts w:ascii="Arial" w:hAnsi="Arial"/>
          <w:rtl/>
        </w:rPr>
      </w:pPr>
    </w:p>
    <w:p w14:paraId="60F58185" w14:textId="77777777" w:rsidR="00B7019E" w:rsidRDefault="0022134E">
      <w:pPr>
        <w:spacing w:line="360" w:lineRule="auto"/>
        <w:jc w:val="both"/>
        <w:rPr>
          <w:rFonts w:ascii="Arial" w:hAnsi="Arial"/>
          <w:rtl/>
        </w:rPr>
      </w:pPr>
      <w:r>
        <w:rPr>
          <w:rFonts w:ascii="Arial" w:hAnsi="Arial" w:hint="cs"/>
          <w:rtl/>
        </w:rPr>
        <w:t>ובכן עיננו הרואות כי המחלוקת בין הצדדים היא מחלוקת תהומית. התביעה עותרת להשית על הנאשם עונש של מאסר בפועל ואילו ב"כ הנאשם עותר להימנע מהרשעת הנאשם.</w:t>
      </w:r>
    </w:p>
    <w:p w14:paraId="4576C0BB" w14:textId="77777777" w:rsidR="00B7019E" w:rsidRDefault="00B7019E">
      <w:pPr>
        <w:spacing w:line="360" w:lineRule="auto"/>
        <w:jc w:val="both"/>
        <w:rPr>
          <w:rFonts w:ascii="Arial" w:hAnsi="Arial"/>
          <w:rtl/>
        </w:rPr>
      </w:pPr>
    </w:p>
    <w:p w14:paraId="77CC919C" w14:textId="77777777" w:rsidR="00B7019E" w:rsidRDefault="0022134E">
      <w:pPr>
        <w:spacing w:line="360" w:lineRule="auto"/>
        <w:jc w:val="both"/>
        <w:rPr>
          <w:rFonts w:ascii="Arial" w:hAnsi="Arial"/>
          <w:rtl/>
        </w:rPr>
      </w:pPr>
      <w:r>
        <w:rPr>
          <w:rFonts w:ascii="Arial" w:hAnsi="Arial" w:hint="cs"/>
          <w:rtl/>
        </w:rPr>
        <w:t>יסוד ובסיס לגזר הדין במקרה שלפני הוא במהות המעשה. אין חולק על כך ולא יכול להיות חולק על כך שיבוא סם מסוכן בכמות המפורטת לעיל הוא מעשה חמור והעבירה המיוחסת למעשה זה חמורה ביותר. אם נעשה שימוש במילות החוק דהיינו תיקון 113 ל</w:t>
      </w:r>
      <w:hyperlink r:id="rId8" w:history="1">
        <w:r w:rsidRPr="0022134E">
          <w:rPr>
            <w:rFonts w:ascii="Arial" w:hAnsi="Arial"/>
            <w:color w:val="0000FF"/>
            <w:u w:val="single"/>
            <w:rtl/>
          </w:rPr>
          <w:t>חוק העונשין</w:t>
        </w:r>
      </w:hyperlink>
      <w:r>
        <w:rPr>
          <w:rFonts w:ascii="Arial" w:hAnsi="Arial" w:hint="cs"/>
          <w:rtl/>
        </w:rPr>
        <w:t xml:space="preserve"> הרי שמתחם העונש ההולם בגין עבירה זו הוא מאסר בפועל. אציין כי יש ובמקרים קלים מיוחדים יהא זה מאסר בעבודות שרות.</w:t>
      </w:r>
    </w:p>
    <w:p w14:paraId="7DFAF90A" w14:textId="77777777" w:rsidR="00B7019E" w:rsidRDefault="00B7019E">
      <w:pPr>
        <w:spacing w:line="360" w:lineRule="auto"/>
        <w:jc w:val="both"/>
        <w:rPr>
          <w:rFonts w:ascii="Arial" w:hAnsi="Arial"/>
          <w:rtl/>
        </w:rPr>
      </w:pPr>
    </w:p>
    <w:p w14:paraId="20310014" w14:textId="77777777" w:rsidR="00B7019E" w:rsidRDefault="0022134E">
      <w:pPr>
        <w:spacing w:line="360" w:lineRule="auto"/>
        <w:jc w:val="both"/>
        <w:rPr>
          <w:rFonts w:ascii="Arial" w:hAnsi="Arial"/>
          <w:rtl/>
        </w:rPr>
      </w:pPr>
      <w:r>
        <w:rPr>
          <w:rFonts w:ascii="Arial" w:hAnsi="Arial" w:hint="cs"/>
          <w:rtl/>
        </w:rPr>
        <w:t xml:space="preserve">השאלה היא האם העונש שאגזור על הנאשם הוא בגדר מתחם העונש כאמור. בעניין  זה ובלא להרחיב הדיבור אומר כי אני דוחה הבקשה להימנע מהרשעת הנאשם. אינני מתעלם כהוא זה מרצונו העז של הנאשם להתגייס לצהל אך לטעמי לא יכול להיות פער כה גדול בין עבירה חמורה עד </w:t>
      </w:r>
      <w:r>
        <w:rPr>
          <w:rFonts w:ascii="Arial" w:hAnsi="Arial" w:hint="cs"/>
          <w:rtl/>
        </w:rPr>
        <w:lastRenderedPageBreak/>
        <w:t>כדי אי הרשעה. לא התעלמתי מכך שהנאשם הוא על גבול הקטינות ויש אם היה נדון בבית משפט לנוער היה משפטו מסתיים באי הרשעה אך כמובן מדובר באמירה היפותטית.</w:t>
      </w:r>
    </w:p>
    <w:p w14:paraId="12DCB418" w14:textId="77777777" w:rsidR="00B7019E" w:rsidRDefault="00B7019E">
      <w:pPr>
        <w:spacing w:line="360" w:lineRule="auto"/>
        <w:jc w:val="both"/>
        <w:rPr>
          <w:rFonts w:ascii="Arial" w:hAnsi="Arial"/>
          <w:rtl/>
        </w:rPr>
      </w:pPr>
    </w:p>
    <w:p w14:paraId="37F5B25E" w14:textId="77777777" w:rsidR="00B7019E" w:rsidRDefault="0022134E">
      <w:pPr>
        <w:spacing w:line="360" w:lineRule="auto"/>
        <w:jc w:val="both"/>
        <w:rPr>
          <w:rFonts w:ascii="Arial" w:hAnsi="Arial"/>
          <w:rtl/>
        </w:rPr>
      </w:pPr>
      <w:r>
        <w:rPr>
          <w:rFonts w:ascii="Arial" w:hAnsi="Arial" w:hint="cs"/>
          <w:rtl/>
        </w:rPr>
        <w:t>ובכן השאלה העומדת לדיון היא האם המקרה שלפני יש בו כדי להביא את בית המשפט לחרוג לקולא ממתחם הענישה כאמור לעיל.  כידוע, על פי תיקון 113 ל</w:t>
      </w:r>
      <w:hyperlink r:id="rId9" w:history="1">
        <w:r w:rsidRPr="0022134E">
          <w:rPr>
            <w:rFonts w:ascii="Arial" w:hAnsi="Arial"/>
            <w:color w:val="0000FF"/>
            <w:u w:val="single"/>
            <w:rtl/>
          </w:rPr>
          <w:t>חוק העונשין</w:t>
        </w:r>
      </w:hyperlink>
      <w:r>
        <w:rPr>
          <w:rFonts w:ascii="Arial" w:hAnsi="Arial" w:hint="cs"/>
          <w:rtl/>
        </w:rPr>
        <w:t>, יש ובית משפט יחרוג לקולא ממתחם ענישה כאשר בא לכלל מסקנה שלפניו אדם בעל אופק שיקומי.</w:t>
      </w:r>
    </w:p>
    <w:p w14:paraId="67C89C15" w14:textId="77777777" w:rsidR="00B7019E" w:rsidRDefault="00B7019E">
      <w:pPr>
        <w:spacing w:line="360" w:lineRule="auto"/>
        <w:jc w:val="both"/>
        <w:rPr>
          <w:rFonts w:ascii="Arial" w:hAnsi="Arial"/>
          <w:rtl/>
        </w:rPr>
      </w:pPr>
    </w:p>
    <w:p w14:paraId="1618CCF7" w14:textId="77777777" w:rsidR="00B7019E" w:rsidRDefault="0022134E">
      <w:pPr>
        <w:spacing w:line="360" w:lineRule="auto"/>
        <w:jc w:val="both"/>
        <w:rPr>
          <w:rFonts w:ascii="Arial" w:hAnsi="Arial"/>
          <w:rtl/>
        </w:rPr>
      </w:pPr>
      <w:r>
        <w:rPr>
          <w:rFonts w:ascii="Arial" w:hAnsi="Arial" w:hint="cs"/>
          <w:rtl/>
        </w:rPr>
        <w:t>כאן המקום להפנות לאמור בתסקיר שרות המבחן. אכן שרות המבחן התלבט בבואו להמליץ כפי שהמליץ בתסקיר. ההתלבטות ברורה, אך אין לבוא ולומר כי משום ההתלבטות של שרות המבחן יש לדחות המלצתו. ההיפך הוא הנכון. לטעמי ושיטתי ככל ששרות המבחן מתלבט בשאלה מסויימת ממילא אתה אומר שיש לתת משקל רב יותר להמלצות שרות המבחן. ככל ששרות המבחן מתלבט ממילא אתה אומר ששרות המבחן שקל את כל השיקולים הצריכים לעניין וכדרכו, גם במקרה זה, ערך תסקיר מפורט, נרחב, מעמיק שאינני מוצא בו פגם כלשהו.</w:t>
      </w:r>
    </w:p>
    <w:p w14:paraId="507BD275" w14:textId="77777777" w:rsidR="00B7019E" w:rsidRDefault="00B7019E">
      <w:pPr>
        <w:spacing w:line="360" w:lineRule="auto"/>
        <w:jc w:val="both"/>
        <w:rPr>
          <w:rFonts w:ascii="Arial" w:hAnsi="Arial"/>
          <w:rtl/>
        </w:rPr>
      </w:pPr>
    </w:p>
    <w:p w14:paraId="3945AB38" w14:textId="77777777" w:rsidR="00B7019E" w:rsidRDefault="0022134E">
      <w:pPr>
        <w:spacing w:line="360" w:lineRule="auto"/>
        <w:jc w:val="both"/>
        <w:rPr>
          <w:rFonts w:ascii="Arial" w:hAnsi="Arial"/>
          <w:rtl/>
        </w:rPr>
      </w:pPr>
      <w:r>
        <w:rPr>
          <w:rFonts w:ascii="Arial" w:hAnsi="Arial" w:hint="cs"/>
          <w:rtl/>
        </w:rPr>
        <w:t>סיכומו של דבר, שמדובר בבחור צעיר המגיע מצרפת למדינת ישראל במטרה להתגייס לצה"ל. הרקע המשפחתי והחברתי של הנאשם מורכב ביותר. לא מצאתי לחזור על עניין זה אלא שהדבר מפורט בתסקיר שרות המבחן. כאן המקום להפנות לדברי העד מטעם הנאשם מר שמעא שיש ובדבריו שפך אור על נסיבות חייו של הנאשם בצרפת. למותר לציין שמדובר באדם צעיר חסר הרשעות קודמות וזו לו ההסתבכות הראשונה עם החוק.</w:t>
      </w:r>
    </w:p>
    <w:p w14:paraId="40C65F95" w14:textId="77777777" w:rsidR="00B7019E" w:rsidRDefault="00B7019E">
      <w:pPr>
        <w:spacing w:line="360" w:lineRule="auto"/>
        <w:jc w:val="both"/>
        <w:rPr>
          <w:rFonts w:ascii="Arial" w:hAnsi="Arial"/>
          <w:rtl/>
        </w:rPr>
      </w:pPr>
    </w:p>
    <w:p w14:paraId="154DA19C" w14:textId="77777777" w:rsidR="00B7019E" w:rsidRDefault="0022134E">
      <w:pPr>
        <w:spacing w:line="360" w:lineRule="auto"/>
        <w:jc w:val="both"/>
        <w:rPr>
          <w:rFonts w:ascii="Arial" w:hAnsi="Arial"/>
          <w:rtl/>
        </w:rPr>
      </w:pPr>
      <w:r>
        <w:rPr>
          <w:rFonts w:ascii="Arial" w:hAnsi="Arial" w:hint="cs"/>
          <w:rtl/>
        </w:rPr>
        <w:t>באשר לעבירה של יבוא סם מסוכן. לא מצאתי להרחיב הדיבור בעניין זה אך אומר כי לטעמי בעבירה זו קיים מגוון רחב של נסיבות ביצוע העבירה על פני ספקטרום רחב ביותר של נסיבות. יש ויבוא סם יהיה בנסיבות חמורות כגון יבוא מכולה של סם או כמות גדולה של סמים לצורכי מסחר בהם. ויש כפי שלעיתים קרובות נוכח בית משפט זה ובתי משפט שלום אחרים שמדובר באדם המגיע מארץ חוץ לתחום המדינה ובכליו סם שעל פני הדברים נועד הוא לשימושו העצמי. המחוקק לא מצא להבחין בנסיבות עבירה השונות. באופן גורף קבע עונש מאסר חמור של 20 שנות מאסר ויש לציין כי הותיר את שאלת ייחוס העבירה לשיקול דעת התביעה. במאמר מוסגר אציין כי במקרים לא מעטים מצאה התביעה שאף שמדובר בעבירה של יבוא סם לתקן העבירה באופן שיוחסה לנאשם עבירה של החזקת סם, בין אם בשימוש עצמי ובין אם לאו.</w:t>
      </w:r>
    </w:p>
    <w:p w14:paraId="5E3DA647" w14:textId="77777777" w:rsidR="00B7019E" w:rsidRDefault="00B7019E">
      <w:pPr>
        <w:spacing w:line="360" w:lineRule="auto"/>
        <w:jc w:val="both"/>
        <w:rPr>
          <w:rFonts w:ascii="Arial" w:hAnsi="Arial"/>
          <w:rtl/>
        </w:rPr>
      </w:pPr>
    </w:p>
    <w:p w14:paraId="7E20CC01" w14:textId="77777777" w:rsidR="00B7019E" w:rsidRDefault="0022134E">
      <w:pPr>
        <w:spacing w:line="360" w:lineRule="auto"/>
        <w:jc w:val="both"/>
        <w:rPr>
          <w:rFonts w:ascii="Arial" w:hAnsi="Arial"/>
          <w:rtl/>
        </w:rPr>
      </w:pPr>
      <w:r>
        <w:rPr>
          <w:rFonts w:ascii="Arial" w:hAnsi="Arial" w:hint="cs"/>
          <w:rtl/>
        </w:rPr>
        <w:t>לסיכום הדברים, אני מוצא לקבל המלצת שרות המבחן ואני מוצא שלפניי קיים מרכיב שיקום כבד משקל ביותר שיש בו כדי לחרוג לקולא מהעונש.</w:t>
      </w:r>
    </w:p>
    <w:p w14:paraId="4B3F36E0" w14:textId="77777777" w:rsidR="00B7019E" w:rsidRDefault="00B7019E">
      <w:pPr>
        <w:spacing w:line="360" w:lineRule="auto"/>
        <w:jc w:val="both"/>
        <w:rPr>
          <w:rFonts w:ascii="Arial" w:hAnsi="Arial"/>
          <w:rtl/>
        </w:rPr>
      </w:pPr>
    </w:p>
    <w:p w14:paraId="53291A99" w14:textId="77777777" w:rsidR="00B7019E" w:rsidRDefault="0022134E">
      <w:pPr>
        <w:spacing w:line="360" w:lineRule="auto"/>
        <w:jc w:val="both"/>
        <w:rPr>
          <w:rFonts w:ascii="Arial" w:hAnsi="Arial"/>
          <w:rtl/>
        </w:rPr>
      </w:pPr>
      <w:r>
        <w:rPr>
          <w:rFonts w:ascii="Arial" w:hAnsi="Arial" w:hint="cs"/>
          <w:rtl/>
        </w:rPr>
        <w:t>כאן המקום שמצאתי להדגיש בעניין גיוס הנאשם לצה"ל. אני בטוח ששלטונות צה"ל יקחו בחשבון את נסיבות ביצוע העבירה, דבריי בגזר הדין כאמור לעיל ובמידת הצורך יעשה שימוש באישור שרות המבחן בתסקיר שהוגש בהליך זה על מנת לשכנע שלטונות צה"ל לאשר גיוסו של הנאשם.</w:t>
      </w:r>
    </w:p>
    <w:p w14:paraId="6AEE36A5" w14:textId="77777777" w:rsidR="00B7019E" w:rsidRDefault="00B7019E">
      <w:pPr>
        <w:spacing w:line="360" w:lineRule="auto"/>
        <w:jc w:val="both"/>
        <w:rPr>
          <w:rFonts w:ascii="Arial" w:hAnsi="Arial"/>
          <w:rtl/>
        </w:rPr>
      </w:pPr>
    </w:p>
    <w:p w14:paraId="4FB35AB1" w14:textId="77777777" w:rsidR="00B7019E" w:rsidRDefault="0022134E">
      <w:pPr>
        <w:spacing w:line="360" w:lineRule="auto"/>
        <w:jc w:val="both"/>
        <w:rPr>
          <w:rFonts w:ascii="Arial" w:hAnsi="Arial"/>
          <w:rtl/>
        </w:rPr>
      </w:pPr>
      <w:r>
        <w:rPr>
          <w:rFonts w:ascii="Arial" w:hAnsi="Arial" w:hint="cs"/>
          <w:rtl/>
        </w:rPr>
        <w:t>נראה לי כי גיוס הנאשם לצה"ל יש בו כדי מרכיב רב חשיבות לשילוב הנאשם בחברה, שילוב נורמטיבי.</w:t>
      </w:r>
    </w:p>
    <w:p w14:paraId="2EAB10CB" w14:textId="77777777" w:rsidR="00B7019E" w:rsidRDefault="00B7019E">
      <w:pPr>
        <w:spacing w:line="360" w:lineRule="auto"/>
        <w:jc w:val="both"/>
        <w:rPr>
          <w:rFonts w:ascii="Arial" w:hAnsi="Arial"/>
          <w:rtl/>
        </w:rPr>
      </w:pPr>
    </w:p>
    <w:p w14:paraId="73B00313" w14:textId="77777777" w:rsidR="00B7019E" w:rsidRDefault="0022134E">
      <w:pPr>
        <w:spacing w:line="360" w:lineRule="auto"/>
        <w:jc w:val="both"/>
        <w:rPr>
          <w:rFonts w:ascii="Arial" w:hAnsi="Arial"/>
          <w:rtl/>
        </w:rPr>
      </w:pPr>
      <w:r>
        <w:rPr>
          <w:rFonts w:ascii="Arial" w:hAnsi="Arial" w:hint="cs"/>
          <w:rtl/>
        </w:rPr>
        <w:t>אלה העונשים שאני משית על הנאשם:</w:t>
      </w:r>
    </w:p>
    <w:p w14:paraId="4272ED1C" w14:textId="77777777" w:rsidR="00B7019E" w:rsidRDefault="00B7019E">
      <w:pPr>
        <w:spacing w:line="360" w:lineRule="auto"/>
        <w:jc w:val="both"/>
        <w:rPr>
          <w:rFonts w:ascii="Arial" w:hAnsi="Arial"/>
          <w:rtl/>
        </w:rPr>
      </w:pPr>
    </w:p>
    <w:p w14:paraId="4DFF12BA" w14:textId="77777777" w:rsidR="00B7019E" w:rsidRDefault="0022134E">
      <w:pPr>
        <w:spacing w:line="360" w:lineRule="auto"/>
        <w:rPr>
          <w:rtl/>
        </w:rPr>
      </w:pPr>
      <w:r>
        <w:rPr>
          <w:rFonts w:hint="cs"/>
          <w:rtl/>
        </w:rPr>
        <w:t xml:space="preserve">5 חודשי מאסר על תנאי והתנאי הוא שבמשך שלוש שנים מהיום  לא יעבור עבירה על </w:t>
      </w:r>
      <w:hyperlink r:id="rId10" w:history="1">
        <w:r w:rsidRPr="0022134E">
          <w:rPr>
            <w:color w:val="0000FF"/>
            <w:u w:val="single"/>
            <w:rtl/>
          </w:rPr>
          <w:t>פקודת הסמים המסוכנים</w:t>
        </w:r>
      </w:hyperlink>
      <w:r>
        <w:rPr>
          <w:rFonts w:hint="cs"/>
          <w:rtl/>
        </w:rPr>
        <w:t>.</w:t>
      </w:r>
    </w:p>
    <w:p w14:paraId="4D7E5551" w14:textId="77777777" w:rsidR="00B7019E" w:rsidRDefault="00B7019E">
      <w:pPr>
        <w:spacing w:line="360" w:lineRule="auto"/>
        <w:rPr>
          <w:rtl/>
        </w:rPr>
      </w:pPr>
    </w:p>
    <w:p w14:paraId="029BE5E9" w14:textId="77777777" w:rsidR="00B7019E" w:rsidRDefault="0022134E">
      <w:pPr>
        <w:spacing w:line="360" w:lineRule="auto"/>
        <w:rPr>
          <w:rtl/>
        </w:rPr>
      </w:pPr>
      <w:r>
        <w:rPr>
          <w:rFonts w:hint="cs"/>
          <w:rtl/>
        </w:rPr>
        <w:t>בנסיבותיו האישיות של הנאשם ולנוכח מצבו הכלכלי הקשה ומצוקתו הכלכלית אינני גוזר על הנאשם עונש של קנס.</w:t>
      </w:r>
    </w:p>
    <w:p w14:paraId="31CFDB2F" w14:textId="77777777" w:rsidR="00B7019E" w:rsidRDefault="00B7019E">
      <w:pPr>
        <w:spacing w:line="360" w:lineRule="auto"/>
        <w:rPr>
          <w:rtl/>
        </w:rPr>
      </w:pPr>
    </w:p>
    <w:p w14:paraId="0E18751E" w14:textId="77777777" w:rsidR="00B7019E" w:rsidRDefault="00B7019E">
      <w:pPr>
        <w:spacing w:line="360" w:lineRule="auto"/>
      </w:pPr>
    </w:p>
    <w:p w14:paraId="5B51BE9D" w14:textId="77777777" w:rsidR="00B7019E" w:rsidRDefault="0022134E">
      <w:pPr>
        <w:spacing w:line="360" w:lineRule="auto"/>
        <w:rPr>
          <w:rtl/>
        </w:rPr>
      </w:pPr>
      <w:r>
        <w:rPr>
          <w:rFonts w:hint="cs"/>
          <w:rtl/>
        </w:rPr>
        <w:t xml:space="preserve">אני מחייב את הנאשם לחתום על התחייבות בסך 3000 ₪ לפיה יתחייב שבמשך שלוש שנים מהיום לא יעבור עבירה על </w:t>
      </w:r>
      <w:hyperlink r:id="rId11" w:history="1">
        <w:r w:rsidRPr="0022134E">
          <w:rPr>
            <w:color w:val="0000FF"/>
            <w:u w:val="single"/>
            <w:rtl/>
          </w:rPr>
          <w:t>פקודת הסמים המסוכנים</w:t>
        </w:r>
      </w:hyperlink>
      <w:r>
        <w:rPr>
          <w:rFonts w:hint="cs"/>
          <w:rtl/>
        </w:rPr>
        <w:t>.</w:t>
      </w:r>
    </w:p>
    <w:p w14:paraId="6A0A6825" w14:textId="77777777" w:rsidR="00B7019E" w:rsidRDefault="0022134E">
      <w:pPr>
        <w:spacing w:line="360" w:lineRule="auto"/>
        <w:rPr>
          <w:rtl/>
        </w:rPr>
      </w:pPr>
      <w:r>
        <w:rPr>
          <w:rFonts w:hint="cs"/>
          <w:rtl/>
        </w:rPr>
        <w:t xml:space="preserve">לא יחתום על ההתחייבות ייאסר למשך 7 ימים. </w:t>
      </w:r>
    </w:p>
    <w:p w14:paraId="2C4A4EDA" w14:textId="77777777" w:rsidR="00B7019E" w:rsidRDefault="00B7019E">
      <w:pPr>
        <w:spacing w:line="360" w:lineRule="auto"/>
        <w:rPr>
          <w:rtl/>
        </w:rPr>
      </w:pPr>
    </w:p>
    <w:p w14:paraId="39BFBAE4" w14:textId="77777777" w:rsidR="00B7019E" w:rsidRDefault="0022134E">
      <w:pPr>
        <w:spacing w:line="360" w:lineRule="auto"/>
        <w:rPr>
          <w:rtl/>
        </w:rPr>
      </w:pPr>
      <w:r>
        <w:rPr>
          <w:rFonts w:hint="cs"/>
          <w:rtl/>
        </w:rPr>
        <w:t>אני מחייב הנאשם לבצע שרות לתועלת הציבור בהיקף של 300 שעות. הסברתי לנאשם בלשון פשוטה את משמעות השל"צ, הבין והסכים.</w:t>
      </w:r>
    </w:p>
    <w:p w14:paraId="0B71916D" w14:textId="77777777" w:rsidR="00B7019E" w:rsidRDefault="00B7019E">
      <w:pPr>
        <w:spacing w:line="360" w:lineRule="auto"/>
        <w:rPr>
          <w:rtl/>
        </w:rPr>
      </w:pPr>
    </w:p>
    <w:p w14:paraId="1EE4B8D9" w14:textId="77777777" w:rsidR="00B7019E" w:rsidRDefault="0022134E">
      <w:pPr>
        <w:spacing w:line="360" w:lineRule="auto"/>
        <w:rPr>
          <w:rtl/>
        </w:rPr>
      </w:pPr>
      <w:r>
        <w:rPr>
          <w:rFonts w:hint="cs"/>
          <w:rtl/>
        </w:rPr>
        <w:t>שרות המבחן טרם הכין תוכנית של"צ והוא עתיד להכין תוכנית תוך שבועיים. אינני דוחה הדיון לצורך כך. שרות המבחן יכין תוכנית לש"צ ויגישה לנאשם.</w:t>
      </w:r>
    </w:p>
    <w:p w14:paraId="479423CA" w14:textId="77777777" w:rsidR="00B7019E" w:rsidRDefault="00B7019E">
      <w:pPr>
        <w:spacing w:line="360" w:lineRule="auto"/>
        <w:rPr>
          <w:rtl/>
        </w:rPr>
      </w:pPr>
    </w:p>
    <w:p w14:paraId="192DD6C0" w14:textId="77777777" w:rsidR="00B7019E" w:rsidRDefault="0022134E">
      <w:pPr>
        <w:spacing w:line="360" w:lineRule="auto"/>
        <w:rPr>
          <w:rtl/>
        </w:rPr>
      </w:pPr>
      <w:r>
        <w:rPr>
          <w:rFonts w:hint="cs"/>
          <w:rtl/>
        </w:rPr>
        <w:t>ככל ששרות המבחן יכין תוכנית של"צ ועל מנת ליתן לתביעה האפשרות לערער על גזר הדין, הרי שהשל"צ יחל מיום 1.9.14.</w:t>
      </w:r>
    </w:p>
    <w:p w14:paraId="0E94397A" w14:textId="77777777" w:rsidR="00B7019E" w:rsidRDefault="00B7019E">
      <w:pPr>
        <w:spacing w:line="360" w:lineRule="auto"/>
        <w:rPr>
          <w:rtl/>
        </w:rPr>
      </w:pPr>
    </w:p>
    <w:p w14:paraId="676DB9DC" w14:textId="77777777" w:rsidR="00B7019E" w:rsidRDefault="0022134E">
      <w:pPr>
        <w:spacing w:line="360" w:lineRule="auto"/>
        <w:rPr>
          <w:rtl/>
        </w:rPr>
      </w:pPr>
      <w:r>
        <w:rPr>
          <w:rFonts w:hint="cs"/>
          <w:rtl/>
        </w:rPr>
        <w:t>הנאשם יהיה בפיקוח שרות המבחן למשך שנה מהיום. במהלך תקופת הפיקוח יידרש הנאשם להגיע לשרות המבחן למסירת בדיקות לאיתור שרידי סם כפי תנאי שרות המבחן. מובהר לנאשם כי הפרת תנאי מתנאי שרות המבחן תגרום לשפיטתו מחדש.</w:t>
      </w:r>
    </w:p>
    <w:p w14:paraId="77802421" w14:textId="77777777" w:rsidR="00B7019E" w:rsidRDefault="0022134E">
      <w:pPr>
        <w:spacing w:line="360" w:lineRule="auto"/>
        <w:rPr>
          <w:rtl/>
        </w:rPr>
      </w:pPr>
      <w:r>
        <w:rPr>
          <w:rFonts w:hint="cs"/>
          <w:rtl/>
        </w:rPr>
        <w:t>כמו כן, הנאשם יהיה חייב לעמוד בכל תוכנית טיפולית ששרות המבחן יראה לנכון.</w:t>
      </w:r>
    </w:p>
    <w:p w14:paraId="09F705D2" w14:textId="77777777" w:rsidR="00B7019E" w:rsidRDefault="00B7019E">
      <w:pPr>
        <w:spacing w:line="360" w:lineRule="auto"/>
        <w:rPr>
          <w:rtl/>
        </w:rPr>
      </w:pPr>
    </w:p>
    <w:p w14:paraId="64A6F844" w14:textId="77777777" w:rsidR="00B7019E" w:rsidRDefault="0022134E">
      <w:pPr>
        <w:spacing w:line="360" w:lineRule="auto"/>
        <w:rPr>
          <w:rtl/>
        </w:rPr>
      </w:pPr>
      <w:r>
        <w:rPr>
          <w:rFonts w:hint="cs"/>
          <w:rtl/>
        </w:rPr>
        <w:t>ה</w:t>
      </w:r>
      <w:bookmarkStart w:id="8" w:name="_GoBack"/>
      <w:bookmarkEnd w:id="8"/>
      <w:r>
        <w:rPr>
          <w:rFonts w:hint="cs"/>
          <w:rtl/>
        </w:rPr>
        <w:t>סם יושמד.</w:t>
      </w:r>
    </w:p>
    <w:p w14:paraId="748F44A2" w14:textId="77777777" w:rsidR="00B7019E" w:rsidRDefault="00B7019E">
      <w:pPr>
        <w:spacing w:line="360" w:lineRule="auto"/>
        <w:rPr>
          <w:rtl/>
        </w:rPr>
      </w:pPr>
    </w:p>
    <w:p w14:paraId="3748E553" w14:textId="77777777" w:rsidR="00B7019E" w:rsidRDefault="0022134E">
      <w:pPr>
        <w:spacing w:line="360" w:lineRule="auto"/>
        <w:rPr>
          <w:rtl/>
        </w:rPr>
      </w:pPr>
      <w:r>
        <w:rPr>
          <w:rFonts w:hint="cs"/>
          <w:rtl/>
        </w:rPr>
        <w:t xml:space="preserve">ככל שהנאשם או מטעמו הפקידו סכום כערובה לשחרורו הסכום יוחזר לאדם שהפקיד ההפקדה. ההפקדה כאמור היא בתיק </w:t>
      </w:r>
      <w:hyperlink r:id="rId12" w:history="1">
        <w:r w:rsidRPr="0022134E">
          <w:rPr>
            <w:color w:val="0000FF"/>
            <w:u w:val="single"/>
            <w:rtl/>
          </w:rPr>
          <w:t>מ"ת 19017-03-14</w:t>
        </w:r>
      </w:hyperlink>
      <w:r>
        <w:rPr>
          <w:rFonts w:hint="cs"/>
          <w:rtl/>
        </w:rPr>
        <w:t>.</w:t>
      </w:r>
    </w:p>
    <w:p w14:paraId="02927F57" w14:textId="77777777" w:rsidR="00B7019E" w:rsidRDefault="00B7019E">
      <w:pPr>
        <w:spacing w:line="360" w:lineRule="auto"/>
        <w:rPr>
          <w:rtl/>
        </w:rPr>
      </w:pPr>
    </w:p>
    <w:p w14:paraId="492BEC72" w14:textId="77777777" w:rsidR="00B7019E" w:rsidRDefault="0022134E">
      <w:pPr>
        <w:spacing w:line="360" w:lineRule="auto"/>
        <w:rPr>
          <w:rtl/>
        </w:rPr>
      </w:pPr>
      <w:r>
        <w:rPr>
          <w:rFonts w:hint="cs"/>
          <w:rtl/>
        </w:rPr>
        <w:t>באשר לדרכונים ולצו עיכוב יציאה מן הארץ, הרי שככל שלא תהיה החלטה אחרת -  הדרכונים יוחזרו לנאשם לאחר 1.9.14.</w:t>
      </w:r>
    </w:p>
    <w:p w14:paraId="351AA1F7" w14:textId="77777777" w:rsidR="00B7019E" w:rsidRDefault="00B7019E">
      <w:pPr>
        <w:spacing w:line="360" w:lineRule="auto"/>
        <w:rPr>
          <w:rtl/>
        </w:rPr>
      </w:pPr>
    </w:p>
    <w:p w14:paraId="59C45553" w14:textId="77777777" w:rsidR="00B7019E" w:rsidRDefault="0022134E">
      <w:pPr>
        <w:spacing w:line="360" w:lineRule="auto"/>
        <w:rPr>
          <w:rtl/>
        </w:rPr>
      </w:pPr>
      <w:r>
        <w:rPr>
          <w:rFonts w:hint="cs"/>
          <w:rtl/>
        </w:rPr>
        <w:t xml:space="preserve">צו עיכוב היציאה מן הארץ יעמוד אף הוא בתוקף ככל שתהיה החלטה אחרת </w:t>
      </w:r>
      <w:r>
        <w:rPr>
          <w:rtl/>
        </w:rPr>
        <w:t>–</w:t>
      </w:r>
      <w:r>
        <w:rPr>
          <w:rFonts w:hint="cs"/>
          <w:rtl/>
        </w:rPr>
        <w:t xml:space="preserve"> עד ליום 1.9.14.</w:t>
      </w:r>
    </w:p>
    <w:p w14:paraId="5C0A2DC3" w14:textId="77777777" w:rsidR="00B7019E" w:rsidRDefault="00B7019E">
      <w:pPr>
        <w:spacing w:line="360" w:lineRule="auto"/>
        <w:rPr>
          <w:rtl/>
        </w:rPr>
      </w:pPr>
    </w:p>
    <w:p w14:paraId="0D8A7F2A" w14:textId="77777777" w:rsidR="00B7019E" w:rsidRDefault="0022134E">
      <w:pPr>
        <w:spacing w:line="360" w:lineRule="auto"/>
        <w:rPr>
          <w:rtl/>
        </w:rPr>
      </w:pPr>
      <w:r>
        <w:rPr>
          <w:rFonts w:hint="cs"/>
          <w:rtl/>
        </w:rPr>
        <w:t>הואיל ואחות הנאשם עתידה להתחתן ביום 10.8.14, נראה לי שעל התביעה לגבש עמדתה לעניין העונש בסמוך למועד זה וככל שתוגש לי בקשה ליציאה מן הארץ בצירוף  עמדת התביעה, אתן החלטה.</w:t>
      </w:r>
    </w:p>
    <w:p w14:paraId="153D2243" w14:textId="77777777" w:rsidR="00B7019E" w:rsidRDefault="00B7019E">
      <w:pPr>
        <w:spacing w:line="360" w:lineRule="auto"/>
        <w:rPr>
          <w:rtl/>
        </w:rPr>
      </w:pPr>
    </w:p>
    <w:p w14:paraId="65581A10" w14:textId="77777777" w:rsidR="00B7019E" w:rsidRDefault="0022134E">
      <w:pPr>
        <w:spacing w:line="360" w:lineRule="auto"/>
        <w:rPr>
          <w:rtl/>
        </w:rPr>
      </w:pPr>
      <w:r>
        <w:rPr>
          <w:rFonts w:hint="cs"/>
          <w:rtl/>
        </w:rPr>
        <w:t>ככל שדרכונו של הערב, מר זאווי ארמן, ת.ז 324496678, מופקד בידי התביעה, יוחזר לערב. אני מורה על ביטול צו עיכוב היציאה מן הארץ לערב.</w:t>
      </w:r>
    </w:p>
    <w:p w14:paraId="7FECBAB7" w14:textId="77777777" w:rsidR="00B7019E" w:rsidRDefault="00B7019E">
      <w:pPr>
        <w:spacing w:line="360" w:lineRule="auto"/>
        <w:rPr>
          <w:rtl/>
        </w:rPr>
      </w:pPr>
    </w:p>
    <w:p w14:paraId="37C3F5B1" w14:textId="77777777" w:rsidR="00B7019E" w:rsidRDefault="0022134E">
      <w:pPr>
        <w:spacing w:line="360" w:lineRule="auto"/>
        <w:rPr>
          <w:b/>
          <w:bCs/>
          <w:u w:val="single"/>
        </w:rPr>
      </w:pPr>
      <w:r>
        <w:rPr>
          <w:rFonts w:hint="cs"/>
          <w:b/>
          <w:bCs/>
          <w:u w:val="single"/>
          <w:rtl/>
        </w:rPr>
        <w:t>על המזכירות לשלוח העתק החלטה זו לשרות המבחן.</w:t>
      </w:r>
    </w:p>
    <w:p w14:paraId="73B560D6" w14:textId="77777777" w:rsidR="00B7019E" w:rsidRDefault="00B7019E">
      <w:pPr>
        <w:spacing w:line="360" w:lineRule="auto"/>
        <w:rPr>
          <w:rtl/>
        </w:rPr>
      </w:pPr>
    </w:p>
    <w:p w14:paraId="1050F445" w14:textId="77777777" w:rsidR="00B7019E" w:rsidRDefault="0022134E">
      <w:pPr>
        <w:spacing w:line="360" w:lineRule="auto"/>
        <w:rPr>
          <w:b/>
          <w:bCs/>
          <w:u w:val="single"/>
          <w:rtl/>
        </w:rPr>
      </w:pPr>
      <w:r>
        <w:rPr>
          <w:rFonts w:hint="cs"/>
          <w:b/>
          <w:bCs/>
          <w:u w:val="single"/>
          <w:rtl/>
        </w:rPr>
        <w:t>מוצגים:</w:t>
      </w:r>
    </w:p>
    <w:p w14:paraId="0CB7BEBB" w14:textId="77777777" w:rsidR="00B7019E" w:rsidRDefault="0022134E">
      <w:pPr>
        <w:spacing w:line="360" w:lineRule="auto"/>
        <w:rPr>
          <w:rtl/>
        </w:rPr>
      </w:pPr>
      <w:r>
        <w:rPr>
          <w:rFonts w:hint="cs"/>
          <w:rtl/>
        </w:rPr>
        <w:t>הסם יושמד.</w:t>
      </w:r>
    </w:p>
    <w:p w14:paraId="001CC03D" w14:textId="77777777" w:rsidR="00B7019E" w:rsidRDefault="00B7019E">
      <w:pPr>
        <w:spacing w:line="360" w:lineRule="auto"/>
        <w:rPr>
          <w:rtl/>
        </w:rPr>
      </w:pPr>
    </w:p>
    <w:p w14:paraId="6A078F64" w14:textId="77777777" w:rsidR="00B7019E" w:rsidRDefault="0022134E">
      <w:pPr>
        <w:spacing w:line="360" w:lineRule="auto"/>
        <w:rPr>
          <w:b/>
          <w:bCs/>
          <w:u w:val="single"/>
          <w:rtl/>
        </w:rPr>
      </w:pPr>
      <w:r>
        <w:rPr>
          <w:rFonts w:hint="cs"/>
          <w:b/>
          <w:bCs/>
          <w:u w:val="single"/>
          <w:rtl/>
        </w:rPr>
        <w:t>זכות ערעור תוך 45 יום מהיום.</w:t>
      </w:r>
    </w:p>
    <w:p w14:paraId="3F14E81D" w14:textId="77777777" w:rsidR="00B7019E" w:rsidRDefault="0022134E">
      <w:pPr>
        <w:spacing w:line="360" w:lineRule="auto"/>
        <w:jc w:val="both"/>
        <w:rPr>
          <w:rFonts w:ascii="Arial" w:hAnsi="Arial"/>
          <w:sz w:val="6"/>
          <w:szCs w:val="6"/>
        </w:rPr>
      </w:pPr>
      <w:r>
        <w:rPr>
          <w:rFonts w:ascii="Arial" w:hAnsi="Arial"/>
          <w:sz w:val="6"/>
          <w:szCs w:val="6"/>
          <w:rtl/>
        </w:rPr>
        <w:t>&lt;#4#&gt;</w:t>
      </w:r>
    </w:p>
    <w:p w14:paraId="20198145" w14:textId="77777777" w:rsidR="00B7019E" w:rsidRPr="0022134E" w:rsidRDefault="0022134E">
      <w:pPr>
        <w:jc w:val="right"/>
        <w:rPr>
          <w:color w:val="FFFFFF"/>
          <w:sz w:val="2"/>
          <w:szCs w:val="2"/>
          <w:rtl/>
        </w:rPr>
      </w:pPr>
      <w:r w:rsidRPr="0022134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B7019E" w14:paraId="6AD47221" w14:textId="77777777">
        <w:trPr>
          <w:trHeight w:val="364"/>
          <w:jc w:val="right"/>
        </w:trPr>
        <w:tc>
          <w:tcPr>
            <w:tcW w:w="3708" w:type="dxa"/>
          </w:tcPr>
          <w:p w14:paraId="0D80FAA7" w14:textId="77777777" w:rsidR="00B7019E" w:rsidRDefault="0022134E">
            <w:pPr>
              <w:jc w:val="center"/>
              <w:rPr>
                <w:rFonts w:ascii="Times New Roman" w:eastAsia="Times New Roman" w:hAnsi="Times New Roman" w:cs="Times New Roman"/>
              </w:rPr>
            </w:pPr>
            <w:r w:rsidRPr="0022134E">
              <w:rPr>
                <w:b/>
                <w:bCs/>
                <w:color w:val="FFFFFF"/>
                <w:sz w:val="2"/>
                <w:szCs w:val="2"/>
                <w:rtl/>
              </w:rPr>
              <w:t>54678313</w:t>
            </w:r>
            <w:r>
              <w:rPr>
                <w:b/>
                <w:bCs/>
                <w:rtl/>
              </w:rPr>
              <w:t xml:space="preserve">ניתנה והודעה היום ג' תמוז תשע"ד, 01/07/2014 במעמד הנוכחים. </w:t>
            </w:r>
          </w:p>
          <w:p w14:paraId="281C9031" w14:textId="77777777" w:rsidR="00B7019E" w:rsidRDefault="00B7019E">
            <w:pPr>
              <w:jc w:val="center"/>
              <w:rPr>
                <w:rFonts w:ascii="Times New Roman" w:eastAsia="Times New Roman" w:hAnsi="Times New Roman" w:cs="Times New Roman"/>
                <w:rtl/>
              </w:rPr>
            </w:pPr>
          </w:p>
        </w:tc>
      </w:tr>
      <w:tr w:rsidR="00B7019E" w14:paraId="5CD0CB58" w14:textId="77777777">
        <w:trPr>
          <w:trHeight w:val="415"/>
          <w:jc w:val="right"/>
        </w:trPr>
        <w:tc>
          <w:tcPr>
            <w:tcW w:w="3708" w:type="dxa"/>
          </w:tcPr>
          <w:p w14:paraId="732B3D05" w14:textId="77777777" w:rsidR="00B7019E" w:rsidRDefault="0022134E">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5115E9C7" w14:textId="77777777" w:rsidR="00B7019E" w:rsidRDefault="00B7019E">
      <w:pPr>
        <w:spacing w:line="360" w:lineRule="auto"/>
        <w:jc w:val="both"/>
        <w:rPr>
          <w:rtl/>
        </w:rPr>
      </w:pPr>
    </w:p>
    <w:p w14:paraId="50B645F8" w14:textId="77777777" w:rsidR="00B7019E" w:rsidRDefault="0022134E">
      <w:r>
        <w:rPr>
          <w:rtl/>
        </w:rPr>
        <w:t>הוקלד</w:t>
      </w:r>
      <w:r>
        <w:t xml:space="preserve"> </w:t>
      </w:r>
      <w:r>
        <w:rPr>
          <w:rtl/>
        </w:rPr>
        <w:t>על</w:t>
      </w:r>
      <w:r>
        <w:t xml:space="preserve"> </w:t>
      </w:r>
      <w:r>
        <w:rPr>
          <w:rtl/>
        </w:rPr>
        <w:t>ידי</w:t>
      </w:r>
      <w:r>
        <w:t xml:space="preserve"> </w:t>
      </w:r>
      <w:r>
        <w:rPr>
          <w:rtl/>
        </w:rPr>
        <w:t>יפעת</w:t>
      </w:r>
      <w:r>
        <w:t xml:space="preserve"> </w:t>
      </w:r>
      <w:r>
        <w:rPr>
          <w:rtl/>
        </w:rPr>
        <w:t>מינאי</w:t>
      </w:r>
    </w:p>
    <w:p w14:paraId="7BA70A4A" w14:textId="77777777" w:rsidR="0022134E" w:rsidRPr="0022134E" w:rsidRDefault="0022134E" w:rsidP="0022134E">
      <w:pPr>
        <w:keepNext/>
        <w:rPr>
          <w:color w:val="000000"/>
          <w:sz w:val="22"/>
          <w:szCs w:val="22"/>
          <w:rtl/>
        </w:rPr>
      </w:pPr>
    </w:p>
    <w:p w14:paraId="5242B8DC" w14:textId="77777777" w:rsidR="0022134E" w:rsidRPr="0022134E" w:rsidRDefault="0022134E" w:rsidP="0022134E">
      <w:pPr>
        <w:keepNext/>
        <w:rPr>
          <w:color w:val="000000"/>
          <w:sz w:val="22"/>
          <w:szCs w:val="22"/>
          <w:rtl/>
        </w:rPr>
      </w:pPr>
      <w:r w:rsidRPr="0022134E">
        <w:rPr>
          <w:color w:val="000000"/>
          <w:sz w:val="22"/>
          <w:szCs w:val="22"/>
          <w:rtl/>
        </w:rPr>
        <w:t>אברהם הימן 54678313</w:t>
      </w:r>
    </w:p>
    <w:p w14:paraId="64BAB30D" w14:textId="77777777" w:rsidR="0022134E" w:rsidRDefault="0022134E" w:rsidP="0022134E">
      <w:r w:rsidRPr="0022134E">
        <w:rPr>
          <w:color w:val="000000"/>
          <w:rtl/>
        </w:rPr>
        <w:t>נוסח מסמך זה כפוף לשינויי ניסוח ועריכה</w:t>
      </w:r>
    </w:p>
    <w:p w14:paraId="6973DF79" w14:textId="77777777" w:rsidR="0022134E" w:rsidRDefault="0022134E" w:rsidP="0022134E">
      <w:pPr>
        <w:rPr>
          <w:rtl/>
        </w:rPr>
      </w:pPr>
    </w:p>
    <w:p w14:paraId="1D51186D" w14:textId="77777777" w:rsidR="0022134E" w:rsidRDefault="0022134E" w:rsidP="0022134E">
      <w:pPr>
        <w:jc w:val="center"/>
        <w:rPr>
          <w:color w:val="0000FF"/>
          <w:u w:val="single"/>
        </w:rPr>
      </w:pPr>
      <w:hyperlink r:id="rId13" w:history="1">
        <w:r>
          <w:rPr>
            <w:color w:val="0000FF"/>
            <w:u w:val="single"/>
            <w:rtl/>
          </w:rPr>
          <w:t>בעניין עריכה ושינויים במסמכי פסיקה, חקיקה ועוד באתר נבו – הקש כאן</w:t>
        </w:r>
      </w:hyperlink>
    </w:p>
    <w:p w14:paraId="4B22BD8D" w14:textId="77777777" w:rsidR="00B7019E" w:rsidRPr="0022134E" w:rsidRDefault="00B7019E" w:rsidP="0022134E">
      <w:pPr>
        <w:jc w:val="center"/>
        <w:rPr>
          <w:color w:val="0000FF"/>
          <w:u w:val="single"/>
        </w:rPr>
      </w:pPr>
    </w:p>
    <w:sectPr w:rsidR="00B7019E" w:rsidRPr="0022134E" w:rsidSect="0022134E">
      <w:headerReference w:type="even" r:id="rId14"/>
      <w:headerReference w:type="default" r:id="rId15"/>
      <w:footerReference w:type="even" r:id="rId16"/>
      <w:footerReference w:type="default" r:id="rId17"/>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270BD8" w14:textId="77777777" w:rsidR="00E96D47" w:rsidRDefault="00E96D47">
      <w:r>
        <w:separator/>
      </w:r>
    </w:p>
  </w:endnote>
  <w:endnote w:type="continuationSeparator" w:id="0">
    <w:p w14:paraId="755B08DF" w14:textId="77777777" w:rsidR="00E96D47" w:rsidRDefault="00E96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3B0B8E" w14:textId="77777777" w:rsidR="0022134E" w:rsidRDefault="0022134E" w:rsidP="002213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303726B8" w14:textId="77777777" w:rsidR="00B7019E" w:rsidRPr="0022134E" w:rsidRDefault="0022134E" w:rsidP="0022134E">
    <w:pPr>
      <w:pStyle w:val="a5"/>
      <w:pBdr>
        <w:top w:val="single" w:sz="4" w:space="1" w:color="auto"/>
        <w:between w:val="single" w:sz="4" w:space="0" w:color="auto"/>
      </w:pBdr>
      <w:spacing w:after="60"/>
      <w:jc w:val="center"/>
      <w:rPr>
        <w:rFonts w:ascii="FrankRuehl" w:hAnsi="FrankRuehl" w:cs="FrankRuehl"/>
        <w:color w:val="000000"/>
      </w:rPr>
    </w:pPr>
    <w:r w:rsidRPr="0022134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7E1A24" w14:textId="77777777" w:rsidR="0022134E" w:rsidRDefault="0022134E" w:rsidP="0022134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80284">
      <w:rPr>
        <w:rFonts w:ascii="FrankRuehl" w:hAnsi="FrankRuehl" w:cs="FrankRuehl"/>
        <w:noProof/>
        <w:rtl/>
      </w:rPr>
      <w:t>1</w:t>
    </w:r>
    <w:r>
      <w:rPr>
        <w:rFonts w:ascii="FrankRuehl" w:hAnsi="FrankRuehl" w:cs="FrankRuehl"/>
        <w:rtl/>
      </w:rPr>
      <w:fldChar w:fldCharType="end"/>
    </w:r>
  </w:p>
  <w:p w14:paraId="31BDC0A7" w14:textId="77777777" w:rsidR="00B7019E" w:rsidRPr="0022134E" w:rsidRDefault="0022134E" w:rsidP="0022134E">
    <w:pPr>
      <w:pStyle w:val="a5"/>
      <w:pBdr>
        <w:top w:val="single" w:sz="4" w:space="1" w:color="auto"/>
        <w:between w:val="single" w:sz="4" w:space="0" w:color="auto"/>
      </w:pBdr>
      <w:spacing w:after="60"/>
      <w:jc w:val="center"/>
      <w:rPr>
        <w:rFonts w:ascii="FrankRuehl" w:hAnsi="FrankRuehl" w:cs="FrankRuehl"/>
        <w:color w:val="000000"/>
      </w:rPr>
    </w:pPr>
    <w:r w:rsidRPr="0022134E">
      <w:rPr>
        <w:rFonts w:ascii="FrankRuehl" w:hAnsi="FrankRuehl" w:cs="FrankRuehl"/>
        <w:color w:val="000000"/>
      </w:rPr>
      <w:pict w14:anchorId="0B6412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E8BAEF" w14:textId="77777777" w:rsidR="00E96D47" w:rsidRDefault="00E96D47">
      <w:r>
        <w:separator/>
      </w:r>
    </w:p>
  </w:footnote>
  <w:footnote w:type="continuationSeparator" w:id="0">
    <w:p w14:paraId="2FBB09DE" w14:textId="77777777" w:rsidR="00E96D47" w:rsidRDefault="00E96D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042D6B" w14:textId="77777777" w:rsidR="0022134E" w:rsidRPr="0022134E" w:rsidRDefault="0022134E" w:rsidP="0022134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18987-03-14</w:t>
    </w:r>
    <w:r>
      <w:rPr>
        <w:color w:val="000000"/>
        <w:sz w:val="22"/>
        <w:szCs w:val="22"/>
        <w:rtl/>
      </w:rPr>
      <w:tab/>
      <w:t xml:space="preserve"> מדינת ישראל נ' ג'רמי זאק אזולאי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3CC2A" w14:textId="77777777" w:rsidR="0022134E" w:rsidRPr="0022134E" w:rsidRDefault="0022134E" w:rsidP="0022134E">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18987-03-14</w:t>
    </w:r>
    <w:r>
      <w:rPr>
        <w:color w:val="000000"/>
        <w:sz w:val="22"/>
        <w:szCs w:val="22"/>
        <w:rtl/>
      </w:rPr>
      <w:tab/>
      <w:t xml:space="preserve"> מדינת ישראל נ' ג'רמי זאק אזולאי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7019E"/>
    <w:rsid w:val="0022134E"/>
    <w:rsid w:val="005054FB"/>
    <w:rsid w:val="00680284"/>
    <w:rsid w:val="00AA2E9C"/>
    <w:rsid w:val="00B7019E"/>
    <w:rsid w:val="00BD051E"/>
    <w:rsid w:val="00E96D4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687F4A9"/>
  <w15:chartTrackingRefBased/>
  <w15:docId w15:val="{C24962EF-E55E-40FD-92B7-83CB152C6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D0A7F"/>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BD0A7F"/>
  </w:style>
  <w:style w:type="paragraph" w:styleId="a4">
    <w:name w:val="header"/>
    <w:basedOn w:val="a"/>
    <w:rsid w:val="00BD0A7F"/>
    <w:pPr>
      <w:tabs>
        <w:tab w:val="center" w:pos="4153"/>
        <w:tab w:val="right" w:pos="8306"/>
      </w:tabs>
    </w:pPr>
  </w:style>
  <w:style w:type="paragraph" w:styleId="a5">
    <w:name w:val="footer"/>
    <w:basedOn w:val="a"/>
    <w:rsid w:val="00BD0A7F"/>
    <w:pPr>
      <w:tabs>
        <w:tab w:val="center" w:pos="4153"/>
        <w:tab w:val="right" w:pos="8306"/>
      </w:tabs>
    </w:pPr>
  </w:style>
  <w:style w:type="character" w:styleId="a6">
    <w:name w:val="page number"/>
    <w:basedOn w:val="a0"/>
    <w:rsid w:val="00BD0A7F"/>
  </w:style>
  <w:style w:type="paragraph" w:customStyle="1" w:styleId="12">
    <w:name w:val="רגיל + ‏12 נק'"/>
    <w:aliases w:val="מיושר לשני הצדדים,מרווח בין שורות:  שורה וחצי"/>
    <w:basedOn w:val="a"/>
    <w:rsid w:val="00BD0A7F"/>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BD0A7F"/>
    <w:pPr>
      <w:spacing w:line="360" w:lineRule="auto"/>
      <w:jc w:val="both"/>
    </w:pPr>
    <w:rPr>
      <w:rFonts w:ascii="Times New Roman" w:eastAsia="Times New Roman" w:hAnsi="Times New Roman"/>
    </w:rPr>
  </w:style>
  <w:style w:type="character" w:styleId="Hyperlink">
    <w:name w:val="Hyperlink"/>
    <w:basedOn w:val="a0"/>
    <w:rsid w:val="002213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4216" TargetMode="External"/><Relationship Id="rId12" Type="http://schemas.openxmlformats.org/officeDocument/2006/relationships/hyperlink" Target="http://www.nevo.co.il/case/13043671" TargetMode="External"/><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nevo.co.il/law/4216"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1320</Words>
  <Characters>6600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7905</CharactersWithSpaces>
  <SharedDoc>false</SharedDoc>
  <HLinks>
    <vt:vector size="48" baseType="variant">
      <vt:variant>
        <vt:i4>393283</vt:i4>
      </vt:variant>
      <vt:variant>
        <vt:i4>21</vt:i4>
      </vt:variant>
      <vt:variant>
        <vt:i4>0</vt:i4>
      </vt:variant>
      <vt:variant>
        <vt:i4>5</vt:i4>
      </vt:variant>
      <vt:variant>
        <vt:lpwstr>http://www.nevo.co.il/advertisements/nevo-100.doc</vt:lpwstr>
      </vt:variant>
      <vt:variant>
        <vt:lpwstr/>
      </vt:variant>
      <vt:variant>
        <vt:i4>3473525</vt:i4>
      </vt:variant>
      <vt:variant>
        <vt:i4>18</vt:i4>
      </vt:variant>
      <vt:variant>
        <vt:i4>0</vt:i4>
      </vt:variant>
      <vt:variant>
        <vt:i4>5</vt:i4>
      </vt:variant>
      <vt:variant>
        <vt:lpwstr>http://www.nevo.co.il/case/13043671</vt:lpwstr>
      </vt:variant>
      <vt:variant>
        <vt:lpwstr/>
      </vt:variant>
      <vt:variant>
        <vt:i4>8257637</vt:i4>
      </vt:variant>
      <vt:variant>
        <vt:i4>15</vt:i4>
      </vt:variant>
      <vt:variant>
        <vt:i4>0</vt:i4>
      </vt:variant>
      <vt:variant>
        <vt:i4>5</vt:i4>
      </vt:variant>
      <vt:variant>
        <vt:lpwstr>http://www.nevo.co.il/law/4216</vt:lpwstr>
      </vt:variant>
      <vt:variant>
        <vt:lpwstr/>
      </vt:variant>
      <vt:variant>
        <vt:i4>8257637</vt:i4>
      </vt:variant>
      <vt:variant>
        <vt:i4>12</vt:i4>
      </vt:variant>
      <vt:variant>
        <vt:i4>0</vt:i4>
      </vt:variant>
      <vt:variant>
        <vt:i4>5</vt:i4>
      </vt:variant>
      <vt:variant>
        <vt:lpwstr>http://www.nevo.co.il/law/4216</vt:lpwstr>
      </vt:variant>
      <vt:variant>
        <vt:lpwstr/>
      </vt:variant>
      <vt:variant>
        <vt:i4>7995492</vt:i4>
      </vt:variant>
      <vt:variant>
        <vt:i4>9</vt:i4>
      </vt:variant>
      <vt:variant>
        <vt:i4>0</vt:i4>
      </vt:variant>
      <vt:variant>
        <vt:i4>5</vt:i4>
      </vt:variant>
      <vt:variant>
        <vt:lpwstr>http://www.nevo.co.il/law/70301</vt:lpwstr>
      </vt:variant>
      <vt:variant>
        <vt:lpwstr/>
      </vt:variant>
      <vt:variant>
        <vt:i4>7995492</vt:i4>
      </vt:variant>
      <vt:variant>
        <vt:i4>6</vt:i4>
      </vt:variant>
      <vt:variant>
        <vt:i4>0</vt:i4>
      </vt:variant>
      <vt:variant>
        <vt:i4>5</vt:i4>
      </vt:variant>
      <vt:variant>
        <vt:lpwstr>http://www.nevo.co.il/law/70301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2025-04-22T22:16:00Z</dcterms:created>
  <dcterms:modified xsi:type="dcterms:W3CDTF">2025-04-22T22:16:00Z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18987</vt:lpwstr>
  </property>
  <property fmtid="{D5CDD505-2E9C-101B-9397-08002B2CF9AE}" pid="6" name="NEWPARTB">
    <vt:lpwstr>03</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ג'רמי זאק אזולאי</vt:lpwstr>
  </property>
  <property fmtid="{D5CDD505-2E9C-101B-9397-08002B2CF9AE}" pid="10" name="LAWYER">
    <vt:lpwstr>איתי שמואלי;ו יזהר קונפורטי;סנגוריה ציבורית</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20140701</vt:lpwstr>
  </property>
  <property fmtid="{D5CDD505-2E9C-101B-9397-08002B2CF9AE}" pid="14" name="TYPE_N_DATE">
    <vt:lpwstr>38020140701</vt:lpwstr>
  </property>
  <property fmtid="{D5CDD505-2E9C-101B-9397-08002B2CF9AE}" pid="15" name="CASESLISTTMP1">
    <vt:lpwstr>13043671</vt:lpwstr>
  </property>
  <property fmtid="{D5CDD505-2E9C-101B-9397-08002B2CF9AE}" pid="16" name="WORDNUMPAGES">
    <vt:lpwstr>5</vt:lpwstr>
  </property>
  <property fmtid="{D5CDD505-2E9C-101B-9397-08002B2CF9AE}" pid="17" name="TYPE_ABS_DATE">
    <vt:lpwstr>380020140701</vt:lpwstr>
  </property>
  <property fmtid="{D5CDD505-2E9C-101B-9397-08002B2CF9AE}" pid="18" name="ISABSTRACT">
    <vt:lpwstr>Y</vt:lpwstr>
  </property>
  <property fmtid="{D5CDD505-2E9C-101B-9397-08002B2CF9AE}" pid="19" name="LAWLISTTMP1">
    <vt:lpwstr>70301:2</vt:lpwstr>
  </property>
  <property fmtid="{D5CDD505-2E9C-101B-9397-08002B2CF9AE}" pid="20" name="LAWLISTTMP2">
    <vt:lpwstr>4216:2</vt:lpwstr>
  </property>
</Properties>
</file>