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0E4B70" w:rsidRPr="00370143" w14:paraId="545E8BC7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9E369CB" w14:textId="77777777" w:rsidR="000E4B70" w:rsidRPr="00370143" w:rsidRDefault="00370143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370143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0E4B70" w:rsidRPr="00370143" w14:paraId="047BD553" w14:textId="77777777">
        <w:trPr>
          <w:trHeight w:val="709"/>
          <w:jc w:val="center"/>
        </w:trPr>
        <w:tc>
          <w:tcPr>
            <w:tcW w:w="4805" w:type="dxa"/>
          </w:tcPr>
          <w:p w14:paraId="4A2534DF" w14:textId="77777777" w:rsidR="000E4B70" w:rsidRPr="00370143" w:rsidRDefault="00370143">
            <w:pPr>
              <w:rPr>
                <w:b/>
                <w:bCs/>
                <w:sz w:val="28"/>
                <w:szCs w:val="28"/>
                <w:rtl/>
              </w:rPr>
            </w:pPr>
            <w:r w:rsidRPr="00370143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106A3837" w14:textId="77777777" w:rsidR="000E4B70" w:rsidRPr="00370143" w:rsidRDefault="000E4B70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55FB4A5B" w14:textId="77777777" w:rsidR="000E4B70" w:rsidRPr="00370143" w:rsidRDefault="00370143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370143">
              <w:rPr>
                <w:b/>
                <w:bCs/>
                <w:sz w:val="28"/>
                <w:szCs w:val="28"/>
                <w:rtl/>
              </w:rPr>
              <w:t>ת"פ</w:t>
            </w:r>
            <w:r w:rsidRPr="0037014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70143">
              <w:rPr>
                <w:b/>
                <w:bCs/>
                <w:sz w:val="28"/>
                <w:szCs w:val="28"/>
                <w:rtl/>
              </w:rPr>
              <w:t>24126-03-14</w:t>
            </w:r>
          </w:p>
          <w:p w14:paraId="24605DA0" w14:textId="77777777" w:rsidR="000E4B70" w:rsidRPr="00370143" w:rsidRDefault="000E4B70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FF4916D" w14:textId="77777777" w:rsidR="000E4B70" w:rsidRPr="00370143" w:rsidRDefault="0037014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370143">
              <w:rPr>
                <w:b/>
                <w:bCs/>
                <w:sz w:val="28"/>
                <w:szCs w:val="28"/>
                <w:rtl/>
              </w:rPr>
              <w:t>11 מאי 2015</w:t>
            </w:r>
          </w:p>
        </w:tc>
      </w:tr>
      <w:tr w:rsidR="000E4B70" w:rsidRPr="00370143" w14:paraId="6F746A14" w14:textId="77777777">
        <w:trPr>
          <w:trHeight w:val="547"/>
          <w:jc w:val="center"/>
        </w:trPr>
        <w:tc>
          <w:tcPr>
            <w:tcW w:w="4805" w:type="dxa"/>
          </w:tcPr>
          <w:p w14:paraId="1DB372A6" w14:textId="77777777" w:rsidR="000E4B70" w:rsidRPr="00370143" w:rsidRDefault="00370143">
            <w:pPr>
              <w:rPr>
                <w:b/>
                <w:bCs/>
                <w:sz w:val="28"/>
                <w:szCs w:val="28"/>
                <w:rtl/>
              </w:rPr>
            </w:pPr>
            <w:r w:rsidRPr="00370143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370143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08420534" w14:textId="77777777" w:rsidR="000E4B70" w:rsidRPr="00370143" w:rsidRDefault="000E4B70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67CE4686" w14:textId="77777777" w:rsidR="000E4B70" w:rsidRPr="00370143" w:rsidRDefault="000E4B70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60167494" w14:textId="77777777" w:rsidR="000E4B70" w:rsidRPr="00370143" w:rsidRDefault="000E4B70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8834095" w14:textId="77777777" w:rsidR="000E4B70" w:rsidRPr="00370143" w:rsidRDefault="000E4B70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0E4B70" w:rsidRPr="00370143" w14:paraId="5B06E667" w14:textId="77777777">
        <w:tc>
          <w:tcPr>
            <w:tcW w:w="945" w:type="dxa"/>
            <w:shd w:val="clear" w:color="auto" w:fill="auto"/>
          </w:tcPr>
          <w:p w14:paraId="3E5186C5" w14:textId="77777777" w:rsidR="000E4B70" w:rsidRPr="00370143" w:rsidRDefault="0037014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37014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58AC09F5" w14:textId="77777777" w:rsidR="000E4B70" w:rsidRPr="00370143" w:rsidRDefault="0037014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7014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0E4B70" w:rsidRPr="00370143" w14:paraId="50CCB897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32C1D490" w14:textId="77777777" w:rsidR="000E4B70" w:rsidRPr="00370143" w:rsidRDefault="000E4B70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5104554E" w14:textId="77777777" w:rsidR="000E4B70" w:rsidRPr="00370143" w:rsidRDefault="000E4B70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2E4965A2" w14:textId="77777777" w:rsidR="000E4B70" w:rsidRPr="00370143" w:rsidRDefault="0037014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7014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0E4B70" w:rsidRPr="00370143" w14:paraId="175F4C7A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58D2504C" w14:textId="77777777" w:rsidR="000E4B70" w:rsidRPr="00370143" w:rsidRDefault="00370143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370143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370143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370143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370143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370143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0E4B70" w:rsidRPr="00370143" w14:paraId="6700DEDC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3E05A822" w14:textId="77777777" w:rsidR="000E4B70" w:rsidRPr="00370143" w:rsidRDefault="000E4B7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7A0FE296" w14:textId="77777777" w:rsidR="000E4B70" w:rsidRPr="00370143" w:rsidRDefault="00370143">
            <w:pPr>
              <w:jc w:val="left"/>
              <w:rPr>
                <w:b/>
                <w:bCs/>
                <w:sz w:val="26"/>
                <w:rtl/>
              </w:rPr>
            </w:pPr>
            <w:r w:rsidRPr="00370143">
              <w:rPr>
                <w:rFonts w:ascii="Times New Roman" w:eastAsia="Times New Roman" w:hAnsi="Times New Roman" w:hint="cs"/>
                <w:rtl/>
              </w:rPr>
              <w:t>אלכסנדר גולדברג</w:t>
            </w:r>
            <w:r w:rsidRPr="0037014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370143">
              <w:rPr>
                <w:rFonts w:ascii="Times New Roman" w:eastAsia="Times New Roman" w:hAnsi="Times New Roman" w:hint="cs"/>
                <w:rtl/>
              </w:rPr>
              <w:t>ת.ז.</w:t>
            </w:r>
            <w:r w:rsidRPr="0037014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370143">
              <w:rPr>
                <w:rFonts w:ascii="Times New Roman" w:eastAsia="Times New Roman" w:hAnsi="Times New Roman" w:hint="cs"/>
                <w:rtl/>
              </w:rPr>
              <w:t>303914881</w:t>
            </w:r>
          </w:p>
        </w:tc>
        <w:tc>
          <w:tcPr>
            <w:tcW w:w="1316" w:type="dxa"/>
            <w:shd w:val="clear" w:color="auto" w:fill="auto"/>
          </w:tcPr>
          <w:p w14:paraId="4E748436" w14:textId="77777777" w:rsidR="000E4B70" w:rsidRPr="00370143" w:rsidRDefault="000E4B70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0E4B70" w:rsidRPr="00370143" w14:paraId="2E37ADBF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2772968F" w14:textId="77777777" w:rsidR="000E4B70" w:rsidRPr="00370143" w:rsidRDefault="000E4B70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7206B05B" w14:textId="77777777" w:rsidR="000E4B70" w:rsidRPr="00370143" w:rsidRDefault="000E4B70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05A88D0C" w14:textId="77777777" w:rsidR="000E4B70" w:rsidRPr="00370143" w:rsidRDefault="0037014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7014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29114E8E" w14:textId="77777777" w:rsidR="000E4B70" w:rsidRPr="00370143" w:rsidRDefault="000E4B70">
      <w:pPr>
        <w:rPr>
          <w:rFonts w:ascii="Arial" w:hAnsi="Arial"/>
          <w:b/>
          <w:bCs/>
          <w:sz w:val="26"/>
          <w:rtl/>
        </w:rPr>
      </w:pPr>
    </w:p>
    <w:p w14:paraId="17FF7315" w14:textId="77777777" w:rsidR="000E4B70" w:rsidRPr="00370143" w:rsidRDefault="00370143">
      <w:pPr>
        <w:rPr>
          <w:rFonts w:ascii="Arial" w:hAnsi="Arial"/>
          <w:b/>
          <w:bCs/>
          <w:sz w:val="26"/>
          <w:rtl/>
        </w:rPr>
      </w:pPr>
      <w:r w:rsidRPr="00370143">
        <w:rPr>
          <w:rFonts w:ascii="Arial" w:hAnsi="Arial" w:hint="cs"/>
          <w:b/>
          <w:bCs/>
          <w:sz w:val="26"/>
          <w:rtl/>
        </w:rPr>
        <w:t>נוכחים:</w:t>
      </w:r>
    </w:p>
    <w:p w14:paraId="3DEEA9C5" w14:textId="77777777" w:rsidR="000E4B70" w:rsidRPr="00370143" w:rsidRDefault="00370143">
      <w:pPr>
        <w:rPr>
          <w:rtl/>
        </w:rPr>
      </w:pPr>
      <w:bookmarkStart w:id="2" w:name="FirstLawyer"/>
      <w:r w:rsidRPr="00370143">
        <w:rPr>
          <w:rFonts w:hint="cs"/>
          <w:rtl/>
        </w:rPr>
        <w:t>ב"כ</w:t>
      </w:r>
      <w:bookmarkEnd w:id="2"/>
      <w:r w:rsidRPr="00370143">
        <w:rPr>
          <w:rFonts w:hint="cs"/>
          <w:rtl/>
        </w:rPr>
        <w:t xml:space="preserve"> המאשימה עו"ד </w:t>
      </w:r>
      <w:r w:rsidRPr="00370143">
        <w:rPr>
          <w:rtl/>
        </w:rPr>
        <w:t>–</w:t>
      </w:r>
      <w:r w:rsidRPr="00370143">
        <w:rPr>
          <w:rFonts w:hint="cs"/>
          <w:rtl/>
        </w:rPr>
        <w:t xml:space="preserve"> חג'ג' ומתחמה גב' באני</w:t>
      </w:r>
    </w:p>
    <w:p w14:paraId="07F3CCCD" w14:textId="77777777" w:rsidR="000E4B70" w:rsidRPr="00370143" w:rsidRDefault="00370143">
      <w:pPr>
        <w:rPr>
          <w:rtl/>
        </w:rPr>
      </w:pPr>
      <w:r w:rsidRPr="00370143">
        <w:rPr>
          <w:rFonts w:hint="cs"/>
          <w:rtl/>
        </w:rPr>
        <w:t xml:space="preserve">הנאשם -     בעצמו               ובא כוחו עו"ד </w:t>
      </w:r>
      <w:r w:rsidRPr="00370143">
        <w:rPr>
          <w:rtl/>
        </w:rPr>
        <w:t>–</w:t>
      </w:r>
      <w:r w:rsidRPr="00370143">
        <w:rPr>
          <w:rFonts w:hint="cs"/>
          <w:rtl/>
        </w:rPr>
        <w:t xml:space="preserve"> גורודצקי</w:t>
      </w:r>
    </w:p>
    <w:p w14:paraId="2F048CF8" w14:textId="77777777" w:rsidR="000E4B70" w:rsidRPr="00370143" w:rsidRDefault="000E4B70">
      <w:pPr>
        <w:rPr>
          <w:rtl/>
        </w:rPr>
      </w:pPr>
    </w:p>
    <w:p w14:paraId="5CA0DE48" w14:textId="77777777" w:rsidR="000E4B70" w:rsidRPr="00370143" w:rsidRDefault="00370143">
      <w:pPr>
        <w:rPr>
          <w:sz w:val="6"/>
          <w:szCs w:val="6"/>
          <w:rtl/>
        </w:rPr>
      </w:pPr>
      <w:r w:rsidRPr="00370143">
        <w:rPr>
          <w:sz w:val="6"/>
          <w:szCs w:val="6"/>
          <w:rtl/>
        </w:rPr>
        <w:t>#1#&gt;</w:t>
      </w:r>
    </w:p>
    <w:p w14:paraId="227C6858" w14:textId="77777777" w:rsidR="00DC4549" w:rsidRDefault="00DC4549">
      <w:pPr>
        <w:pStyle w:val="12"/>
        <w:rPr>
          <w:b w:val="0"/>
          <w:bCs w:val="0"/>
          <w:u w:val="none"/>
          <w:rtl/>
        </w:rPr>
      </w:pPr>
      <w:bookmarkStart w:id="3" w:name="LawTable"/>
      <w:bookmarkEnd w:id="3"/>
    </w:p>
    <w:p w14:paraId="19BBB8EF" w14:textId="77777777" w:rsidR="00DC4549" w:rsidRPr="00DC4549" w:rsidRDefault="00DC4549" w:rsidP="00DC4549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51B26ECE" w14:textId="77777777" w:rsidR="00DC4549" w:rsidRPr="00DC4549" w:rsidRDefault="00DC4549" w:rsidP="00DC4549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r w:rsidRPr="00DC4549">
        <w:rPr>
          <w:rFonts w:ascii="FrankRuehl" w:hAnsi="FrankRuehl" w:cs="FrankRuehl"/>
          <w:b w:val="0"/>
          <w:bCs w:val="0"/>
          <w:u w:val="none"/>
          <w:rtl/>
        </w:rPr>
        <w:t xml:space="preserve">חקיקה שאוזכרה: </w:t>
      </w:r>
    </w:p>
    <w:p w14:paraId="4551C7B3" w14:textId="77777777" w:rsidR="00DC4549" w:rsidRPr="00DC4549" w:rsidRDefault="00DC4549" w:rsidP="00DC4549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color w:val="0000FF"/>
          <w:rtl/>
        </w:rPr>
      </w:pPr>
      <w:hyperlink r:id="rId7" w:history="1">
        <w:r w:rsidRPr="00DC4549">
          <w:rPr>
            <w:rStyle w:val="Hyperlink"/>
            <w:rFonts w:ascii="FrankRuehl" w:eastAsia="David" w:hAnsi="FrankRuehl" w:cs="FrankRuehl"/>
            <w:b w:val="0"/>
            <w:bCs w:val="0"/>
            <w:rtl/>
          </w:rPr>
          <w:t>פקודת הסמים המסוכנים [נוסח חדש], תשל"ג-1973</w:t>
        </w:r>
      </w:hyperlink>
      <w:r w:rsidRPr="00DC4549">
        <w:rPr>
          <w:rFonts w:ascii="FrankRuehl" w:hAnsi="FrankRuehl" w:cs="FrankRuehl"/>
          <w:b w:val="0"/>
          <w:bCs w:val="0"/>
          <w:color w:val="0000FF"/>
          <w:rtl/>
        </w:rPr>
        <w:t xml:space="preserve">: סע'  </w:t>
      </w:r>
      <w:hyperlink r:id="rId8" w:history="1">
        <w:r w:rsidRPr="00DC4549">
          <w:rPr>
            <w:rStyle w:val="Hyperlink"/>
            <w:rFonts w:ascii="FrankRuehl" w:eastAsia="David" w:hAnsi="FrankRuehl" w:cs="FrankRuehl"/>
            <w:b w:val="0"/>
            <w:bCs w:val="0"/>
          </w:rPr>
          <w:t>7 (</w:t>
        </w:r>
        <w:r w:rsidRPr="00DC4549">
          <w:rPr>
            <w:rStyle w:val="Hyperlink"/>
            <w:rFonts w:ascii="FrankRuehl" w:eastAsia="David" w:hAnsi="FrankRuehl" w:cs="FrankRuehl"/>
            <w:b w:val="0"/>
            <w:bCs w:val="0"/>
            <w:rtl/>
          </w:rPr>
          <w:t>א</w:t>
        </w:r>
        <w:r w:rsidRPr="00DC4549">
          <w:rPr>
            <w:rStyle w:val="Hyperlink"/>
            <w:rFonts w:ascii="FrankRuehl" w:eastAsia="David" w:hAnsi="FrankRuehl" w:cs="FrankRuehl"/>
            <w:b w:val="0"/>
            <w:bCs w:val="0"/>
          </w:rPr>
          <w:t>)</w:t>
        </w:r>
      </w:hyperlink>
      <w:r w:rsidRPr="00DC4549">
        <w:rPr>
          <w:rFonts w:ascii="FrankRuehl" w:hAnsi="FrankRuehl" w:cs="FrankRuehl"/>
          <w:b w:val="0"/>
          <w:bCs w:val="0"/>
          <w:color w:val="0000FF"/>
          <w:rtl/>
        </w:rPr>
        <w:t xml:space="preserve">, </w:t>
      </w:r>
      <w:hyperlink r:id="rId9" w:history="1">
        <w:r w:rsidRPr="00DC4549">
          <w:rPr>
            <w:rStyle w:val="Hyperlink"/>
            <w:rFonts w:ascii="FrankRuehl" w:eastAsia="David" w:hAnsi="FrankRuehl" w:cs="FrankRuehl"/>
            <w:b w:val="0"/>
            <w:bCs w:val="0"/>
          </w:rPr>
          <w:t>7 (</w:t>
        </w:r>
        <w:r w:rsidRPr="00DC4549">
          <w:rPr>
            <w:rStyle w:val="Hyperlink"/>
            <w:rFonts w:ascii="FrankRuehl" w:eastAsia="David" w:hAnsi="FrankRuehl" w:cs="FrankRuehl"/>
            <w:b w:val="0"/>
            <w:bCs w:val="0"/>
            <w:rtl/>
          </w:rPr>
          <w:t>ג</w:t>
        </w:r>
        <w:r w:rsidRPr="00DC4549">
          <w:rPr>
            <w:rStyle w:val="Hyperlink"/>
            <w:rFonts w:ascii="FrankRuehl" w:eastAsia="David" w:hAnsi="FrankRuehl" w:cs="FrankRuehl"/>
            <w:b w:val="0"/>
            <w:bCs w:val="0"/>
          </w:rPr>
          <w:t>)</w:t>
        </w:r>
      </w:hyperlink>
    </w:p>
    <w:p w14:paraId="6D670952" w14:textId="77777777" w:rsidR="00DC4549" w:rsidRPr="00DC4549" w:rsidRDefault="00DC4549" w:rsidP="00DC4549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24DD9330" w14:textId="77777777" w:rsidR="000E4B70" w:rsidRDefault="000E4B70">
      <w:pPr>
        <w:ind w:left="2880" w:firstLine="720"/>
        <w:rPr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</w:p>
    <w:p w14:paraId="636470C7" w14:textId="77777777" w:rsidR="000E4B70" w:rsidRDefault="00370143">
      <w:pPr>
        <w:ind w:left="2880" w:firstLine="720"/>
        <w:rPr>
          <w:b/>
          <w:bCs/>
          <w:sz w:val="32"/>
          <w:szCs w:val="32"/>
          <w:u w:val="single"/>
          <w:rtl/>
        </w:rPr>
      </w:pPr>
      <w:bookmarkStart w:id="5" w:name="PsakDin"/>
      <w:r>
        <w:rPr>
          <w:b/>
          <w:bCs/>
          <w:sz w:val="32"/>
          <w:szCs w:val="32"/>
          <w:u w:val="single"/>
          <w:rtl/>
        </w:rPr>
        <w:t xml:space="preserve">גזר דין </w:t>
      </w:r>
      <w:bookmarkEnd w:id="5"/>
      <w:r>
        <w:rPr>
          <w:b/>
          <w:bCs/>
          <w:sz w:val="32"/>
          <w:szCs w:val="32"/>
          <w:u w:val="single"/>
          <w:rtl/>
        </w:rPr>
        <w:t>ללא הרשעה</w:t>
      </w:r>
    </w:p>
    <w:p w14:paraId="1F47620E" w14:textId="77777777" w:rsidR="000E4B70" w:rsidRDefault="00370143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&lt;#2#&gt;</w:t>
      </w:r>
    </w:p>
    <w:p w14:paraId="10896BCF" w14:textId="77777777" w:rsidR="000E4B70" w:rsidRDefault="000E4B70">
      <w:pPr>
        <w:rPr>
          <w:szCs w:val="24"/>
        </w:rPr>
      </w:pPr>
    </w:p>
    <w:p w14:paraId="02F9AAF0" w14:textId="77777777" w:rsidR="000E4B70" w:rsidRDefault="00370143">
      <w:pPr>
        <w:numPr>
          <w:ilvl w:val="0"/>
          <w:numId w:val="1"/>
        </w:numPr>
      </w:pPr>
      <w:r>
        <w:rPr>
          <w:rtl/>
        </w:rPr>
        <w:t>הנאשם הודה במסגרת הסדר טיעון בכתב אישום, המייחס לו עבירה של</w:t>
      </w:r>
      <w:r>
        <w:rPr>
          <w:rFonts w:hint="cs"/>
          <w:rtl/>
        </w:rPr>
        <w:t xml:space="preserve"> החזקת סם לצריכה עצמית לפי </w:t>
      </w:r>
      <w:hyperlink r:id="rId10" w:history="1">
        <w:r w:rsidR="00DC4549" w:rsidRPr="00DC4549">
          <w:rPr>
            <w:rStyle w:val="Hyperlink"/>
            <w:rFonts w:hint="eastAsia"/>
            <w:rtl/>
          </w:rPr>
          <w:t>סעיף</w:t>
        </w:r>
        <w:r w:rsidR="00DC4549" w:rsidRPr="00DC4549">
          <w:rPr>
            <w:rStyle w:val="Hyperlink"/>
            <w:rtl/>
          </w:rPr>
          <w:t xml:space="preserve"> 7 (א)</w:t>
        </w:r>
      </w:hyperlink>
      <w:r>
        <w:rPr>
          <w:rFonts w:hint="cs"/>
          <w:rtl/>
        </w:rPr>
        <w:t xml:space="preserve"> _ </w:t>
      </w:r>
      <w:hyperlink r:id="rId11" w:history="1">
        <w:r w:rsidR="00DC4549" w:rsidRPr="00DC4549">
          <w:rPr>
            <w:rStyle w:val="Hyperlink"/>
            <w:rtl/>
          </w:rPr>
          <w:t>7 (ג)</w:t>
        </w:r>
      </w:hyperlink>
      <w:r>
        <w:rPr>
          <w:rFonts w:hint="cs"/>
          <w:rtl/>
        </w:rPr>
        <w:t xml:space="preserve"> סיפא ל</w:t>
      </w:r>
      <w:hyperlink r:id="rId12" w:history="1">
        <w:r w:rsidRPr="00370143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(נוסח חדש ) תשל"ג- 1973.  </w:t>
      </w:r>
    </w:p>
    <w:p w14:paraId="3F1F5848" w14:textId="77777777" w:rsidR="000E4B70" w:rsidRDefault="00370143">
      <w:pPr>
        <w:numPr>
          <w:ilvl w:val="0"/>
          <w:numId w:val="1"/>
        </w:numPr>
        <w:rPr>
          <w:rtl/>
        </w:rPr>
      </w:pPr>
      <w:r>
        <w:rPr>
          <w:rtl/>
        </w:rPr>
        <w:t>במסגרת ההסדר הוסכם כי הצדדים יעתרו במשותף לכך שהנאשם לא יורשע, ויוטל עליו עונש של של"צ</w:t>
      </w:r>
      <w:r>
        <w:rPr>
          <w:rFonts w:hint="cs"/>
          <w:rtl/>
        </w:rPr>
        <w:t xml:space="preserve"> וצו מבחן.  </w:t>
      </w:r>
    </w:p>
    <w:p w14:paraId="308AAA9C" w14:textId="77777777" w:rsidR="000E4B70" w:rsidRDefault="00370143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וחסכון בזמן שיפוטי; וכן בהתחשב בעובדה שהנאשם נעדר עבר פלילי ובשים לב </w:t>
      </w:r>
      <w:r>
        <w:rPr>
          <w:rFonts w:hint="cs"/>
          <w:rtl/>
        </w:rPr>
        <w:t>להמלצתו החיובית של שירות המבחן ו</w:t>
      </w:r>
      <w:r>
        <w:rPr>
          <w:rtl/>
        </w:rPr>
        <w:t xml:space="preserve">לעמדת המאשימה, האמונה על האינטרס הציבורי, בשאלת ההרשעה, אני מוצאת לנכון לכבד את ההסדר. </w:t>
      </w:r>
    </w:p>
    <w:p w14:paraId="52BFF518" w14:textId="77777777" w:rsidR="000E4B70" w:rsidRDefault="00370143">
      <w:pPr>
        <w:numPr>
          <w:ilvl w:val="0"/>
          <w:numId w:val="1"/>
        </w:numPr>
      </w:pPr>
      <w:r>
        <w:rPr>
          <w:rtl/>
        </w:rPr>
        <w:t>אשר על כן, אני נמנעת מלהרשיע את הנאשם וגוזרת עליו את העונשים הבאים:</w:t>
      </w:r>
    </w:p>
    <w:p w14:paraId="292A6C11" w14:textId="77777777" w:rsidR="000E4B70" w:rsidRDefault="00370143">
      <w:pPr>
        <w:numPr>
          <w:ilvl w:val="0"/>
          <w:numId w:val="2"/>
        </w:numPr>
        <w:rPr>
          <w:rtl/>
        </w:rPr>
      </w:pPr>
      <w:r>
        <w:rPr>
          <w:rtl/>
        </w:rPr>
        <w:lastRenderedPageBreak/>
        <w:t>ניתן בזאת צו של"צ בהיקף של</w:t>
      </w:r>
      <w:r>
        <w:rPr>
          <w:rFonts w:hint="cs"/>
          <w:rtl/>
        </w:rPr>
        <w:t xml:space="preserve"> 80</w:t>
      </w:r>
      <w:r>
        <w:rPr>
          <w:rtl/>
        </w:rPr>
        <w:t xml:space="preserve"> שעות</w:t>
      </w:r>
      <w:r>
        <w:rPr>
          <w:rFonts w:hint="cs"/>
          <w:rtl/>
        </w:rPr>
        <w:t xml:space="preserve">. </w:t>
      </w:r>
      <w:r>
        <w:rPr>
          <w:rtl/>
        </w:rPr>
        <w:t xml:space="preserve"> </w:t>
      </w:r>
      <w:r>
        <w:rPr>
          <w:rtl/>
        </w:rPr>
        <w:tab/>
      </w:r>
    </w:p>
    <w:p w14:paraId="5B80938D" w14:textId="77777777" w:rsidR="000E4B70" w:rsidRDefault="00370143">
      <w:pPr>
        <w:ind w:left="1440"/>
        <w:rPr>
          <w:rtl/>
        </w:rPr>
      </w:pPr>
      <w:r>
        <w:rPr>
          <w:rtl/>
        </w:rPr>
        <w:t>הובהרה לנאשם חשיבות שיתוף הפעולה עם שירות המבחן בביצוע עבודות השל"צ ומשמעות היעדר שיתוף הפעולה.</w:t>
      </w:r>
    </w:p>
    <w:p w14:paraId="6EA97E15" w14:textId="77777777" w:rsidR="000E4B70" w:rsidRDefault="00370143">
      <w:pPr>
        <w:ind w:left="1440"/>
        <w:rPr>
          <w:rtl/>
        </w:rPr>
      </w:pPr>
      <w:r>
        <w:rPr>
          <w:rtl/>
        </w:rPr>
        <w:t>שירות המבחן ימציא תוכנית לביצוע השל"צ תוך 30 יום מהיום. לאחר קבלת התוכנית, אאשר אותה וזאת ללא צורך לקיים דיון נוסף.</w:t>
      </w:r>
    </w:p>
    <w:p w14:paraId="7756E11D" w14:textId="77777777" w:rsidR="000E4B70" w:rsidRDefault="0037014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צו מבחן של שירות המבחן למשך שנה מהיום. </w:t>
      </w:r>
    </w:p>
    <w:p w14:paraId="5B070E8B" w14:textId="77777777" w:rsidR="000E4B70" w:rsidRDefault="000E4B70">
      <w:pPr>
        <w:rPr>
          <w:rtl/>
        </w:rPr>
      </w:pPr>
    </w:p>
    <w:p w14:paraId="38C5D1D3" w14:textId="77777777" w:rsidR="000E4B70" w:rsidRDefault="000E4B70"/>
    <w:p w14:paraId="180F51A3" w14:textId="77777777" w:rsidR="000E4B70" w:rsidRDefault="00370143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- </w:t>
      </w:r>
      <w:r>
        <w:rPr>
          <w:rFonts w:hint="cs"/>
          <w:rtl/>
        </w:rPr>
        <w:t>סמים</w:t>
      </w:r>
      <w:r>
        <w:rPr>
          <w:rtl/>
        </w:rPr>
        <w:t>, בכפוף לחלוף תקופת הערעור.</w:t>
      </w:r>
    </w:p>
    <w:p w14:paraId="1EBBA6B8" w14:textId="77777777" w:rsidR="000E4B70" w:rsidRDefault="000E4B70">
      <w:pPr>
        <w:ind w:left="360"/>
        <w:rPr>
          <w:b/>
          <w:bCs/>
          <w:rtl/>
        </w:rPr>
      </w:pPr>
    </w:p>
    <w:p w14:paraId="1FF7A5C8" w14:textId="77777777" w:rsidR="000E4B70" w:rsidRDefault="00370143">
      <w:pPr>
        <w:ind w:left="360"/>
        <w:rPr>
          <w:b/>
          <w:bCs/>
          <w:rtl/>
        </w:rPr>
      </w:pPr>
      <w:r>
        <w:rPr>
          <w:b/>
          <w:bCs/>
          <w:rtl/>
        </w:rPr>
        <w:t>העתק מגזר הדין בדחיפות לשירות המבחן.</w:t>
      </w:r>
    </w:p>
    <w:p w14:paraId="7A9FA153" w14:textId="77777777" w:rsidR="000E4B70" w:rsidRDefault="000E4B70">
      <w:pPr>
        <w:rPr>
          <w:rtl/>
        </w:rPr>
      </w:pPr>
    </w:p>
    <w:p w14:paraId="58FCEBC8" w14:textId="77777777" w:rsidR="000E4B70" w:rsidRDefault="00370143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79EE3098" w14:textId="77777777" w:rsidR="000E4B70" w:rsidRDefault="000E4B70">
      <w:pPr>
        <w:jc w:val="right"/>
        <w:rPr>
          <w:rtl/>
        </w:rPr>
      </w:pPr>
    </w:p>
    <w:p w14:paraId="41CB285C" w14:textId="77777777" w:rsidR="000E4B70" w:rsidRDefault="00370143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כ"ב אייר תשע"ה, 11/05/2015 במעמד הנוכחים. </w:t>
      </w:r>
    </w:p>
    <w:p w14:paraId="29D8360D" w14:textId="77777777" w:rsidR="000E4B70" w:rsidRDefault="000E4B70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E4B70" w14:paraId="3058891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69E6863" w14:textId="77777777" w:rsidR="000E4B70" w:rsidRDefault="000E4B7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178BBC" w14:textId="77777777" w:rsidR="000E4B70" w:rsidRDefault="000E4B7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E4B70" w14:paraId="7E50D88E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F90BA88" w14:textId="77777777" w:rsidR="000E4B70" w:rsidRDefault="0037014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E90C807" w14:textId="77777777" w:rsidR="000E4B70" w:rsidRPr="00370143" w:rsidRDefault="00370143">
      <w:pPr>
        <w:jc w:val="right"/>
        <w:rPr>
          <w:color w:val="FFFFFF"/>
          <w:sz w:val="2"/>
          <w:szCs w:val="2"/>
          <w:rtl/>
        </w:rPr>
      </w:pPr>
      <w:r w:rsidRPr="00370143">
        <w:rPr>
          <w:color w:val="FFFFFF"/>
          <w:sz w:val="2"/>
          <w:szCs w:val="2"/>
          <w:rtl/>
        </w:rPr>
        <w:t>5129371</w:t>
      </w:r>
    </w:p>
    <w:p w14:paraId="1356ABE8" w14:textId="77777777" w:rsidR="000E4B70" w:rsidRPr="00370143" w:rsidRDefault="00370143">
      <w:pPr>
        <w:rPr>
          <w:color w:val="FFFFFF"/>
          <w:sz w:val="2"/>
          <w:szCs w:val="2"/>
          <w:rtl/>
        </w:rPr>
      </w:pPr>
      <w:r w:rsidRPr="00370143">
        <w:rPr>
          <w:color w:val="FFFFFF"/>
          <w:sz w:val="2"/>
          <w:szCs w:val="2"/>
          <w:rtl/>
        </w:rPr>
        <w:t>54678313</w:t>
      </w:r>
    </w:p>
    <w:p w14:paraId="7F0DA464" w14:textId="77777777" w:rsidR="000E4B70" w:rsidRDefault="00370143">
      <w:pPr>
        <w:rPr>
          <w:rtl/>
        </w:rPr>
      </w:pPr>
      <w:r>
        <w:rPr>
          <w:rFonts w:hint="cs"/>
          <w:rtl/>
        </w:rPr>
        <w:t xml:space="preserve">קלדנית: שרה </w:t>
      </w:r>
    </w:p>
    <w:p w14:paraId="49688A9C" w14:textId="77777777" w:rsidR="000E4B70" w:rsidRDefault="000E4B70">
      <w:pPr>
        <w:rPr>
          <w:szCs w:val="24"/>
          <w:rtl/>
        </w:rPr>
      </w:pPr>
    </w:p>
    <w:p w14:paraId="4A9A6D4B" w14:textId="77777777" w:rsidR="00370143" w:rsidRPr="00370143" w:rsidRDefault="00370143" w:rsidP="00370143">
      <w:pPr>
        <w:keepNext/>
        <w:jc w:val="left"/>
        <w:rPr>
          <w:color w:val="000000"/>
          <w:sz w:val="22"/>
          <w:szCs w:val="22"/>
          <w:rtl/>
        </w:rPr>
      </w:pPr>
    </w:p>
    <w:p w14:paraId="215FC24B" w14:textId="77777777" w:rsidR="00370143" w:rsidRPr="00370143" w:rsidRDefault="00370143" w:rsidP="00370143">
      <w:pPr>
        <w:keepNext/>
        <w:jc w:val="left"/>
        <w:rPr>
          <w:color w:val="000000"/>
          <w:sz w:val="22"/>
          <w:szCs w:val="22"/>
          <w:rtl/>
        </w:rPr>
      </w:pPr>
      <w:r w:rsidRPr="00370143">
        <w:rPr>
          <w:color w:val="000000"/>
          <w:sz w:val="22"/>
          <w:szCs w:val="22"/>
          <w:rtl/>
        </w:rPr>
        <w:t>נגה שמואלי מאייר 54678313</w:t>
      </w:r>
    </w:p>
    <w:p w14:paraId="71AD8E3C" w14:textId="77777777" w:rsidR="00370143" w:rsidRDefault="00370143" w:rsidP="00370143">
      <w:pPr>
        <w:jc w:val="left"/>
      </w:pPr>
      <w:r w:rsidRPr="00370143">
        <w:rPr>
          <w:color w:val="000000"/>
          <w:rtl/>
        </w:rPr>
        <w:t>נוסח מסמך זה כפוף לשינויי ניסוח ועריכה</w:t>
      </w:r>
    </w:p>
    <w:p w14:paraId="2A368F94" w14:textId="77777777" w:rsidR="00370143" w:rsidRDefault="00370143" w:rsidP="00370143">
      <w:pPr>
        <w:jc w:val="left"/>
        <w:rPr>
          <w:rtl/>
        </w:rPr>
      </w:pPr>
    </w:p>
    <w:p w14:paraId="0A2EFD4E" w14:textId="77777777" w:rsidR="00370143" w:rsidRDefault="00370143" w:rsidP="00370143">
      <w:pPr>
        <w:jc w:val="center"/>
        <w:rPr>
          <w:color w:val="0000FF"/>
          <w:szCs w:val="24"/>
          <w:u w:val="single"/>
        </w:rPr>
      </w:pPr>
      <w:hyperlink r:id="rId13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7B85953" w14:textId="77777777" w:rsidR="000E4B70" w:rsidRPr="00370143" w:rsidRDefault="000E4B70" w:rsidP="00370143">
      <w:pPr>
        <w:jc w:val="center"/>
        <w:rPr>
          <w:color w:val="0000FF"/>
          <w:szCs w:val="24"/>
          <w:u w:val="single"/>
        </w:rPr>
      </w:pPr>
    </w:p>
    <w:sectPr w:rsidR="000E4B70" w:rsidRPr="00370143" w:rsidSect="00370143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AA218" w14:textId="77777777" w:rsidR="00D13517" w:rsidRDefault="00D13517">
      <w:r>
        <w:separator/>
      </w:r>
    </w:p>
  </w:endnote>
  <w:endnote w:type="continuationSeparator" w:id="0">
    <w:p w14:paraId="59451BE1" w14:textId="77777777" w:rsidR="00D13517" w:rsidRDefault="00D1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43C4B" w14:textId="77777777" w:rsidR="00D13517" w:rsidRDefault="00D13517" w:rsidP="00370143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3</w:t>
    </w:r>
    <w:r>
      <w:rPr>
        <w:rFonts w:ascii="FrankRuehl" w:hAnsi="FrankRuehl" w:cs="FrankRuehl"/>
        <w:szCs w:val="24"/>
        <w:rtl/>
      </w:rPr>
      <w:fldChar w:fldCharType="end"/>
    </w:r>
  </w:p>
  <w:p w14:paraId="61F9C6C3" w14:textId="77777777" w:rsidR="00D13517" w:rsidRPr="00370143" w:rsidRDefault="00D13517" w:rsidP="00370143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370143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BC7A" w14:textId="77777777" w:rsidR="00D13517" w:rsidRDefault="00D13517" w:rsidP="00370143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CA7BE7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4DEB6E62" w14:textId="77777777" w:rsidR="00D13517" w:rsidRPr="00370143" w:rsidRDefault="00D13517" w:rsidP="00370143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370143">
      <w:rPr>
        <w:rFonts w:ascii="FrankRuehl" w:hAnsi="FrankRuehl" w:cs="FrankRuehl"/>
        <w:color w:val="000000"/>
        <w:szCs w:val="24"/>
      </w:rPr>
      <w:pict w14:anchorId="0B865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D7FEE" w14:textId="77777777" w:rsidR="00D13517" w:rsidRDefault="00D13517">
      <w:r>
        <w:separator/>
      </w:r>
    </w:p>
  </w:footnote>
  <w:footnote w:type="continuationSeparator" w:id="0">
    <w:p w14:paraId="299F3322" w14:textId="77777777" w:rsidR="00D13517" w:rsidRDefault="00D13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FD1FD" w14:textId="77777777" w:rsidR="00D13517" w:rsidRPr="00370143" w:rsidRDefault="00D13517" w:rsidP="0037014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24126-03-14</w:t>
    </w:r>
    <w:r>
      <w:rPr>
        <w:color w:val="000000"/>
        <w:sz w:val="22"/>
        <w:szCs w:val="22"/>
        <w:rtl/>
      </w:rPr>
      <w:tab/>
      <w:t xml:space="preserve"> מדינת ישראל נ' אלכסנדר גולדברג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65395" w14:textId="77777777" w:rsidR="00D13517" w:rsidRPr="00370143" w:rsidRDefault="00D13517" w:rsidP="0037014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24126-03-14</w:t>
    </w:r>
    <w:r>
      <w:rPr>
        <w:color w:val="000000"/>
        <w:sz w:val="22"/>
        <w:szCs w:val="22"/>
        <w:rtl/>
      </w:rPr>
      <w:tab/>
      <w:t xml:space="preserve"> מדינת ישראל נ' אלכסנדר גולדברג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02527"/>
    <w:multiLevelType w:val="hybridMultilevel"/>
    <w:tmpl w:val="7EE0F22C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7CD602B5"/>
    <w:multiLevelType w:val="hybridMultilevel"/>
    <w:tmpl w:val="CD00072C"/>
    <w:lvl w:ilvl="0" w:tplc="8CCCE1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89005390">
    <w:abstractNumId w:val="1"/>
  </w:num>
  <w:num w:numId="2" w16cid:durableId="1573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E4B70"/>
    <w:rsid w:val="000E4B70"/>
    <w:rsid w:val="001E7F14"/>
    <w:rsid w:val="00370143"/>
    <w:rsid w:val="00477DC4"/>
    <w:rsid w:val="007C41AB"/>
    <w:rsid w:val="00800FD9"/>
    <w:rsid w:val="00CA7BE7"/>
    <w:rsid w:val="00D13517"/>
    <w:rsid w:val="00D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47D5AF"/>
  <w15:chartTrackingRefBased/>
  <w15:docId w15:val="{C532ABCF-453A-49E6-9FC7-4B424CE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4B70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0E4B70"/>
  </w:style>
  <w:style w:type="paragraph" w:styleId="a4">
    <w:name w:val="header"/>
    <w:basedOn w:val="a"/>
    <w:rsid w:val="000E4B70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E4B7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E4B70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E4B70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370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2036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2025-04-22T22:16:00Z</dcterms:created>
  <dcterms:modified xsi:type="dcterms:W3CDTF">2025-04-22T22:16:00Z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24126</vt:lpwstr>
  </property>
  <property fmtid="{D5CDD505-2E9C-101B-9397-08002B2CF9AE}" pid="6" name="NEWPARTB">
    <vt:lpwstr>03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אלכסנדר גולדברג</vt:lpwstr>
  </property>
  <property fmtid="{D5CDD505-2E9C-101B-9397-08002B2CF9AE}" pid="10" name="LAWYER">
    <vt:lpwstr>חג'ג' ומתחמה גב' באני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20150511</vt:lpwstr>
  </property>
  <property fmtid="{D5CDD505-2E9C-101B-9397-08002B2CF9AE}" pid="14" name="TYPE_N_DATE">
    <vt:lpwstr>38020150511</vt:lpwstr>
  </property>
  <property fmtid="{D5CDD505-2E9C-101B-9397-08002B2CF9AE}" pid="15" name="WORDNUMPAGES">
    <vt:lpwstr>2</vt:lpwstr>
  </property>
  <property fmtid="{D5CDD505-2E9C-101B-9397-08002B2CF9AE}" pid="16" name="TYPE_ABS_DATE">
    <vt:lpwstr>380020150511</vt:lpwstr>
  </property>
  <property fmtid="{D5CDD505-2E9C-101B-9397-08002B2CF9AE}" pid="17" name="LAWLISTTMP1">
    <vt:lpwstr>4216/007.a;007.c</vt:lpwstr>
  </property>
</Properties>
</file>