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CC53A3" w:rsidRPr="001E0932" w14:paraId="26815A96" w14:textId="77777777">
        <w:trPr>
          <w:trHeight w:hRule="exact" w:val="704"/>
          <w:jc w:val="center"/>
        </w:trPr>
        <w:tc>
          <w:tcPr>
            <w:tcW w:w="8721" w:type="dxa"/>
            <w:gridSpan w:val="2"/>
          </w:tcPr>
          <w:p w14:paraId="737744C2" w14:textId="77777777" w:rsidR="00CC53A3" w:rsidRPr="001E0932" w:rsidRDefault="00CC53A3" w:rsidP="001E0932">
            <w:pPr>
              <w:pStyle w:val="a4"/>
              <w:jc w:val="center"/>
              <w:rPr>
                <w:rFonts w:ascii="Tahoma" w:hAnsi="Tahoma" w:cs="Tahoma"/>
                <w:b/>
                <w:bCs/>
                <w:color w:val="000080"/>
                <w:rtl/>
              </w:rPr>
            </w:pPr>
            <w:bookmarkStart w:id="0" w:name="LastJudge"/>
            <w:r w:rsidRPr="001E0932">
              <w:rPr>
                <w:rFonts w:ascii="Tahoma" w:hAnsi="Tahoma" w:cs="Tahoma"/>
                <w:b/>
                <w:bCs/>
                <w:color w:val="000080"/>
                <w:rtl/>
              </w:rPr>
              <w:t>בית משפט השלום בבאר שבע</w:t>
            </w:r>
          </w:p>
          <w:p w14:paraId="4195AFAD" w14:textId="77777777" w:rsidR="00CC53A3" w:rsidRPr="001E0932" w:rsidRDefault="00CC53A3" w:rsidP="001E0932">
            <w:pPr>
              <w:pStyle w:val="a4"/>
              <w:jc w:val="center"/>
              <w:rPr>
                <w:rFonts w:ascii="Tahoma" w:hAnsi="Tahoma" w:cs="Tahoma"/>
                <w:color w:val="000080"/>
                <w:rtl/>
              </w:rPr>
            </w:pPr>
          </w:p>
        </w:tc>
      </w:tr>
      <w:tr w:rsidR="00CC53A3" w:rsidRPr="001E0932" w14:paraId="788E6FCF" w14:textId="77777777">
        <w:trPr>
          <w:trHeight w:val="337"/>
          <w:jc w:val="center"/>
        </w:trPr>
        <w:tc>
          <w:tcPr>
            <w:tcW w:w="4473" w:type="dxa"/>
          </w:tcPr>
          <w:p w14:paraId="4B7D050F" w14:textId="77777777" w:rsidR="00CC53A3" w:rsidRPr="001E0932" w:rsidRDefault="00CC53A3" w:rsidP="001E0932">
            <w:pPr>
              <w:rPr>
                <w:b/>
                <w:bCs/>
                <w:sz w:val="26"/>
                <w:szCs w:val="26"/>
                <w:rtl/>
              </w:rPr>
            </w:pPr>
          </w:p>
        </w:tc>
        <w:tc>
          <w:tcPr>
            <w:tcW w:w="4248" w:type="dxa"/>
          </w:tcPr>
          <w:p w14:paraId="1637DEC1" w14:textId="77777777" w:rsidR="00CC53A3" w:rsidRPr="001E0932" w:rsidRDefault="00CC53A3" w:rsidP="001E0932">
            <w:pPr>
              <w:pStyle w:val="a4"/>
              <w:jc w:val="right"/>
              <w:rPr>
                <w:b/>
                <w:bCs/>
                <w:sz w:val="26"/>
                <w:szCs w:val="26"/>
                <w:rtl/>
              </w:rPr>
            </w:pPr>
            <w:r w:rsidRPr="001E0932">
              <w:rPr>
                <w:b/>
                <w:bCs/>
                <w:sz w:val="26"/>
                <w:szCs w:val="26"/>
                <w:rtl/>
              </w:rPr>
              <w:t>כ"ח אייר תשע"ו</w:t>
            </w:r>
          </w:p>
          <w:p w14:paraId="78693E78" w14:textId="77777777" w:rsidR="00CC53A3" w:rsidRPr="001E0932" w:rsidRDefault="00CC53A3" w:rsidP="001E0932">
            <w:pPr>
              <w:pStyle w:val="a4"/>
              <w:jc w:val="right"/>
              <w:rPr>
                <w:b/>
                <w:bCs/>
                <w:sz w:val="26"/>
                <w:szCs w:val="26"/>
                <w:rtl/>
              </w:rPr>
            </w:pPr>
            <w:r w:rsidRPr="001E0932">
              <w:rPr>
                <w:rFonts w:hint="cs"/>
                <w:b/>
                <w:bCs/>
                <w:sz w:val="26"/>
                <w:szCs w:val="26"/>
                <w:rtl/>
              </w:rPr>
              <w:t>05 יוני 2016</w:t>
            </w:r>
          </w:p>
        </w:tc>
      </w:tr>
      <w:tr w:rsidR="00CC53A3" w:rsidRPr="001E0932" w14:paraId="5D2E2BC7" w14:textId="77777777">
        <w:trPr>
          <w:trHeight w:val="337"/>
          <w:jc w:val="center"/>
        </w:trPr>
        <w:tc>
          <w:tcPr>
            <w:tcW w:w="8721" w:type="dxa"/>
            <w:gridSpan w:val="2"/>
          </w:tcPr>
          <w:p w14:paraId="0B645FE6" w14:textId="77777777" w:rsidR="00CC53A3" w:rsidRPr="001E0932" w:rsidRDefault="001E0932" w:rsidP="001E0932">
            <w:pPr>
              <w:rPr>
                <w:b/>
                <w:bCs/>
                <w:sz w:val="26"/>
                <w:szCs w:val="26"/>
                <w:rtl/>
              </w:rPr>
            </w:pPr>
            <w:hyperlink r:id="rId7" w:history="1">
              <w:r w:rsidRPr="001E0932">
                <w:rPr>
                  <w:b/>
                  <w:bCs/>
                  <w:color w:val="0000FF"/>
                  <w:sz w:val="26"/>
                  <w:szCs w:val="26"/>
                  <w:u w:val="single"/>
                  <w:rtl/>
                </w:rPr>
                <w:t>ת"פ 41072-03-14</w:t>
              </w:r>
            </w:hyperlink>
            <w:r w:rsidR="00CC53A3" w:rsidRPr="001E0932">
              <w:rPr>
                <w:b/>
                <w:bCs/>
                <w:sz w:val="26"/>
                <w:szCs w:val="26"/>
                <w:rtl/>
              </w:rPr>
              <w:t xml:space="preserve"> מדינת ישראל נ' מטקה</w:t>
            </w:r>
          </w:p>
          <w:p w14:paraId="24BFAC3C" w14:textId="77777777" w:rsidR="00CC53A3" w:rsidRPr="001E0932" w:rsidRDefault="00CC53A3" w:rsidP="001E0932">
            <w:pPr>
              <w:rPr>
                <w:rtl/>
              </w:rPr>
            </w:pPr>
          </w:p>
          <w:p w14:paraId="683F3DAE" w14:textId="77777777" w:rsidR="00CC53A3" w:rsidRPr="001E0932" w:rsidRDefault="00CC53A3" w:rsidP="001E0932">
            <w:pPr>
              <w:rPr>
                <w:rtl/>
              </w:rPr>
            </w:pPr>
            <w:r w:rsidRPr="001E0932">
              <w:rPr>
                <w:rFonts w:hint="cs"/>
                <w:sz w:val="20"/>
                <w:szCs w:val="20"/>
                <w:rtl/>
              </w:rPr>
              <w:t>תיק חיצוני</w:t>
            </w:r>
            <w:r w:rsidRPr="001E0932">
              <w:rPr>
                <w:rFonts w:hint="cs"/>
                <w:rtl/>
              </w:rPr>
              <w:t xml:space="preserve">: </w:t>
            </w:r>
            <w:r w:rsidRPr="001E0932">
              <w:rPr>
                <w:sz w:val="20"/>
                <w:szCs w:val="20"/>
                <w:rtl/>
              </w:rPr>
              <w:t>03450201400824</w:t>
            </w:r>
          </w:p>
        </w:tc>
      </w:tr>
    </w:tbl>
    <w:p w14:paraId="4F525CE4" w14:textId="77777777" w:rsidR="00CC53A3" w:rsidRPr="001E0932" w:rsidRDefault="00CC53A3" w:rsidP="00CC53A3">
      <w:pPr>
        <w:pStyle w:val="a4"/>
        <w:rPr>
          <w:rtl/>
        </w:rPr>
      </w:pPr>
      <w:r w:rsidRPr="001E0932">
        <w:rPr>
          <w:rtl/>
        </w:rPr>
        <w:t xml:space="preserve"> </w:t>
      </w:r>
    </w:p>
    <w:p w14:paraId="25C26A60" w14:textId="77777777" w:rsidR="00CC53A3" w:rsidRPr="001E0932" w:rsidRDefault="00CC53A3" w:rsidP="00CC53A3">
      <w:pPr>
        <w:rPr>
          <w:rtl/>
        </w:rPr>
      </w:pPr>
    </w:p>
    <w:tbl>
      <w:tblPr>
        <w:bidiVisual/>
        <w:tblW w:w="8848" w:type="dxa"/>
        <w:tblInd w:w="-28" w:type="dxa"/>
        <w:tblLook w:val="01E0" w:firstRow="1" w:lastRow="1" w:firstColumn="1" w:lastColumn="1" w:noHBand="0" w:noVBand="0"/>
      </w:tblPr>
      <w:tblGrid>
        <w:gridCol w:w="28"/>
        <w:gridCol w:w="2852"/>
        <w:gridCol w:w="5839"/>
        <w:gridCol w:w="83"/>
        <w:gridCol w:w="46"/>
      </w:tblGrid>
      <w:tr w:rsidR="00CC53A3" w:rsidRPr="001E0932" w14:paraId="40278352" w14:textId="77777777">
        <w:trPr>
          <w:gridAfter w:val="2"/>
          <w:wAfter w:w="129" w:type="dxa"/>
        </w:trPr>
        <w:tc>
          <w:tcPr>
            <w:tcW w:w="8719" w:type="dxa"/>
            <w:gridSpan w:val="3"/>
            <w:shd w:val="clear" w:color="auto" w:fill="auto"/>
          </w:tcPr>
          <w:p w14:paraId="2E77ACA8" w14:textId="77777777" w:rsidR="00CC53A3" w:rsidRPr="001E0932" w:rsidRDefault="00CC53A3" w:rsidP="001E0932">
            <w:pPr>
              <w:spacing w:line="360" w:lineRule="auto"/>
              <w:rPr>
                <w:b/>
                <w:bCs/>
                <w:sz w:val="26"/>
                <w:szCs w:val="26"/>
              </w:rPr>
            </w:pPr>
            <w:r w:rsidRPr="001E0932">
              <w:rPr>
                <w:rFonts w:hint="cs"/>
                <w:b/>
                <w:bCs/>
                <w:sz w:val="26"/>
                <w:szCs w:val="26"/>
                <w:rtl/>
              </w:rPr>
              <w:t>לפני כב' השופט רון סולקין</w:t>
            </w:r>
          </w:p>
        </w:tc>
      </w:tr>
      <w:tr w:rsidR="00CC53A3" w:rsidRPr="001E0932" w14:paraId="4162EC1F" w14:textId="77777777">
        <w:trPr>
          <w:gridAfter w:val="1"/>
          <w:wAfter w:w="46" w:type="dxa"/>
        </w:trPr>
        <w:tc>
          <w:tcPr>
            <w:tcW w:w="2880" w:type="dxa"/>
            <w:gridSpan w:val="2"/>
            <w:shd w:val="clear" w:color="auto" w:fill="auto"/>
          </w:tcPr>
          <w:p w14:paraId="46E5B5E8" w14:textId="77777777" w:rsidR="00CC53A3" w:rsidRPr="001E0932" w:rsidRDefault="00CC53A3" w:rsidP="001E0932">
            <w:pPr>
              <w:ind w:left="26"/>
              <w:rPr>
                <w:b/>
                <w:bCs/>
                <w:sz w:val="26"/>
                <w:szCs w:val="26"/>
              </w:rPr>
            </w:pPr>
            <w:bookmarkStart w:id="1" w:name="FirstAppellant"/>
            <w:bookmarkStart w:id="2" w:name="FirstLawyer"/>
            <w:r w:rsidRPr="001E0932">
              <w:rPr>
                <w:rFonts w:hint="cs"/>
                <w:b/>
                <w:bCs/>
                <w:sz w:val="26"/>
                <w:szCs w:val="26"/>
                <w:rtl/>
              </w:rPr>
              <w:t>ה</w:t>
            </w:r>
            <w:r w:rsidRPr="001E0932">
              <w:rPr>
                <w:rFonts w:hint="cs"/>
                <w:rtl/>
              </w:rPr>
              <w:t>מאשימה</w:t>
            </w:r>
          </w:p>
        </w:tc>
        <w:tc>
          <w:tcPr>
            <w:tcW w:w="5922" w:type="dxa"/>
            <w:gridSpan w:val="2"/>
            <w:shd w:val="clear" w:color="auto" w:fill="auto"/>
          </w:tcPr>
          <w:p w14:paraId="75806C4E" w14:textId="77777777" w:rsidR="00CC53A3" w:rsidRPr="001E0932" w:rsidRDefault="00CC53A3" w:rsidP="001E0932">
            <w:pPr>
              <w:rPr>
                <w:b/>
                <w:bCs/>
                <w:sz w:val="26"/>
                <w:szCs w:val="26"/>
                <w:rtl/>
              </w:rPr>
            </w:pPr>
            <w:r w:rsidRPr="001E0932">
              <w:rPr>
                <w:rFonts w:hint="cs"/>
                <w:b/>
                <w:bCs/>
                <w:rtl/>
              </w:rPr>
              <w:t>מדינת ישראל – תביעות נגב</w:t>
            </w:r>
          </w:p>
          <w:p w14:paraId="5AC7E32C" w14:textId="77777777" w:rsidR="00CC53A3" w:rsidRPr="001E0932" w:rsidRDefault="00CC53A3" w:rsidP="001E0932">
            <w:pPr>
              <w:rPr>
                <w:b/>
                <w:bCs/>
                <w:sz w:val="26"/>
                <w:szCs w:val="26"/>
              </w:rPr>
            </w:pPr>
            <w:r w:rsidRPr="001E0932">
              <w:rPr>
                <w:rFonts w:hint="cs"/>
                <w:b/>
                <w:bCs/>
                <w:sz w:val="26"/>
                <w:szCs w:val="26"/>
                <w:rtl/>
              </w:rPr>
              <w:t>ע"י ב"כ עו"ד הילה אליהוא</w:t>
            </w:r>
          </w:p>
        </w:tc>
      </w:tr>
      <w:bookmarkEnd w:id="1"/>
      <w:bookmarkEnd w:id="2"/>
      <w:tr w:rsidR="00CC53A3" w:rsidRPr="001E0932" w14:paraId="3D464C32" w14:textId="77777777">
        <w:trPr>
          <w:gridAfter w:val="1"/>
          <w:wAfter w:w="46" w:type="dxa"/>
        </w:trPr>
        <w:tc>
          <w:tcPr>
            <w:tcW w:w="8802" w:type="dxa"/>
            <w:gridSpan w:val="4"/>
            <w:shd w:val="clear" w:color="auto" w:fill="auto"/>
          </w:tcPr>
          <w:p w14:paraId="0B0932A3" w14:textId="77777777" w:rsidR="00CC53A3" w:rsidRPr="001E0932" w:rsidRDefault="00CC53A3" w:rsidP="001E0932">
            <w:pPr>
              <w:jc w:val="both"/>
              <w:rPr>
                <w:rFonts w:ascii="Arial" w:hAnsi="Arial"/>
                <w:b/>
                <w:bCs/>
                <w:sz w:val="26"/>
                <w:szCs w:val="26"/>
                <w:rtl/>
              </w:rPr>
            </w:pPr>
          </w:p>
          <w:p w14:paraId="7AE854BA" w14:textId="77777777" w:rsidR="00CC53A3" w:rsidRPr="001E0932" w:rsidRDefault="00CC53A3" w:rsidP="001E0932">
            <w:pPr>
              <w:jc w:val="center"/>
              <w:rPr>
                <w:rFonts w:ascii="Arial" w:hAnsi="Arial"/>
                <w:b/>
                <w:bCs/>
                <w:sz w:val="26"/>
                <w:szCs w:val="26"/>
                <w:rtl/>
              </w:rPr>
            </w:pPr>
            <w:r w:rsidRPr="001E0932">
              <w:rPr>
                <w:rFonts w:ascii="Arial" w:hAnsi="Arial" w:hint="cs"/>
                <w:b/>
                <w:bCs/>
                <w:sz w:val="26"/>
                <w:szCs w:val="26"/>
                <w:rtl/>
              </w:rPr>
              <w:t>נגד</w:t>
            </w:r>
          </w:p>
          <w:p w14:paraId="3E0768A5" w14:textId="77777777" w:rsidR="00CC53A3" w:rsidRPr="001E0932" w:rsidRDefault="00CC53A3" w:rsidP="001E0932">
            <w:pPr>
              <w:jc w:val="center"/>
              <w:rPr>
                <w:rFonts w:ascii="Arial" w:hAnsi="Arial"/>
                <w:b/>
                <w:bCs/>
                <w:sz w:val="26"/>
                <w:szCs w:val="26"/>
              </w:rPr>
            </w:pPr>
          </w:p>
        </w:tc>
      </w:tr>
      <w:tr w:rsidR="00CC53A3" w:rsidRPr="001E0932" w14:paraId="3003B83B" w14:textId="77777777">
        <w:trPr>
          <w:gridAfter w:val="1"/>
          <w:wAfter w:w="46" w:type="dxa"/>
        </w:trPr>
        <w:tc>
          <w:tcPr>
            <w:tcW w:w="2880" w:type="dxa"/>
            <w:gridSpan w:val="2"/>
            <w:shd w:val="clear" w:color="auto" w:fill="auto"/>
          </w:tcPr>
          <w:p w14:paraId="4CE5F43A" w14:textId="77777777" w:rsidR="00CC53A3" w:rsidRPr="001E0932" w:rsidRDefault="00CC53A3" w:rsidP="001E0932">
            <w:pPr>
              <w:ind w:left="26"/>
              <w:rPr>
                <w:b/>
                <w:bCs/>
                <w:sz w:val="26"/>
                <w:szCs w:val="26"/>
              </w:rPr>
            </w:pPr>
            <w:r w:rsidRPr="001E0932">
              <w:rPr>
                <w:rFonts w:hint="cs"/>
                <w:b/>
                <w:bCs/>
                <w:sz w:val="26"/>
                <w:szCs w:val="26"/>
                <w:rtl/>
              </w:rPr>
              <w:t>ה</w:t>
            </w:r>
            <w:r w:rsidRPr="001E0932">
              <w:rPr>
                <w:rFonts w:hint="cs"/>
                <w:rtl/>
              </w:rPr>
              <w:t>נאשם</w:t>
            </w:r>
          </w:p>
        </w:tc>
        <w:tc>
          <w:tcPr>
            <w:tcW w:w="5922" w:type="dxa"/>
            <w:gridSpan w:val="2"/>
            <w:shd w:val="clear" w:color="auto" w:fill="auto"/>
          </w:tcPr>
          <w:p w14:paraId="2CD73BA6" w14:textId="77777777" w:rsidR="00CC53A3" w:rsidRPr="001E0932" w:rsidRDefault="00CC53A3" w:rsidP="001E0932">
            <w:pPr>
              <w:rPr>
                <w:b/>
                <w:bCs/>
                <w:sz w:val="26"/>
                <w:szCs w:val="26"/>
                <w:rtl/>
              </w:rPr>
            </w:pPr>
            <w:r w:rsidRPr="001E0932">
              <w:rPr>
                <w:rFonts w:hint="cs"/>
                <w:rtl/>
              </w:rPr>
              <w:t>הנרי אוסה בן אנדרו מטקה</w:t>
            </w:r>
          </w:p>
          <w:p w14:paraId="58181C54" w14:textId="77777777" w:rsidR="00CC53A3" w:rsidRPr="001E0932" w:rsidRDefault="00CC53A3" w:rsidP="001E0932">
            <w:pPr>
              <w:rPr>
                <w:b/>
                <w:bCs/>
                <w:sz w:val="26"/>
                <w:szCs w:val="26"/>
              </w:rPr>
            </w:pPr>
            <w:r w:rsidRPr="001E0932">
              <w:rPr>
                <w:rFonts w:hint="cs"/>
                <w:b/>
                <w:bCs/>
                <w:sz w:val="26"/>
                <w:szCs w:val="26"/>
                <w:rtl/>
              </w:rPr>
              <w:t xml:space="preserve">ע"י ב"כ עו"ד דמיטרי ורניצקי </w:t>
            </w:r>
          </w:p>
        </w:tc>
      </w:tr>
      <w:tr w:rsidR="00CC53A3" w14:paraId="552E2398" w14:textId="77777777">
        <w:tblPrEx>
          <w:jc w:val="center"/>
          <w:tblInd w:w="0" w:type="dxa"/>
        </w:tblPrEx>
        <w:trPr>
          <w:gridBefore w:val="1"/>
          <w:wBefore w:w="28" w:type="dxa"/>
          <w:jc w:val="center"/>
        </w:trPr>
        <w:tc>
          <w:tcPr>
            <w:tcW w:w="8820" w:type="dxa"/>
            <w:gridSpan w:val="4"/>
            <w:shd w:val="clear" w:color="auto" w:fill="auto"/>
          </w:tcPr>
          <w:p w14:paraId="19BF70A0" w14:textId="77777777" w:rsidR="003E3D9B" w:rsidRDefault="003E3D9B" w:rsidP="001E0932">
            <w:pPr>
              <w:bidi w:val="0"/>
              <w:jc w:val="center"/>
              <w:rPr>
                <w:rFonts w:ascii="Arial" w:hAnsi="Arial"/>
                <w:sz w:val="28"/>
                <w:szCs w:val="28"/>
              </w:rPr>
            </w:pPr>
            <w:bookmarkStart w:id="3" w:name="PsakDin" w:colFirst="0" w:colLast="0"/>
            <w:bookmarkStart w:id="4" w:name="LawTable"/>
            <w:bookmarkEnd w:id="0"/>
            <w:bookmarkEnd w:id="4"/>
          </w:p>
          <w:p w14:paraId="60505EA6" w14:textId="77777777" w:rsidR="003E3D9B" w:rsidRPr="003E3D9B" w:rsidRDefault="003E3D9B" w:rsidP="003E3D9B">
            <w:pPr>
              <w:bidi w:val="0"/>
              <w:spacing w:after="120" w:line="240" w:lineRule="exact"/>
              <w:ind w:left="283" w:hanging="283"/>
              <w:jc w:val="both"/>
              <w:rPr>
                <w:rFonts w:ascii="FrankRuehl" w:hAnsi="FrankRuehl" w:cs="FrankRuehl"/>
              </w:rPr>
            </w:pPr>
          </w:p>
          <w:p w14:paraId="064BECCF" w14:textId="77777777" w:rsidR="003E3D9B" w:rsidRPr="003E3D9B" w:rsidRDefault="003E3D9B" w:rsidP="003E3D9B">
            <w:pPr>
              <w:bidi w:val="0"/>
              <w:spacing w:after="120" w:line="240" w:lineRule="exact"/>
              <w:ind w:left="283" w:hanging="283"/>
              <w:jc w:val="both"/>
              <w:rPr>
                <w:rFonts w:ascii="FrankRuehl" w:hAnsi="FrankRuehl" w:cs="FrankRuehl"/>
                <w:rtl/>
              </w:rPr>
            </w:pPr>
            <w:r w:rsidRPr="003E3D9B">
              <w:rPr>
                <w:rFonts w:ascii="FrankRuehl" w:hAnsi="FrankRuehl" w:cs="FrankRuehl"/>
                <w:rtl/>
              </w:rPr>
              <w:t>חקיקה שאוזכרה</w:t>
            </w:r>
            <w:r w:rsidRPr="003E3D9B">
              <w:rPr>
                <w:rFonts w:ascii="FrankRuehl" w:hAnsi="FrankRuehl" w:cs="FrankRuehl"/>
              </w:rPr>
              <w:t xml:space="preserve">: </w:t>
            </w:r>
          </w:p>
          <w:p w14:paraId="29C88742" w14:textId="77777777" w:rsidR="003E3D9B" w:rsidRPr="003E3D9B" w:rsidRDefault="003E3D9B" w:rsidP="003E3D9B">
            <w:pPr>
              <w:bidi w:val="0"/>
              <w:spacing w:after="120" w:line="240" w:lineRule="exact"/>
              <w:ind w:left="283" w:hanging="283"/>
              <w:jc w:val="both"/>
              <w:rPr>
                <w:rFonts w:ascii="FrankRuehl" w:hAnsi="FrankRuehl" w:cs="FrankRuehl"/>
                <w:rtl/>
              </w:rPr>
            </w:pPr>
            <w:hyperlink r:id="rId8" w:history="1">
              <w:r w:rsidRPr="003E3D9B">
                <w:rPr>
                  <w:rFonts w:ascii="FrankRuehl" w:hAnsi="FrankRuehl" w:cs="FrankRuehl"/>
                  <w:color w:val="0000FF"/>
                  <w:u w:val="single"/>
                  <w:rtl/>
                </w:rPr>
                <w:t>חוק העונשין, תשל"ז-1977</w:t>
              </w:r>
            </w:hyperlink>
            <w:r w:rsidRPr="003E3D9B">
              <w:rPr>
                <w:rFonts w:ascii="FrankRuehl" w:hAnsi="FrankRuehl" w:cs="FrankRuehl"/>
                <w:rtl/>
              </w:rPr>
              <w:t xml:space="preserve">: סע'  </w:t>
            </w:r>
            <w:hyperlink r:id="rId9" w:history="1">
              <w:r w:rsidRPr="003E3D9B">
                <w:rPr>
                  <w:rFonts w:ascii="FrankRuehl" w:hAnsi="FrankRuehl" w:cs="FrankRuehl"/>
                  <w:color w:val="0000FF"/>
                  <w:u w:val="single"/>
                  <w:rtl/>
                </w:rPr>
                <w:t>40ד'</w:t>
              </w:r>
            </w:hyperlink>
            <w:r w:rsidRPr="003E3D9B">
              <w:rPr>
                <w:rFonts w:ascii="FrankRuehl" w:hAnsi="FrankRuehl" w:cs="FrankRuehl"/>
                <w:rtl/>
              </w:rPr>
              <w:t xml:space="preserve">, </w:t>
            </w:r>
            <w:hyperlink r:id="rId10" w:history="1">
              <w:r w:rsidRPr="003E3D9B">
                <w:rPr>
                  <w:rFonts w:ascii="FrankRuehl" w:hAnsi="FrankRuehl" w:cs="FrankRuehl"/>
                  <w:color w:val="0000FF"/>
                  <w:u w:val="single"/>
                  <w:rtl/>
                </w:rPr>
                <w:t>384</w:t>
              </w:r>
            </w:hyperlink>
            <w:r w:rsidRPr="003E3D9B">
              <w:rPr>
                <w:rFonts w:ascii="FrankRuehl" w:hAnsi="FrankRuehl" w:cs="FrankRuehl"/>
                <w:rtl/>
              </w:rPr>
              <w:t xml:space="preserve">, </w:t>
            </w:r>
            <w:hyperlink r:id="rId11" w:history="1">
              <w:r w:rsidRPr="003E3D9B">
                <w:rPr>
                  <w:rFonts w:ascii="FrankRuehl" w:hAnsi="FrankRuehl" w:cs="FrankRuehl"/>
                  <w:color w:val="0000FF"/>
                  <w:u w:val="single"/>
                  <w:rtl/>
                </w:rPr>
                <w:t>406(ב)</w:t>
              </w:r>
            </w:hyperlink>
            <w:r w:rsidRPr="003E3D9B">
              <w:rPr>
                <w:rFonts w:ascii="FrankRuehl" w:hAnsi="FrankRuehl" w:cs="FrankRuehl"/>
                <w:rtl/>
              </w:rPr>
              <w:t xml:space="preserve">, </w:t>
            </w:r>
            <w:hyperlink r:id="rId12" w:history="1">
              <w:r w:rsidRPr="003E3D9B">
                <w:rPr>
                  <w:rFonts w:ascii="FrankRuehl" w:hAnsi="FrankRuehl" w:cs="FrankRuehl"/>
                  <w:color w:val="0000FF"/>
                  <w:u w:val="single"/>
                  <w:rtl/>
                </w:rPr>
                <w:t>פרק יא</w:t>
              </w:r>
            </w:hyperlink>
          </w:p>
          <w:p w14:paraId="0CF9C273" w14:textId="77777777" w:rsidR="003E3D9B" w:rsidRPr="003E3D9B" w:rsidRDefault="003E3D9B" w:rsidP="003E3D9B">
            <w:pPr>
              <w:bidi w:val="0"/>
              <w:spacing w:after="120" w:line="240" w:lineRule="exact"/>
              <w:ind w:left="283" w:hanging="283"/>
              <w:jc w:val="both"/>
              <w:rPr>
                <w:rFonts w:ascii="FrankRuehl" w:hAnsi="FrankRuehl" w:cs="FrankRuehl"/>
                <w:rtl/>
              </w:rPr>
            </w:pPr>
            <w:hyperlink r:id="rId13" w:history="1">
              <w:r w:rsidRPr="003E3D9B">
                <w:rPr>
                  <w:rFonts w:ascii="FrankRuehl" w:hAnsi="FrankRuehl" w:cs="FrankRuehl"/>
                  <w:color w:val="0000FF"/>
                  <w:u w:val="single"/>
                  <w:rtl/>
                </w:rPr>
                <w:t>פקודת הסמים המסוכנים [נוסח חדש], תשל"ג-1973</w:t>
              </w:r>
            </w:hyperlink>
            <w:r w:rsidRPr="003E3D9B">
              <w:rPr>
                <w:rFonts w:ascii="FrankRuehl" w:hAnsi="FrankRuehl" w:cs="FrankRuehl"/>
                <w:rtl/>
              </w:rPr>
              <w:t xml:space="preserve">: סע'  </w:t>
            </w:r>
            <w:hyperlink r:id="rId14" w:history="1">
              <w:r w:rsidRPr="003E3D9B">
                <w:rPr>
                  <w:rFonts w:ascii="FrankRuehl" w:hAnsi="FrankRuehl" w:cs="FrankRuehl"/>
                  <w:color w:val="0000FF"/>
                  <w:u w:val="single"/>
                  <w:rtl/>
                </w:rPr>
                <w:t>7(א)</w:t>
              </w:r>
            </w:hyperlink>
            <w:r w:rsidRPr="003E3D9B">
              <w:rPr>
                <w:rFonts w:ascii="FrankRuehl" w:hAnsi="FrankRuehl" w:cs="FrankRuehl"/>
                <w:rtl/>
              </w:rPr>
              <w:t xml:space="preserve">, </w:t>
            </w:r>
            <w:hyperlink r:id="rId15" w:history="1">
              <w:r w:rsidRPr="003E3D9B">
                <w:rPr>
                  <w:rFonts w:ascii="FrankRuehl" w:hAnsi="FrankRuehl" w:cs="FrankRuehl"/>
                  <w:color w:val="0000FF"/>
                  <w:u w:val="single"/>
                  <w:rtl/>
                </w:rPr>
                <w:t>(ג)</w:t>
              </w:r>
            </w:hyperlink>
          </w:p>
          <w:p w14:paraId="64A57697" w14:textId="77777777" w:rsidR="003E3D9B" w:rsidRPr="003E3D9B" w:rsidRDefault="003E3D9B" w:rsidP="003E3D9B">
            <w:pPr>
              <w:bidi w:val="0"/>
              <w:spacing w:after="120" w:line="240" w:lineRule="exact"/>
              <w:ind w:left="283" w:hanging="283"/>
              <w:jc w:val="both"/>
              <w:rPr>
                <w:rFonts w:ascii="FrankRuehl" w:hAnsi="FrankRuehl" w:cs="FrankRuehl"/>
              </w:rPr>
            </w:pPr>
          </w:p>
          <w:p w14:paraId="3AC35D44" w14:textId="77777777" w:rsidR="003E3D9B" w:rsidRPr="003E3D9B" w:rsidRDefault="003E3D9B" w:rsidP="001E0932">
            <w:pPr>
              <w:bidi w:val="0"/>
              <w:jc w:val="center"/>
              <w:rPr>
                <w:rFonts w:ascii="Arial" w:hAnsi="Arial"/>
                <w:sz w:val="28"/>
                <w:szCs w:val="28"/>
                <w:rtl/>
              </w:rPr>
            </w:pPr>
            <w:bookmarkStart w:id="5" w:name="LawTable_End"/>
            <w:bookmarkEnd w:id="5"/>
          </w:p>
          <w:p w14:paraId="73DDCE72" w14:textId="77777777" w:rsidR="001E0932" w:rsidRPr="001E0932" w:rsidRDefault="001E0932" w:rsidP="001E0932">
            <w:pPr>
              <w:bidi w:val="0"/>
              <w:jc w:val="center"/>
              <w:rPr>
                <w:rFonts w:ascii="Arial" w:hAnsi="Arial"/>
                <w:b/>
                <w:bCs/>
                <w:sz w:val="28"/>
                <w:szCs w:val="28"/>
                <w:u w:val="single"/>
                <w:rtl/>
              </w:rPr>
            </w:pPr>
            <w:r w:rsidRPr="001E0932">
              <w:rPr>
                <w:rFonts w:ascii="Arial" w:hAnsi="Arial"/>
                <w:b/>
                <w:bCs/>
                <w:sz w:val="28"/>
                <w:szCs w:val="28"/>
                <w:u w:val="single"/>
                <w:rtl/>
              </w:rPr>
              <w:t>גזר דין</w:t>
            </w:r>
          </w:p>
          <w:p w14:paraId="1F45D5F7" w14:textId="77777777" w:rsidR="00CC53A3" w:rsidRPr="001E0932" w:rsidRDefault="00CC53A3" w:rsidP="001E0932">
            <w:pPr>
              <w:bidi w:val="0"/>
              <w:jc w:val="center"/>
              <w:rPr>
                <w:rFonts w:ascii="Arial" w:hAnsi="Arial"/>
                <w:b/>
                <w:bCs/>
                <w:sz w:val="28"/>
                <w:szCs w:val="28"/>
                <w:u w:val="single"/>
              </w:rPr>
            </w:pPr>
          </w:p>
        </w:tc>
      </w:tr>
      <w:bookmarkEnd w:id="3"/>
    </w:tbl>
    <w:p w14:paraId="66186744" w14:textId="77777777" w:rsidR="00CC53A3" w:rsidRDefault="00CC53A3" w:rsidP="00CC53A3">
      <w:pPr>
        <w:spacing w:line="360" w:lineRule="auto"/>
        <w:jc w:val="both"/>
        <w:rPr>
          <w:rFonts w:ascii="Arial" w:hAnsi="Arial"/>
          <w:rtl/>
        </w:rPr>
      </w:pPr>
    </w:p>
    <w:p w14:paraId="513E8EDE" w14:textId="77777777" w:rsidR="00CC53A3" w:rsidRDefault="00CC53A3" w:rsidP="00CC53A3">
      <w:pPr>
        <w:spacing w:line="360" w:lineRule="auto"/>
        <w:jc w:val="both"/>
        <w:rPr>
          <w:rFonts w:ascii="Arial" w:hAnsi="Arial"/>
          <w:b/>
          <w:bCs/>
          <w:rtl/>
        </w:rPr>
      </w:pPr>
    </w:p>
    <w:p w14:paraId="67FBBB74" w14:textId="77777777" w:rsidR="00CC53A3" w:rsidRPr="00BF5A21" w:rsidRDefault="00CC53A3" w:rsidP="00CC53A3">
      <w:pPr>
        <w:spacing w:line="360" w:lineRule="auto"/>
        <w:jc w:val="both"/>
        <w:rPr>
          <w:rFonts w:ascii="Arial" w:hAnsi="Arial"/>
          <w:b/>
          <w:bCs/>
          <w:rtl/>
        </w:rPr>
      </w:pPr>
      <w:r w:rsidRPr="00BF5A21">
        <w:rPr>
          <w:rFonts w:ascii="Arial" w:hAnsi="Arial" w:hint="cs"/>
          <w:b/>
          <w:bCs/>
          <w:rtl/>
        </w:rPr>
        <w:t>כתב האישום והשתלשלות הדיון</w:t>
      </w:r>
    </w:p>
    <w:p w14:paraId="3F53450E" w14:textId="77777777" w:rsidR="00CC53A3" w:rsidRPr="00BF5A21" w:rsidRDefault="00CC53A3" w:rsidP="00CC53A3">
      <w:pPr>
        <w:spacing w:line="360" w:lineRule="auto"/>
        <w:jc w:val="both"/>
        <w:rPr>
          <w:rFonts w:ascii="Arial" w:hAnsi="Arial"/>
          <w:rtl/>
        </w:rPr>
      </w:pPr>
    </w:p>
    <w:p w14:paraId="788D03D9" w14:textId="77777777" w:rsidR="00CC53A3" w:rsidRPr="00BF5A21" w:rsidRDefault="00CC53A3" w:rsidP="00CC53A3">
      <w:pPr>
        <w:spacing w:line="360" w:lineRule="auto"/>
        <w:jc w:val="both"/>
        <w:rPr>
          <w:rFonts w:ascii="Arial" w:hAnsi="Arial"/>
          <w:rtl/>
        </w:rPr>
      </w:pPr>
      <w:bookmarkStart w:id="6" w:name="ABSTRACT_START"/>
      <w:bookmarkEnd w:id="6"/>
      <w:r w:rsidRPr="00BF5A21">
        <w:rPr>
          <w:rFonts w:ascii="Arial" w:hAnsi="Arial" w:hint="cs"/>
          <w:rtl/>
        </w:rPr>
        <w:t>הנאשם שלפני נותן את הדין בגין עבירות כדלקמן:</w:t>
      </w:r>
    </w:p>
    <w:p w14:paraId="54D98CE6" w14:textId="77777777" w:rsidR="00CC53A3" w:rsidRPr="00BF5A21" w:rsidRDefault="00CC53A3" w:rsidP="00CC53A3">
      <w:pPr>
        <w:spacing w:line="360" w:lineRule="auto"/>
        <w:jc w:val="both"/>
        <w:rPr>
          <w:rFonts w:ascii="Arial" w:hAnsi="Arial"/>
          <w:rtl/>
        </w:rPr>
      </w:pPr>
    </w:p>
    <w:p w14:paraId="38FF3124" w14:textId="77777777" w:rsidR="00CC53A3" w:rsidRPr="00BF5A21" w:rsidRDefault="00CC53A3" w:rsidP="00CC53A3">
      <w:pPr>
        <w:numPr>
          <w:ilvl w:val="0"/>
          <w:numId w:val="1"/>
        </w:numPr>
        <w:spacing w:after="160" w:line="360" w:lineRule="auto"/>
        <w:contextualSpacing/>
        <w:jc w:val="both"/>
        <w:rPr>
          <w:rFonts w:ascii="Arial" w:hAnsi="Arial"/>
          <w:rtl/>
        </w:rPr>
      </w:pPr>
      <w:r w:rsidRPr="00BF5A21">
        <w:rPr>
          <w:rFonts w:ascii="Arial" w:hAnsi="Arial" w:hint="cs"/>
          <w:rtl/>
        </w:rPr>
        <w:t xml:space="preserve">התפרצות למקום מגורים/תפילה לבצע עבירה, בניגוד </w:t>
      </w:r>
      <w:hyperlink r:id="rId16" w:history="1">
        <w:r w:rsidR="00646494" w:rsidRPr="00646494">
          <w:rPr>
            <w:rFonts w:ascii="Arial" w:hAnsi="Arial"/>
            <w:color w:val="0000FF"/>
            <w:u w:val="single"/>
            <w:rtl/>
          </w:rPr>
          <w:t>לסעיף 406(ב)</w:t>
        </w:r>
      </w:hyperlink>
      <w:r w:rsidRPr="00BF5A21">
        <w:rPr>
          <w:rFonts w:ascii="Arial" w:hAnsi="Arial" w:hint="cs"/>
          <w:rtl/>
        </w:rPr>
        <w:t xml:space="preserve">  ל</w:t>
      </w:r>
      <w:hyperlink r:id="rId17" w:history="1">
        <w:r w:rsidR="001E0932" w:rsidRPr="001E0932">
          <w:rPr>
            <w:rFonts w:ascii="Arial" w:hAnsi="Arial"/>
            <w:color w:val="0000FF"/>
            <w:u w:val="single"/>
            <w:rtl/>
          </w:rPr>
          <w:t>חוק העונשין</w:t>
        </w:r>
      </w:hyperlink>
      <w:r w:rsidRPr="00BF5A21">
        <w:rPr>
          <w:rFonts w:ascii="Arial" w:hAnsi="Arial" w:hint="cs"/>
          <w:rtl/>
        </w:rPr>
        <w:t>, התשל"ז – 1977 (להלן: "החוק");</w:t>
      </w:r>
    </w:p>
    <w:p w14:paraId="310D06E6" w14:textId="77777777" w:rsidR="00CC53A3" w:rsidRPr="00BF5A21" w:rsidRDefault="00CC53A3" w:rsidP="00CC53A3">
      <w:pPr>
        <w:numPr>
          <w:ilvl w:val="0"/>
          <w:numId w:val="1"/>
        </w:numPr>
        <w:spacing w:after="160" w:line="360" w:lineRule="auto"/>
        <w:contextualSpacing/>
        <w:jc w:val="both"/>
        <w:rPr>
          <w:rFonts w:ascii="Arial" w:hAnsi="Arial"/>
        </w:rPr>
      </w:pPr>
      <w:r w:rsidRPr="00BF5A21">
        <w:rPr>
          <w:rFonts w:ascii="Arial" w:hAnsi="Arial" w:hint="cs"/>
          <w:rtl/>
        </w:rPr>
        <w:t xml:space="preserve">גניבה, בניגוד </w:t>
      </w:r>
      <w:hyperlink r:id="rId18" w:history="1">
        <w:r w:rsidR="00646494" w:rsidRPr="00646494">
          <w:rPr>
            <w:rFonts w:ascii="Arial" w:hAnsi="Arial"/>
            <w:color w:val="0000FF"/>
            <w:u w:val="single"/>
            <w:rtl/>
          </w:rPr>
          <w:t>לסעיף 384</w:t>
        </w:r>
      </w:hyperlink>
      <w:r w:rsidRPr="00BF5A21">
        <w:rPr>
          <w:rFonts w:ascii="Arial" w:hAnsi="Arial" w:hint="cs"/>
          <w:rtl/>
        </w:rPr>
        <w:t xml:space="preserve"> לאותו החוק.</w:t>
      </w:r>
    </w:p>
    <w:p w14:paraId="5BCE70B5" w14:textId="77777777" w:rsidR="00CC53A3" w:rsidRPr="00BF5A21" w:rsidRDefault="00CC53A3" w:rsidP="00CC53A3">
      <w:pPr>
        <w:numPr>
          <w:ilvl w:val="0"/>
          <w:numId w:val="1"/>
        </w:numPr>
        <w:spacing w:after="160" w:line="360" w:lineRule="auto"/>
        <w:contextualSpacing/>
        <w:jc w:val="both"/>
        <w:rPr>
          <w:rFonts w:ascii="Arial" w:hAnsi="Arial"/>
        </w:rPr>
      </w:pPr>
      <w:r>
        <w:rPr>
          <w:rFonts w:ascii="Arial" w:hAnsi="Arial" w:hint="cs"/>
          <w:rtl/>
        </w:rPr>
        <w:t>אחזקה/</w:t>
      </w:r>
      <w:r w:rsidRPr="00BF5A21">
        <w:rPr>
          <w:rFonts w:ascii="Arial" w:hAnsi="Arial" w:hint="cs"/>
          <w:rtl/>
        </w:rPr>
        <w:t xml:space="preserve">שימוש בסמים לצריכה עצמית, בניגוד </w:t>
      </w:r>
      <w:hyperlink r:id="rId19" w:history="1">
        <w:r w:rsidR="00646494" w:rsidRPr="00646494">
          <w:rPr>
            <w:rFonts w:ascii="Arial" w:hAnsi="Arial"/>
            <w:color w:val="0000FF"/>
            <w:u w:val="single"/>
            <w:rtl/>
          </w:rPr>
          <w:t>לסעיף 7(א)</w:t>
        </w:r>
      </w:hyperlink>
      <w:r w:rsidRPr="00BF5A21">
        <w:rPr>
          <w:rFonts w:ascii="Arial" w:hAnsi="Arial" w:hint="cs"/>
          <w:rtl/>
        </w:rPr>
        <w:t xml:space="preserve"> </w:t>
      </w:r>
      <w:r>
        <w:rPr>
          <w:rFonts w:ascii="Arial" w:hAnsi="Arial" w:hint="cs"/>
          <w:rtl/>
        </w:rPr>
        <w:t>ו-</w:t>
      </w:r>
      <w:hyperlink r:id="rId20" w:history="1">
        <w:r w:rsidR="00646494" w:rsidRPr="00646494">
          <w:rPr>
            <w:rFonts w:ascii="Arial" w:hAnsi="Arial"/>
            <w:color w:val="0000FF"/>
            <w:u w:val="single"/>
            <w:rtl/>
          </w:rPr>
          <w:t>(ג)</w:t>
        </w:r>
      </w:hyperlink>
      <w:r w:rsidRPr="00BF5A21">
        <w:rPr>
          <w:rFonts w:ascii="Arial" w:hAnsi="Arial" w:hint="cs"/>
          <w:rtl/>
        </w:rPr>
        <w:t xml:space="preserve"> סיפא ל</w:t>
      </w:r>
      <w:hyperlink r:id="rId21" w:history="1">
        <w:r w:rsidR="001E0932" w:rsidRPr="001E0932">
          <w:rPr>
            <w:rFonts w:ascii="Arial" w:hAnsi="Arial"/>
            <w:color w:val="0000FF"/>
            <w:u w:val="single"/>
            <w:rtl/>
          </w:rPr>
          <w:t>פקודת הסמים המסוכנים</w:t>
        </w:r>
      </w:hyperlink>
      <w:r w:rsidRPr="00BF5A21">
        <w:rPr>
          <w:rFonts w:ascii="Arial" w:hAnsi="Arial" w:hint="cs"/>
          <w:rtl/>
        </w:rPr>
        <w:t xml:space="preserve"> [נוסח חדש], תשל"ג – 1973.  </w:t>
      </w:r>
    </w:p>
    <w:p w14:paraId="19C6B0B7" w14:textId="77777777" w:rsidR="00CC53A3" w:rsidRPr="00BF5A21" w:rsidRDefault="00CC53A3" w:rsidP="00CC53A3">
      <w:pPr>
        <w:spacing w:line="360" w:lineRule="auto"/>
        <w:jc w:val="both"/>
        <w:rPr>
          <w:rFonts w:ascii="Arial" w:hAnsi="Arial"/>
        </w:rPr>
      </w:pPr>
      <w:bookmarkStart w:id="7" w:name="ABSTRACT_END"/>
      <w:bookmarkEnd w:id="7"/>
    </w:p>
    <w:p w14:paraId="7676119A" w14:textId="77777777" w:rsidR="00CC53A3" w:rsidRPr="00BF5A21" w:rsidRDefault="00CC53A3" w:rsidP="00CC53A3">
      <w:pPr>
        <w:spacing w:line="360" w:lineRule="auto"/>
        <w:jc w:val="both"/>
        <w:rPr>
          <w:rFonts w:ascii="Arial" w:hAnsi="Arial"/>
          <w:rtl/>
        </w:rPr>
      </w:pPr>
      <w:r w:rsidRPr="00BF5A21">
        <w:rPr>
          <w:rFonts w:ascii="Arial" w:hAnsi="Arial" w:hint="cs"/>
          <w:rtl/>
        </w:rPr>
        <w:lastRenderedPageBreak/>
        <w:t>בהתאם לעובדות כתב האישום המתוקן (סומן כא/1), בהן הורשע הנאשם במסגרת הסדר טיעון, בתאריך 11.</w:t>
      </w:r>
      <w:r>
        <w:rPr>
          <w:rFonts w:ascii="Arial" w:hAnsi="Arial" w:hint="cs"/>
          <w:rtl/>
        </w:rPr>
        <w:t>02</w:t>
      </w:r>
      <w:r w:rsidRPr="00BF5A21">
        <w:rPr>
          <w:rFonts w:ascii="Arial" w:hAnsi="Arial" w:hint="cs"/>
          <w:rtl/>
        </w:rPr>
        <w:t xml:space="preserve">.2014, בין השעות 08:00 – 14:00,  התפרץ הנאשם לבית ברחוב ס"ה 51 בכפר שלם, </w:t>
      </w:r>
      <w:r>
        <w:rPr>
          <w:rFonts w:ascii="Arial" w:hAnsi="Arial" w:hint="cs"/>
          <w:rtl/>
        </w:rPr>
        <w:t>בו מתגורר</w:t>
      </w:r>
      <w:r w:rsidRPr="00BF5A21">
        <w:rPr>
          <w:rFonts w:ascii="Arial" w:hAnsi="Arial" w:hint="cs"/>
          <w:rtl/>
        </w:rPr>
        <w:t xml:space="preserve"> </w:t>
      </w:r>
      <w:r>
        <w:rPr>
          <w:rFonts w:ascii="Arial" w:hAnsi="Arial" w:hint="cs"/>
          <w:rtl/>
        </w:rPr>
        <w:t xml:space="preserve">מר </w:t>
      </w:r>
      <w:r w:rsidRPr="00BF5A21">
        <w:rPr>
          <w:rFonts w:ascii="Arial" w:hAnsi="Arial" w:hint="cs"/>
          <w:rtl/>
        </w:rPr>
        <w:t>ויקטור בנסון ( להלן: "</w:t>
      </w:r>
      <w:r>
        <w:rPr>
          <w:rFonts w:ascii="Arial" w:hAnsi="Arial" w:hint="cs"/>
          <w:rtl/>
        </w:rPr>
        <w:t>נפגע העבירה</w:t>
      </w:r>
      <w:r w:rsidRPr="00BF5A21">
        <w:rPr>
          <w:rFonts w:ascii="Arial" w:hAnsi="Arial" w:hint="cs"/>
          <w:rtl/>
        </w:rPr>
        <w:t xml:space="preserve">") </w:t>
      </w:r>
      <w:r>
        <w:rPr>
          <w:rFonts w:ascii="Arial" w:hAnsi="Arial" w:hint="cs"/>
          <w:rtl/>
        </w:rPr>
        <w:t>– חבר לשעבר של בת הזוג של הנאשם;</w:t>
      </w:r>
      <w:r w:rsidRPr="00BF5A21">
        <w:rPr>
          <w:rFonts w:ascii="Arial" w:hAnsi="Arial" w:hint="cs"/>
          <w:rtl/>
        </w:rPr>
        <w:t xml:space="preserve"> דחף את דלת הבית הסגורה באמצעות כתפו ונכנס אל תוך הבית בכוונה </w:t>
      </w:r>
      <w:r>
        <w:rPr>
          <w:rFonts w:ascii="Arial" w:hAnsi="Arial" w:hint="cs"/>
          <w:rtl/>
        </w:rPr>
        <w:t>לגנוב</w:t>
      </w:r>
      <w:r w:rsidRPr="00BF5A21">
        <w:rPr>
          <w:rFonts w:ascii="Arial" w:hAnsi="Arial" w:hint="cs"/>
          <w:rtl/>
        </w:rPr>
        <w:t>.</w:t>
      </w:r>
    </w:p>
    <w:p w14:paraId="2A8E38D5" w14:textId="77777777" w:rsidR="00CC53A3" w:rsidRDefault="00CC53A3" w:rsidP="00CC53A3">
      <w:pPr>
        <w:spacing w:line="360" w:lineRule="auto"/>
        <w:jc w:val="both"/>
        <w:rPr>
          <w:rFonts w:ascii="Arial" w:hAnsi="Arial"/>
          <w:rtl/>
        </w:rPr>
      </w:pPr>
      <w:r w:rsidRPr="00BF5A21">
        <w:rPr>
          <w:rFonts w:ascii="Arial" w:hAnsi="Arial" w:hint="cs"/>
          <w:rtl/>
        </w:rPr>
        <w:t>על פי עובדות כתב האישום</w:t>
      </w:r>
      <w:r>
        <w:rPr>
          <w:rFonts w:ascii="Arial" w:hAnsi="Arial" w:hint="cs"/>
          <w:rtl/>
        </w:rPr>
        <w:t xml:space="preserve"> המתוקן</w:t>
      </w:r>
      <w:r w:rsidRPr="00BF5A21">
        <w:rPr>
          <w:rFonts w:ascii="Arial" w:hAnsi="Arial" w:hint="cs"/>
          <w:rtl/>
        </w:rPr>
        <w:t>, הנאשם גנב מהבית קונסולת משחקים (</w:t>
      </w:r>
      <w:r w:rsidRPr="00BF5A21">
        <w:rPr>
          <w:rFonts w:ascii="Arial" w:hAnsi="Arial"/>
        </w:rPr>
        <w:t>X-BOX</w:t>
      </w:r>
      <w:r w:rsidRPr="00BF5A21">
        <w:rPr>
          <w:rFonts w:ascii="Arial" w:hAnsi="Arial" w:hint="cs"/>
          <w:rtl/>
        </w:rPr>
        <w:t>), טאבלט, מחשב נייד (</w:t>
      </w:r>
      <w:r w:rsidRPr="00BF5A21">
        <w:rPr>
          <w:rFonts w:ascii="Arial" w:hAnsi="Arial"/>
        </w:rPr>
        <w:t>TOSHIBA</w:t>
      </w:r>
      <w:r w:rsidRPr="00BF5A21">
        <w:rPr>
          <w:rFonts w:ascii="Arial" w:hAnsi="Arial" w:hint="cs"/>
          <w:rtl/>
        </w:rPr>
        <w:t>) וכסף מזומן (1,500 יורו ו – 7,000 דולר), ללא הסכמת הבעלים ומתוך כוונה לשלול הפריטים שלילת קבע.</w:t>
      </w:r>
    </w:p>
    <w:p w14:paraId="2D270ED5" w14:textId="77777777" w:rsidR="00CC53A3" w:rsidRPr="00BF5A21" w:rsidRDefault="00CC53A3" w:rsidP="00CC53A3">
      <w:pPr>
        <w:spacing w:line="360" w:lineRule="auto"/>
        <w:jc w:val="both"/>
        <w:rPr>
          <w:rFonts w:ascii="Arial" w:hAnsi="Arial"/>
          <w:rtl/>
        </w:rPr>
      </w:pPr>
    </w:p>
    <w:p w14:paraId="4E70D7D8" w14:textId="77777777" w:rsidR="00CC53A3" w:rsidRPr="00BF5A21" w:rsidRDefault="00CC53A3" w:rsidP="00CC53A3">
      <w:pPr>
        <w:spacing w:line="360" w:lineRule="auto"/>
        <w:jc w:val="both"/>
        <w:rPr>
          <w:rFonts w:ascii="Arial" w:hAnsi="Arial"/>
          <w:rtl/>
        </w:rPr>
      </w:pPr>
      <w:r w:rsidRPr="00BF5A21">
        <w:rPr>
          <w:rFonts w:ascii="Arial" w:hAnsi="Arial" w:hint="cs"/>
          <w:rtl/>
        </w:rPr>
        <w:t>בהתאם לעובדות האישום השני, בתאריך 18.</w:t>
      </w:r>
      <w:r>
        <w:rPr>
          <w:rFonts w:ascii="Arial" w:hAnsi="Arial" w:hint="cs"/>
          <w:rtl/>
        </w:rPr>
        <w:t>03</w:t>
      </w:r>
      <w:r w:rsidRPr="00BF5A21">
        <w:rPr>
          <w:rFonts w:ascii="Arial" w:hAnsi="Arial" w:hint="cs"/>
          <w:rtl/>
        </w:rPr>
        <w:t xml:space="preserve">.2014, סמוך לשעה 18:20, ברחוב נחל מישר 206/1 במצפה רמון, </w:t>
      </w:r>
      <w:r>
        <w:rPr>
          <w:rFonts w:ascii="Arial" w:hAnsi="Arial" w:hint="cs"/>
          <w:rtl/>
        </w:rPr>
        <w:t xml:space="preserve">נתפס הנאשם מחזיק </w:t>
      </w:r>
      <w:r w:rsidRPr="00BF5A21">
        <w:rPr>
          <w:rFonts w:ascii="Arial" w:hAnsi="Arial" w:hint="cs"/>
          <w:rtl/>
        </w:rPr>
        <w:t xml:space="preserve">סם מסוכן מסוג </w:t>
      </w:r>
      <w:r>
        <w:rPr>
          <w:rFonts w:ascii="Arial" w:hAnsi="Arial" w:hint="cs"/>
          <w:rtl/>
        </w:rPr>
        <w:t xml:space="preserve">קנביס, בצורת </w:t>
      </w:r>
      <w:r w:rsidRPr="00BF5A21">
        <w:rPr>
          <w:rFonts w:ascii="Arial" w:hAnsi="Arial" w:hint="cs"/>
          <w:rtl/>
        </w:rPr>
        <w:t>חשיש</w:t>
      </w:r>
      <w:r>
        <w:rPr>
          <w:rFonts w:ascii="Arial" w:hAnsi="Arial" w:hint="cs"/>
          <w:rtl/>
        </w:rPr>
        <w:t xml:space="preserve">, במשקל 1.3 גרם נטו וכן </w:t>
      </w:r>
      <w:r w:rsidRPr="00BF5A21">
        <w:rPr>
          <w:rFonts w:ascii="Arial" w:hAnsi="Arial" w:hint="cs"/>
          <w:rtl/>
        </w:rPr>
        <w:t>סם מסוכן מסוג קנב</w:t>
      </w:r>
      <w:r>
        <w:rPr>
          <w:rFonts w:ascii="Arial" w:hAnsi="Arial" w:hint="cs"/>
          <w:rtl/>
        </w:rPr>
        <w:t>י</w:t>
      </w:r>
      <w:r w:rsidRPr="00BF5A21">
        <w:rPr>
          <w:rFonts w:ascii="Arial" w:hAnsi="Arial" w:hint="cs"/>
          <w:rtl/>
        </w:rPr>
        <w:t>ס במשקל 6.5 גרם נטו, לצריכה עצמית ו</w:t>
      </w:r>
      <w:r>
        <w:rPr>
          <w:rFonts w:ascii="Arial" w:hAnsi="Arial" w:hint="cs"/>
          <w:rtl/>
        </w:rPr>
        <w:t>מבלי שהדבר הותר לו בתקנות או בר</w:t>
      </w:r>
      <w:r w:rsidRPr="00BF5A21">
        <w:rPr>
          <w:rFonts w:ascii="Arial" w:hAnsi="Arial" w:hint="cs"/>
          <w:rtl/>
        </w:rPr>
        <w:t>שיון מאת המנהל.</w:t>
      </w:r>
    </w:p>
    <w:p w14:paraId="5A156AD6" w14:textId="77777777" w:rsidR="00CC53A3" w:rsidRPr="00BF5A21" w:rsidRDefault="00CC53A3" w:rsidP="00CC53A3">
      <w:pPr>
        <w:spacing w:line="360" w:lineRule="auto"/>
        <w:jc w:val="both"/>
        <w:rPr>
          <w:rFonts w:ascii="Arial" w:hAnsi="Arial"/>
          <w:rtl/>
        </w:rPr>
      </w:pPr>
    </w:p>
    <w:p w14:paraId="02B066C4" w14:textId="77777777" w:rsidR="00CC53A3" w:rsidRPr="00BF5A21" w:rsidRDefault="00CC53A3" w:rsidP="00CC53A3">
      <w:pPr>
        <w:spacing w:line="360" w:lineRule="auto"/>
        <w:jc w:val="both"/>
        <w:rPr>
          <w:rFonts w:ascii="Arial" w:hAnsi="Arial"/>
          <w:rtl/>
        </w:rPr>
      </w:pPr>
      <w:r w:rsidRPr="00BF5A21">
        <w:rPr>
          <w:rFonts w:ascii="Arial" w:hAnsi="Arial" w:hint="cs"/>
          <w:rtl/>
        </w:rPr>
        <w:t>בין הצדדים נקשר הסדר, במסגרתו תוקן כתב האישום, והנאשם הופנה לחקירת שירות המבחן למבוגרים.</w:t>
      </w:r>
    </w:p>
    <w:p w14:paraId="44632A92" w14:textId="77777777" w:rsidR="00CC53A3" w:rsidRPr="00BF5A21" w:rsidRDefault="00CC53A3" w:rsidP="00CC53A3">
      <w:pPr>
        <w:spacing w:line="360" w:lineRule="auto"/>
        <w:jc w:val="both"/>
        <w:rPr>
          <w:rFonts w:ascii="Arial" w:hAnsi="Arial"/>
          <w:rtl/>
        </w:rPr>
      </w:pPr>
    </w:p>
    <w:p w14:paraId="2B64F3D1"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במסגרת ההסדר, אשר הוצג ביום </w:t>
      </w:r>
      <w:r>
        <w:rPr>
          <w:rFonts w:ascii="Arial" w:hAnsi="Arial" w:hint="cs"/>
          <w:rtl/>
        </w:rPr>
        <w:t>01</w:t>
      </w:r>
      <w:r w:rsidRPr="00BF5A21">
        <w:rPr>
          <w:rFonts w:ascii="Arial" w:hAnsi="Arial" w:hint="cs"/>
          <w:rtl/>
        </w:rPr>
        <w:t>.</w:t>
      </w:r>
      <w:r>
        <w:rPr>
          <w:rFonts w:ascii="Arial" w:hAnsi="Arial" w:hint="cs"/>
          <w:rtl/>
        </w:rPr>
        <w:t>05</w:t>
      </w:r>
      <w:r w:rsidRPr="00BF5A21">
        <w:rPr>
          <w:rFonts w:ascii="Arial" w:hAnsi="Arial" w:hint="cs"/>
          <w:rtl/>
        </w:rPr>
        <w:t xml:space="preserve">.2014, </w:t>
      </w:r>
      <w:r>
        <w:rPr>
          <w:rFonts w:ascii="Arial" w:hAnsi="Arial" w:hint="cs"/>
          <w:rtl/>
        </w:rPr>
        <w:t>לא הגיעו הצדדים להסכמות ענשיות</w:t>
      </w:r>
      <w:r w:rsidRPr="00BF5A21">
        <w:rPr>
          <w:rFonts w:ascii="Arial" w:hAnsi="Arial" w:hint="cs"/>
          <w:rtl/>
        </w:rPr>
        <w:t xml:space="preserve"> והמאשימה ציינה</w:t>
      </w:r>
      <w:r>
        <w:rPr>
          <w:rFonts w:ascii="Arial" w:hAnsi="Arial" w:hint="cs"/>
          <w:rtl/>
        </w:rPr>
        <w:t>,</w:t>
      </w:r>
      <w:r w:rsidRPr="00BF5A21">
        <w:rPr>
          <w:rFonts w:ascii="Arial" w:hAnsi="Arial" w:hint="cs"/>
          <w:rtl/>
        </w:rPr>
        <w:t xml:space="preserve"> כי עמדתה למאסר בפועל. </w:t>
      </w:r>
    </w:p>
    <w:p w14:paraId="5AEA5C0F" w14:textId="77777777" w:rsidR="00CC53A3" w:rsidRPr="00BF5A21" w:rsidRDefault="00CC53A3" w:rsidP="00CC53A3">
      <w:pPr>
        <w:spacing w:line="360" w:lineRule="auto"/>
        <w:jc w:val="both"/>
        <w:rPr>
          <w:rFonts w:ascii="Arial" w:hAnsi="Arial"/>
          <w:rtl/>
        </w:rPr>
      </w:pPr>
    </w:p>
    <w:p w14:paraId="6BDAA20F" w14:textId="77777777" w:rsidR="00CC53A3" w:rsidRPr="00BF5A21" w:rsidRDefault="00CC53A3" w:rsidP="00CC53A3">
      <w:pPr>
        <w:spacing w:line="360" w:lineRule="auto"/>
        <w:jc w:val="both"/>
        <w:rPr>
          <w:rFonts w:ascii="Arial" w:hAnsi="Arial"/>
          <w:rtl/>
        </w:rPr>
      </w:pPr>
    </w:p>
    <w:p w14:paraId="3D8807E5" w14:textId="77777777" w:rsidR="00CC53A3" w:rsidRPr="00BF5A21" w:rsidRDefault="00CC53A3" w:rsidP="00CC53A3">
      <w:pPr>
        <w:spacing w:line="360" w:lineRule="auto"/>
        <w:jc w:val="both"/>
        <w:rPr>
          <w:rFonts w:ascii="Arial" w:hAnsi="Arial"/>
          <w:rtl/>
        </w:rPr>
      </w:pPr>
      <w:r w:rsidRPr="00BF5A21">
        <w:rPr>
          <w:rFonts w:ascii="Arial" w:hAnsi="Arial" w:hint="cs"/>
          <w:b/>
          <w:bCs/>
          <w:rtl/>
        </w:rPr>
        <w:t>תסקיר</w:t>
      </w:r>
      <w:r>
        <w:rPr>
          <w:rFonts w:ascii="Arial" w:hAnsi="Arial" w:hint="cs"/>
          <w:b/>
          <w:bCs/>
          <w:rtl/>
        </w:rPr>
        <w:t>י</w:t>
      </w:r>
      <w:r w:rsidRPr="00BF5A21">
        <w:rPr>
          <w:rFonts w:ascii="Arial" w:hAnsi="Arial" w:hint="cs"/>
          <w:b/>
          <w:bCs/>
          <w:rtl/>
        </w:rPr>
        <w:t xml:space="preserve"> שירות המבחן למבוגרים</w:t>
      </w:r>
    </w:p>
    <w:p w14:paraId="26A3AC24" w14:textId="77777777" w:rsidR="00CC53A3" w:rsidRPr="00BF5A21" w:rsidRDefault="00CC53A3" w:rsidP="00CC53A3">
      <w:pPr>
        <w:spacing w:line="360" w:lineRule="auto"/>
        <w:jc w:val="both"/>
        <w:rPr>
          <w:rFonts w:ascii="Arial" w:hAnsi="Arial"/>
          <w:rtl/>
        </w:rPr>
      </w:pPr>
    </w:p>
    <w:p w14:paraId="700FB3A6" w14:textId="77777777" w:rsidR="00CC53A3" w:rsidRDefault="00CC53A3" w:rsidP="00CC53A3">
      <w:pPr>
        <w:spacing w:line="360" w:lineRule="auto"/>
        <w:jc w:val="both"/>
        <w:rPr>
          <w:rFonts w:ascii="Arial" w:hAnsi="Arial"/>
          <w:rtl/>
        </w:rPr>
      </w:pPr>
      <w:r w:rsidRPr="00BF5A21">
        <w:rPr>
          <w:rFonts w:ascii="Arial" w:hAnsi="Arial" w:hint="cs"/>
          <w:rtl/>
        </w:rPr>
        <w:t>בענינו של הנאשם הוגש</w:t>
      </w:r>
      <w:r>
        <w:rPr>
          <w:rFonts w:ascii="Arial" w:hAnsi="Arial" w:hint="cs"/>
          <w:rtl/>
        </w:rPr>
        <w:t>ו מספר</w:t>
      </w:r>
      <w:r w:rsidRPr="00BF5A21">
        <w:rPr>
          <w:rFonts w:ascii="Arial" w:hAnsi="Arial" w:hint="cs"/>
          <w:rtl/>
        </w:rPr>
        <w:t xml:space="preserve"> תסקיר</w:t>
      </w:r>
      <w:r>
        <w:rPr>
          <w:rFonts w:ascii="Arial" w:hAnsi="Arial" w:hint="cs"/>
          <w:rtl/>
        </w:rPr>
        <w:t>ים,</w:t>
      </w:r>
      <w:r w:rsidRPr="00BF5A21">
        <w:rPr>
          <w:rFonts w:ascii="Arial" w:hAnsi="Arial" w:hint="cs"/>
          <w:rtl/>
        </w:rPr>
        <w:t xml:space="preserve"> המפרט</w:t>
      </w:r>
      <w:r>
        <w:rPr>
          <w:rFonts w:ascii="Arial" w:hAnsi="Arial" w:hint="cs"/>
          <w:rtl/>
        </w:rPr>
        <w:t>ים</w:t>
      </w:r>
      <w:r w:rsidRPr="00BF5A21">
        <w:rPr>
          <w:rFonts w:ascii="Arial" w:hAnsi="Arial" w:hint="cs"/>
          <w:rtl/>
        </w:rPr>
        <w:t xml:space="preserve"> את נסיבות</w:t>
      </w:r>
      <w:r>
        <w:rPr>
          <w:rFonts w:ascii="Arial" w:hAnsi="Arial" w:hint="cs"/>
          <w:rtl/>
        </w:rPr>
        <w:t>יו האישיות, כבן 42, גרוש, אב לש</w:t>
      </w:r>
      <w:r w:rsidRPr="00BF5A21">
        <w:rPr>
          <w:rFonts w:ascii="Arial" w:hAnsi="Arial" w:hint="cs"/>
          <w:rtl/>
        </w:rPr>
        <w:t>שה ילדים</w:t>
      </w:r>
      <w:r>
        <w:rPr>
          <w:rFonts w:ascii="Arial" w:hAnsi="Arial" w:hint="cs"/>
          <w:rtl/>
        </w:rPr>
        <w:t xml:space="preserve"> משתי נשים אותן הכיר בישראל, וכעת מנהל מערכת יחסים זוגית עם אשה שלישית, ומסייע בגידול בנה ממערכת יחסים קודמת. </w:t>
      </w:r>
      <w:r w:rsidRPr="00BF5A21">
        <w:rPr>
          <w:rFonts w:ascii="Arial" w:hAnsi="Arial" w:hint="cs"/>
          <w:rtl/>
        </w:rPr>
        <w:t>אין ברור מעמדו החוקי בישראל.</w:t>
      </w:r>
    </w:p>
    <w:p w14:paraId="256BC797" w14:textId="77777777" w:rsidR="00CC53A3" w:rsidRPr="00BF5A21" w:rsidRDefault="00CC53A3" w:rsidP="00CC53A3">
      <w:pPr>
        <w:spacing w:line="360" w:lineRule="auto"/>
        <w:jc w:val="both"/>
        <w:rPr>
          <w:rFonts w:ascii="Arial" w:hAnsi="Arial"/>
          <w:rtl/>
        </w:rPr>
      </w:pPr>
    </w:p>
    <w:p w14:paraId="32D4AF11"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כיום מתגורר יחד עם בת זוגו ובנה מנישואים קודמים במצפה רמון, ועד לאחרונה </w:t>
      </w:r>
      <w:r>
        <w:rPr>
          <w:rFonts w:ascii="Arial" w:hAnsi="Arial" w:hint="cs"/>
          <w:rtl/>
        </w:rPr>
        <w:t xml:space="preserve">ניהל </w:t>
      </w:r>
      <w:r w:rsidRPr="00BF5A21">
        <w:rPr>
          <w:rFonts w:ascii="Arial" w:hAnsi="Arial" w:hint="cs"/>
          <w:rtl/>
        </w:rPr>
        <w:t xml:space="preserve"> עסק עצמאי – מסעדת סושי – בר, אשר נסגרה. </w:t>
      </w:r>
      <w:r>
        <w:rPr>
          <w:rFonts w:ascii="Arial" w:hAnsi="Arial" w:hint="cs"/>
          <w:rtl/>
        </w:rPr>
        <w:t>לדברי הנאשם, נמצא בהליכים לקבלת ר</w:t>
      </w:r>
      <w:r w:rsidRPr="00BF5A21">
        <w:rPr>
          <w:rFonts w:ascii="Arial" w:hAnsi="Arial" w:hint="cs"/>
          <w:rtl/>
        </w:rPr>
        <w:t>שיון לפתיחתה מחדש.</w:t>
      </w:r>
    </w:p>
    <w:p w14:paraId="244CF665" w14:textId="77777777" w:rsidR="00CC53A3" w:rsidRPr="00BF5A21" w:rsidRDefault="00CC53A3" w:rsidP="00CC53A3">
      <w:pPr>
        <w:spacing w:line="360" w:lineRule="auto"/>
        <w:jc w:val="both"/>
        <w:rPr>
          <w:rFonts w:ascii="Arial" w:hAnsi="Arial"/>
          <w:rtl/>
        </w:rPr>
      </w:pPr>
    </w:p>
    <w:p w14:paraId="379544A7" w14:textId="77777777" w:rsidR="00CC53A3" w:rsidRPr="00BF5A21" w:rsidRDefault="00CC53A3" w:rsidP="00CC53A3">
      <w:pPr>
        <w:spacing w:line="360" w:lineRule="auto"/>
        <w:jc w:val="both"/>
        <w:rPr>
          <w:rFonts w:ascii="Arial" w:hAnsi="Arial"/>
          <w:rtl/>
        </w:rPr>
      </w:pPr>
      <w:r w:rsidRPr="00BF5A21">
        <w:rPr>
          <w:rFonts w:ascii="Arial" w:hAnsi="Arial" w:hint="cs"/>
          <w:rtl/>
        </w:rPr>
        <w:t>לדברי הנאשם, נולד וגדל בניגריה, כשהיה בן 5 התגרשו הוריו, המשיך להתגורר יחד עם אחיו אצל האם. הנאשם תיאר ילדות נורמטיבית תקינה, במסגרתה סיים 12 שנות לימוד שלאחריהן סיים לימודי תעודה בתחום עיבוד נתונים באוניברסיטת בנין בניגריה.</w:t>
      </w:r>
    </w:p>
    <w:p w14:paraId="74778AD7" w14:textId="77777777" w:rsidR="00CC53A3" w:rsidRPr="00BF5A21" w:rsidRDefault="00CC53A3" w:rsidP="00CC53A3">
      <w:pPr>
        <w:spacing w:line="360" w:lineRule="auto"/>
        <w:jc w:val="both"/>
        <w:rPr>
          <w:rFonts w:ascii="Arial" w:hAnsi="Arial"/>
          <w:rtl/>
        </w:rPr>
      </w:pPr>
    </w:p>
    <w:p w14:paraId="29164195" w14:textId="77777777" w:rsidR="00CC53A3" w:rsidRPr="00BF5A21" w:rsidRDefault="00CC53A3" w:rsidP="00CC53A3">
      <w:pPr>
        <w:spacing w:line="360" w:lineRule="auto"/>
        <w:jc w:val="both"/>
        <w:rPr>
          <w:rFonts w:ascii="Arial" w:hAnsi="Arial"/>
          <w:rtl/>
        </w:rPr>
      </w:pPr>
      <w:r w:rsidRPr="00BF5A21">
        <w:rPr>
          <w:rFonts w:ascii="Arial" w:hAnsi="Arial" w:hint="cs"/>
          <w:rtl/>
        </w:rPr>
        <w:t>בשנת 1995 הגיע עם אמו לישראל לטיול מסיבות דתיות</w:t>
      </w:r>
      <w:r>
        <w:rPr>
          <w:rFonts w:ascii="Arial" w:hAnsi="Arial" w:hint="cs"/>
          <w:rtl/>
        </w:rPr>
        <w:t xml:space="preserve"> (צלינות)</w:t>
      </w:r>
      <w:r w:rsidRPr="00BF5A21">
        <w:rPr>
          <w:rFonts w:ascii="Arial" w:hAnsi="Arial" w:hint="cs"/>
          <w:rtl/>
        </w:rPr>
        <w:t>, אמו חזרה לניגריה והנאשם בחר להישאר</w:t>
      </w:r>
      <w:r>
        <w:rPr>
          <w:rFonts w:ascii="Arial" w:hAnsi="Arial" w:hint="cs"/>
          <w:rtl/>
        </w:rPr>
        <w:t xml:space="preserve"> בישראל</w:t>
      </w:r>
      <w:r w:rsidRPr="00BF5A21">
        <w:rPr>
          <w:rFonts w:ascii="Arial" w:hAnsi="Arial" w:hint="cs"/>
          <w:rtl/>
        </w:rPr>
        <w:t>.</w:t>
      </w:r>
    </w:p>
    <w:p w14:paraId="55DEC51F" w14:textId="77777777" w:rsidR="00CC53A3" w:rsidRPr="00BF5A21" w:rsidRDefault="00CC53A3" w:rsidP="00CC53A3">
      <w:pPr>
        <w:spacing w:line="360" w:lineRule="auto"/>
        <w:jc w:val="both"/>
        <w:rPr>
          <w:rFonts w:ascii="Arial" w:hAnsi="Arial"/>
          <w:rtl/>
        </w:rPr>
      </w:pPr>
      <w:r w:rsidRPr="00BF5A21">
        <w:rPr>
          <w:rFonts w:ascii="Arial" w:hAnsi="Arial" w:hint="cs"/>
          <w:rtl/>
        </w:rPr>
        <w:lastRenderedPageBreak/>
        <w:t xml:space="preserve">בשנים 1995 – 2010 עבד בבתי מלון במצפה רמון ובאילת, תוך התקדמות מקצועית מתפקידים זוטרים ועד לתפקיד שף מטבח חלבי במלון רויאל ביץ'. במהלך עבודתו, סיים בהצלחה לימודי טבחות מטעם </w:t>
      </w:r>
      <w:r>
        <w:rPr>
          <w:rFonts w:ascii="Arial" w:hAnsi="Arial" w:hint="cs"/>
          <w:rtl/>
        </w:rPr>
        <w:t>בית הספר</w:t>
      </w:r>
      <w:r w:rsidRPr="00BF5A21">
        <w:rPr>
          <w:rFonts w:ascii="Arial" w:hAnsi="Arial" w:hint="cs"/>
          <w:rtl/>
        </w:rPr>
        <w:t xml:space="preserve"> הבינלאומי למלונאות באילת.</w:t>
      </w:r>
    </w:p>
    <w:p w14:paraId="5E3D27DA"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לאחר שעזב את עבודתו בבית המלון </w:t>
      </w:r>
      <w:r>
        <w:rPr>
          <w:rFonts w:ascii="Arial" w:hAnsi="Arial" w:hint="cs"/>
          <w:rtl/>
        </w:rPr>
        <w:t>הקים, בשנת 2010,</w:t>
      </w:r>
      <w:r w:rsidRPr="00BF5A21">
        <w:rPr>
          <w:rFonts w:ascii="Arial" w:hAnsi="Arial" w:hint="cs"/>
          <w:rtl/>
        </w:rPr>
        <w:t xml:space="preserve"> עסק עצמאי.</w:t>
      </w:r>
    </w:p>
    <w:p w14:paraId="6B2EBE1E" w14:textId="77777777" w:rsidR="00CC53A3" w:rsidRPr="00BF5A21" w:rsidRDefault="00CC53A3" w:rsidP="00CC53A3">
      <w:pPr>
        <w:spacing w:line="360" w:lineRule="auto"/>
        <w:jc w:val="both"/>
        <w:rPr>
          <w:rFonts w:ascii="Arial" w:hAnsi="Arial"/>
          <w:rtl/>
        </w:rPr>
      </w:pPr>
    </w:p>
    <w:p w14:paraId="7B4082A0" w14:textId="77777777" w:rsidR="00CC53A3" w:rsidRPr="00BF5A21" w:rsidRDefault="00CC53A3" w:rsidP="00CC53A3">
      <w:pPr>
        <w:spacing w:line="360" w:lineRule="auto"/>
        <w:jc w:val="both"/>
        <w:rPr>
          <w:rFonts w:ascii="Arial" w:hAnsi="Arial"/>
          <w:rtl/>
        </w:rPr>
      </w:pPr>
      <w:r w:rsidRPr="00BF5A21">
        <w:rPr>
          <w:rFonts w:ascii="Arial" w:hAnsi="Arial" w:hint="cs"/>
          <w:rtl/>
        </w:rPr>
        <w:t>הנאשם סיפר כי מצבו הרפואי ירוד והינו סבול מכאבי גב, בגינם מטופל בתרופות</w:t>
      </w:r>
      <w:r>
        <w:rPr>
          <w:rFonts w:ascii="Arial" w:hAnsi="Arial" w:hint="cs"/>
          <w:rtl/>
        </w:rPr>
        <w:t>,</w:t>
      </w:r>
      <w:r w:rsidRPr="00BF5A21">
        <w:rPr>
          <w:rFonts w:ascii="Arial" w:hAnsi="Arial" w:hint="cs"/>
          <w:rtl/>
        </w:rPr>
        <w:t xml:space="preserve"> להן תופעות לוואי כגון חוסר תאבון, מצב רוח ירוד ועצבנות יתר. לדבריו, בשל תופעות אלו </w:t>
      </w:r>
      <w:r>
        <w:rPr>
          <w:rFonts w:ascii="Arial" w:hAnsi="Arial" w:hint="cs"/>
          <w:rtl/>
        </w:rPr>
        <w:t>החל משתמש</w:t>
      </w:r>
      <w:r w:rsidRPr="00BF5A21">
        <w:rPr>
          <w:rFonts w:ascii="Arial" w:hAnsi="Arial" w:hint="cs"/>
          <w:rtl/>
        </w:rPr>
        <w:t xml:space="preserve"> ב</w:t>
      </w:r>
      <w:r>
        <w:rPr>
          <w:rFonts w:ascii="Arial" w:hAnsi="Arial" w:hint="cs"/>
          <w:rtl/>
        </w:rPr>
        <w:t xml:space="preserve">סם מסוג </w:t>
      </w:r>
      <w:r w:rsidRPr="00BF5A21">
        <w:rPr>
          <w:rFonts w:ascii="Arial" w:hAnsi="Arial" w:hint="cs"/>
          <w:rtl/>
        </w:rPr>
        <w:t>קנב</w:t>
      </w:r>
      <w:r>
        <w:rPr>
          <w:rFonts w:ascii="Arial" w:hAnsi="Arial" w:hint="cs"/>
          <w:rtl/>
        </w:rPr>
        <w:t>י</w:t>
      </w:r>
      <w:r w:rsidRPr="00BF5A21">
        <w:rPr>
          <w:rFonts w:ascii="Arial" w:hAnsi="Arial" w:hint="cs"/>
          <w:rtl/>
        </w:rPr>
        <w:t xml:space="preserve">ס.  </w:t>
      </w:r>
    </w:p>
    <w:p w14:paraId="74E02C88" w14:textId="77777777" w:rsidR="00CC53A3" w:rsidRPr="00BF5A21" w:rsidRDefault="00CC53A3" w:rsidP="00CC53A3">
      <w:pPr>
        <w:spacing w:line="360" w:lineRule="auto"/>
        <w:jc w:val="both"/>
        <w:rPr>
          <w:rFonts w:ascii="Arial" w:hAnsi="Arial"/>
          <w:rtl/>
        </w:rPr>
      </w:pPr>
    </w:p>
    <w:p w14:paraId="571959B6"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הנאשם הופנה לבדיקות </w:t>
      </w:r>
      <w:r>
        <w:rPr>
          <w:rFonts w:ascii="Arial" w:hAnsi="Arial" w:hint="cs"/>
          <w:rtl/>
        </w:rPr>
        <w:t>לגילוי שרידי סם</w:t>
      </w:r>
      <w:r w:rsidRPr="00BF5A21">
        <w:rPr>
          <w:rFonts w:ascii="Arial" w:hAnsi="Arial" w:hint="cs"/>
          <w:rtl/>
        </w:rPr>
        <w:t xml:space="preserve"> מטעם שירות המבחן</w:t>
      </w:r>
      <w:r>
        <w:rPr>
          <w:rFonts w:ascii="Arial" w:hAnsi="Arial" w:hint="cs"/>
          <w:rtl/>
        </w:rPr>
        <w:t xml:space="preserve">. </w:t>
      </w:r>
      <w:r w:rsidRPr="00BF5A21">
        <w:rPr>
          <w:rFonts w:ascii="Arial" w:hAnsi="Arial" w:hint="cs"/>
          <w:rtl/>
        </w:rPr>
        <w:t>לא נמצאו שרידי סם.</w:t>
      </w:r>
    </w:p>
    <w:p w14:paraId="02938226" w14:textId="77777777" w:rsidR="00CC53A3" w:rsidRPr="00BF5A21" w:rsidRDefault="00CC53A3" w:rsidP="00CC53A3">
      <w:pPr>
        <w:spacing w:line="360" w:lineRule="auto"/>
        <w:jc w:val="both"/>
        <w:rPr>
          <w:rFonts w:ascii="Arial" w:hAnsi="Arial"/>
          <w:rtl/>
        </w:rPr>
      </w:pPr>
    </w:p>
    <w:p w14:paraId="6FF495E9" w14:textId="77777777" w:rsidR="00CC53A3" w:rsidRPr="00BF5A21" w:rsidRDefault="00CC53A3" w:rsidP="00CC53A3">
      <w:pPr>
        <w:spacing w:line="360" w:lineRule="auto"/>
        <w:jc w:val="both"/>
        <w:rPr>
          <w:rFonts w:ascii="Arial" w:hAnsi="Arial"/>
          <w:rtl/>
        </w:rPr>
      </w:pPr>
      <w:r w:rsidRPr="00BF5A21">
        <w:rPr>
          <w:rFonts w:ascii="Arial" w:hAnsi="Arial" w:hint="cs"/>
          <w:rtl/>
        </w:rPr>
        <w:t>שירות המבחן התרשם, כי הנאשם הינו אדם בעל יכולות טו</w:t>
      </w:r>
      <w:r>
        <w:rPr>
          <w:rFonts w:ascii="Arial" w:hAnsi="Arial" w:hint="cs"/>
          <w:rtl/>
        </w:rPr>
        <w:t>בות, מנהל אורח חיים נורמטיבי שירות המבחן רואה בפני</w:t>
      </w:r>
      <w:r w:rsidRPr="00BF5A21">
        <w:rPr>
          <w:rFonts w:ascii="Arial" w:hAnsi="Arial" w:hint="cs"/>
          <w:rtl/>
        </w:rPr>
        <w:t>תו להסדרת השימוש בקנב</w:t>
      </w:r>
      <w:r>
        <w:rPr>
          <w:rFonts w:ascii="Arial" w:hAnsi="Arial" w:hint="cs"/>
          <w:rtl/>
        </w:rPr>
        <w:t>י</w:t>
      </w:r>
      <w:r w:rsidRPr="00BF5A21">
        <w:rPr>
          <w:rFonts w:ascii="Arial" w:hAnsi="Arial" w:hint="cs"/>
          <w:rtl/>
        </w:rPr>
        <w:t>ס, החזרת הכספים לקורבן העבירה ונכונותו לקבל עונש על מעשיו</w:t>
      </w:r>
      <w:r>
        <w:rPr>
          <w:rFonts w:ascii="Arial" w:hAnsi="Arial" w:hint="cs"/>
          <w:rtl/>
        </w:rPr>
        <w:t>,</w:t>
      </w:r>
      <w:r w:rsidRPr="00BF5A21">
        <w:rPr>
          <w:rFonts w:ascii="Arial" w:hAnsi="Arial" w:hint="cs"/>
          <w:rtl/>
        </w:rPr>
        <w:t xml:space="preserve"> כמעידים על </w:t>
      </w:r>
      <w:r>
        <w:rPr>
          <w:rFonts w:ascii="Arial" w:hAnsi="Arial" w:hint="cs"/>
          <w:rtl/>
        </w:rPr>
        <w:t>נטילת אחריות</w:t>
      </w:r>
      <w:r w:rsidRPr="00BF5A21">
        <w:rPr>
          <w:rFonts w:ascii="Arial" w:hAnsi="Arial" w:hint="cs"/>
          <w:rtl/>
        </w:rPr>
        <w:t>.</w:t>
      </w:r>
    </w:p>
    <w:p w14:paraId="15280F00" w14:textId="77777777" w:rsidR="00CC53A3" w:rsidRPr="00BF5A21" w:rsidRDefault="00CC53A3" w:rsidP="00CC53A3">
      <w:pPr>
        <w:spacing w:line="360" w:lineRule="auto"/>
        <w:jc w:val="both"/>
        <w:rPr>
          <w:rFonts w:ascii="Arial" w:hAnsi="Arial"/>
          <w:rtl/>
        </w:rPr>
      </w:pPr>
    </w:p>
    <w:p w14:paraId="3CD42713" w14:textId="77777777" w:rsidR="00CC53A3" w:rsidRPr="00BF5A21" w:rsidRDefault="00CC53A3" w:rsidP="00CC53A3">
      <w:pPr>
        <w:spacing w:line="360" w:lineRule="auto"/>
        <w:jc w:val="both"/>
        <w:rPr>
          <w:rFonts w:ascii="Arial" w:hAnsi="Arial"/>
          <w:rtl/>
        </w:rPr>
      </w:pPr>
      <w:r w:rsidRPr="00BF5A21">
        <w:rPr>
          <w:rFonts w:ascii="Arial" w:hAnsi="Arial" w:hint="cs"/>
          <w:rtl/>
        </w:rPr>
        <w:t>להערכת שירות המבחן, מעורבותו של הנאש</w:t>
      </w:r>
      <w:r>
        <w:rPr>
          <w:rFonts w:ascii="Arial" w:hAnsi="Arial" w:hint="cs"/>
          <w:rtl/>
        </w:rPr>
        <w:t>ם בהליך דנן והחשש מפגיעה בעתידו, מהווה עבורו גורם מרתיע ותורם להורדת הסיכוי</w:t>
      </w:r>
      <w:r w:rsidRPr="00BF5A21">
        <w:rPr>
          <w:rFonts w:ascii="Arial" w:hAnsi="Arial" w:hint="cs"/>
          <w:rtl/>
        </w:rPr>
        <w:t xml:space="preserve"> כי יחזור על עבירותיו. </w:t>
      </w:r>
    </w:p>
    <w:p w14:paraId="31EBE6F5" w14:textId="77777777" w:rsidR="00CC53A3" w:rsidRPr="00BF5A21" w:rsidRDefault="00CC53A3" w:rsidP="00CC53A3">
      <w:pPr>
        <w:spacing w:line="360" w:lineRule="auto"/>
        <w:jc w:val="both"/>
        <w:rPr>
          <w:rFonts w:ascii="Arial" w:hAnsi="Arial"/>
          <w:rtl/>
        </w:rPr>
      </w:pPr>
    </w:p>
    <w:p w14:paraId="420823CA" w14:textId="77777777" w:rsidR="00CC53A3" w:rsidRPr="00BF5A21" w:rsidRDefault="00CC53A3" w:rsidP="00CC53A3">
      <w:pPr>
        <w:spacing w:line="360" w:lineRule="auto"/>
        <w:jc w:val="both"/>
        <w:rPr>
          <w:rFonts w:ascii="Arial" w:hAnsi="Arial"/>
          <w:rtl/>
        </w:rPr>
      </w:pPr>
      <w:r w:rsidRPr="00BF5A21">
        <w:rPr>
          <w:rFonts w:ascii="Arial" w:hAnsi="Arial" w:hint="cs"/>
          <w:rtl/>
        </w:rPr>
        <w:t>יחד עם זאת, ציין שירות המבחן, כי ישנם גורמי סיכון המתבטאים בקושי להתמודד עם מצבי לחץ וקונפליקט, לרבות שימוש באלימות במצבים מסוימים. בנוסף, התרשם שירות המבחן כי לנאשם קושי בניהול מערכות יחסים ובתקשורת בין א</w:t>
      </w:r>
      <w:r>
        <w:rPr>
          <w:rFonts w:ascii="Arial" w:hAnsi="Arial" w:hint="cs"/>
          <w:rtl/>
        </w:rPr>
        <w:t>ישית במצבים מורכבים, לרבות בחיי</w:t>
      </w:r>
      <w:r w:rsidRPr="00BF5A21">
        <w:rPr>
          <w:rFonts w:ascii="Arial" w:hAnsi="Arial" w:hint="cs"/>
          <w:rtl/>
        </w:rPr>
        <w:t xml:space="preserve"> הזוגיות וכפי שבא לידי ביטוי בעבירה הנוכחית ובמקרים נוספים. </w:t>
      </w:r>
    </w:p>
    <w:p w14:paraId="4D51CD9B" w14:textId="77777777" w:rsidR="00CC53A3" w:rsidRPr="00BF5A21" w:rsidRDefault="00CC53A3" w:rsidP="00CC53A3">
      <w:pPr>
        <w:spacing w:line="360" w:lineRule="auto"/>
        <w:jc w:val="both"/>
        <w:rPr>
          <w:rFonts w:ascii="Arial" w:hAnsi="Arial"/>
          <w:rtl/>
        </w:rPr>
      </w:pPr>
    </w:p>
    <w:p w14:paraId="56498940"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המלצת שירות המבחן הינה לשקול מתן עונש חינוכי בדמות של"צ בהיקף 60 שעות לצד </w:t>
      </w:r>
      <w:r>
        <w:rPr>
          <w:rFonts w:ascii="Arial" w:hAnsi="Arial" w:hint="cs"/>
          <w:rtl/>
        </w:rPr>
        <w:t>הליך</w:t>
      </w:r>
      <w:r w:rsidRPr="00BF5A21">
        <w:rPr>
          <w:rFonts w:ascii="Arial" w:hAnsi="Arial" w:hint="cs"/>
          <w:rtl/>
        </w:rPr>
        <w:t xml:space="preserve"> טיפולי. שירות המבחן ציין בתסקיר, כי ככל שבית המשפט ישקול מתן עונש בדמות מאסר בפועל – ימליץ להסתפק בעונש מאסר קצר אשר ירוצה בעבודות שירות. </w:t>
      </w:r>
      <w:r>
        <w:rPr>
          <w:rFonts w:ascii="Arial" w:hAnsi="Arial" w:hint="cs"/>
          <w:rtl/>
        </w:rPr>
        <w:t>עוד המליץ שירות המבחן על צו מבחן מעקבי.</w:t>
      </w:r>
    </w:p>
    <w:p w14:paraId="5E234333" w14:textId="77777777" w:rsidR="00CC53A3" w:rsidRDefault="00CC53A3" w:rsidP="00CC53A3">
      <w:pPr>
        <w:spacing w:line="360" w:lineRule="auto"/>
        <w:jc w:val="both"/>
        <w:rPr>
          <w:rFonts w:ascii="Arial" w:hAnsi="Arial"/>
          <w:rtl/>
        </w:rPr>
      </w:pPr>
    </w:p>
    <w:p w14:paraId="09D5EB66" w14:textId="77777777" w:rsidR="00CC53A3" w:rsidRDefault="00CC53A3" w:rsidP="00CC53A3">
      <w:pPr>
        <w:spacing w:line="360" w:lineRule="auto"/>
        <w:jc w:val="both"/>
        <w:rPr>
          <w:rFonts w:ascii="Arial" w:hAnsi="Arial"/>
          <w:rtl/>
        </w:rPr>
      </w:pPr>
    </w:p>
    <w:p w14:paraId="6EB462CC" w14:textId="77777777" w:rsidR="00CC53A3" w:rsidRPr="00BF5A21" w:rsidRDefault="00CC53A3" w:rsidP="00CC53A3">
      <w:pPr>
        <w:spacing w:line="360" w:lineRule="auto"/>
        <w:jc w:val="both"/>
        <w:rPr>
          <w:rFonts w:ascii="Arial" w:hAnsi="Arial"/>
          <w:rtl/>
        </w:rPr>
      </w:pPr>
    </w:p>
    <w:p w14:paraId="193F1589" w14:textId="77777777" w:rsidR="00CC53A3" w:rsidRPr="00BF5A21" w:rsidRDefault="00CC53A3" w:rsidP="00CC53A3">
      <w:pPr>
        <w:spacing w:line="360" w:lineRule="auto"/>
        <w:jc w:val="both"/>
        <w:rPr>
          <w:rFonts w:ascii="Arial" w:hAnsi="Arial"/>
          <w:b/>
          <w:bCs/>
          <w:rtl/>
        </w:rPr>
      </w:pPr>
      <w:r w:rsidRPr="00BF5A21">
        <w:rPr>
          <w:rFonts w:ascii="Arial" w:hAnsi="Arial" w:hint="cs"/>
          <w:b/>
          <w:bCs/>
          <w:rtl/>
        </w:rPr>
        <w:t>ראיות לעונש</w:t>
      </w:r>
    </w:p>
    <w:p w14:paraId="2429F220" w14:textId="77777777" w:rsidR="00CC53A3" w:rsidRPr="00BF5A21" w:rsidRDefault="00CC53A3" w:rsidP="00CC53A3">
      <w:pPr>
        <w:spacing w:line="360" w:lineRule="auto"/>
        <w:jc w:val="both"/>
        <w:rPr>
          <w:rFonts w:ascii="Arial" w:hAnsi="Arial"/>
          <w:b/>
          <w:bCs/>
          <w:rtl/>
        </w:rPr>
      </w:pPr>
    </w:p>
    <w:p w14:paraId="783A88CB" w14:textId="77777777" w:rsidR="00CC53A3" w:rsidRDefault="00CC53A3" w:rsidP="00CC53A3">
      <w:pPr>
        <w:spacing w:line="360" w:lineRule="auto"/>
        <w:jc w:val="both"/>
        <w:rPr>
          <w:rFonts w:ascii="Arial" w:hAnsi="Arial"/>
          <w:rtl/>
        </w:rPr>
      </w:pPr>
      <w:r>
        <w:rPr>
          <w:rFonts w:ascii="Arial" w:hAnsi="Arial" w:hint="cs"/>
          <w:rtl/>
        </w:rPr>
        <w:t>התביעה לא הציגה הרשעות קודמות בענינו של הנאשם, אך בקשה להשמיע עדותו של נפגע העבירה. ההגנה לא הגישה ראיות לעונש מטעמה.</w:t>
      </w:r>
    </w:p>
    <w:p w14:paraId="789EC569" w14:textId="77777777" w:rsidR="00CC53A3" w:rsidRPr="00BF5A21" w:rsidRDefault="00CC53A3" w:rsidP="00CC53A3">
      <w:pPr>
        <w:spacing w:line="360" w:lineRule="auto"/>
        <w:jc w:val="both"/>
        <w:rPr>
          <w:rFonts w:ascii="Arial" w:hAnsi="Arial"/>
          <w:rtl/>
        </w:rPr>
      </w:pPr>
    </w:p>
    <w:p w14:paraId="7E083C1C" w14:textId="77777777" w:rsidR="00CC53A3" w:rsidRPr="00BF5A21" w:rsidRDefault="00CC53A3" w:rsidP="00CC53A3">
      <w:pPr>
        <w:spacing w:line="360" w:lineRule="auto"/>
        <w:jc w:val="both"/>
        <w:rPr>
          <w:rFonts w:ascii="Arial" w:hAnsi="Arial"/>
          <w:b/>
          <w:bCs/>
          <w:rtl/>
        </w:rPr>
      </w:pPr>
      <w:r w:rsidRPr="00BF5A21">
        <w:rPr>
          <w:rFonts w:ascii="Arial" w:hAnsi="Arial" w:hint="cs"/>
          <w:b/>
          <w:bCs/>
          <w:rtl/>
        </w:rPr>
        <w:t>עדות קורבן העבירה</w:t>
      </w:r>
    </w:p>
    <w:p w14:paraId="1CF6FED4" w14:textId="77777777" w:rsidR="00CC53A3" w:rsidRPr="00BF5A21" w:rsidRDefault="00CC53A3" w:rsidP="00CC53A3">
      <w:pPr>
        <w:spacing w:line="360" w:lineRule="auto"/>
        <w:jc w:val="both"/>
        <w:rPr>
          <w:rFonts w:ascii="Arial" w:hAnsi="Arial"/>
          <w:rtl/>
        </w:rPr>
      </w:pPr>
    </w:p>
    <w:p w14:paraId="4A9AB9D8"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ביום 20.10.2015, העיד </w:t>
      </w:r>
      <w:r>
        <w:rPr>
          <w:rFonts w:ascii="Arial" w:hAnsi="Arial" w:hint="cs"/>
          <w:rtl/>
        </w:rPr>
        <w:t>נפגע</w:t>
      </w:r>
      <w:r w:rsidRPr="00BF5A21">
        <w:rPr>
          <w:rFonts w:ascii="Arial" w:hAnsi="Arial" w:hint="cs"/>
          <w:rtl/>
        </w:rPr>
        <w:t xml:space="preserve"> העבירה.</w:t>
      </w:r>
    </w:p>
    <w:p w14:paraId="2CD88177" w14:textId="77777777" w:rsidR="00CC53A3" w:rsidRPr="00BF5A21" w:rsidRDefault="00CC53A3" w:rsidP="00CC53A3">
      <w:pPr>
        <w:spacing w:line="360" w:lineRule="auto"/>
        <w:jc w:val="both"/>
        <w:rPr>
          <w:rFonts w:ascii="Arial" w:hAnsi="Arial"/>
          <w:rtl/>
        </w:rPr>
      </w:pPr>
    </w:p>
    <w:p w14:paraId="08EB7E96" w14:textId="77777777" w:rsidR="00CC53A3" w:rsidRPr="00BF5A21" w:rsidRDefault="00CC53A3" w:rsidP="00CC53A3">
      <w:pPr>
        <w:spacing w:line="360" w:lineRule="auto"/>
        <w:jc w:val="both"/>
        <w:rPr>
          <w:rFonts w:ascii="Arial" w:hAnsi="Arial"/>
          <w:rtl/>
        </w:rPr>
      </w:pPr>
      <w:r>
        <w:rPr>
          <w:rFonts w:ascii="Arial" w:hAnsi="Arial" w:hint="cs"/>
          <w:rtl/>
        </w:rPr>
        <w:t>נפגע</w:t>
      </w:r>
      <w:r w:rsidRPr="00BF5A21">
        <w:rPr>
          <w:rFonts w:ascii="Arial" w:hAnsi="Arial" w:hint="cs"/>
          <w:rtl/>
        </w:rPr>
        <w:t xml:space="preserve"> העבירה סיפר, כי ביום 11.12.14 חזר לביתו וגילה כי מטלטליו וכסף מזומן שהחזיק, נלקחו.</w:t>
      </w:r>
    </w:p>
    <w:p w14:paraId="4D63F77D" w14:textId="77777777" w:rsidR="00CC53A3" w:rsidRDefault="00CC53A3" w:rsidP="00CC53A3">
      <w:pPr>
        <w:spacing w:line="360" w:lineRule="auto"/>
        <w:jc w:val="both"/>
        <w:rPr>
          <w:rFonts w:ascii="Arial" w:hAnsi="Arial"/>
          <w:rtl/>
        </w:rPr>
      </w:pPr>
      <w:r w:rsidRPr="00BF5A21">
        <w:rPr>
          <w:rFonts w:ascii="Arial" w:hAnsi="Arial" w:hint="cs"/>
          <w:rtl/>
        </w:rPr>
        <w:t>כחלק מבירורים שערך, שאל את ב</w:t>
      </w:r>
      <w:r>
        <w:rPr>
          <w:rFonts w:ascii="Arial" w:hAnsi="Arial" w:hint="cs"/>
          <w:rtl/>
        </w:rPr>
        <w:t>ת הזוג של הנאשם (חברתו לשעבר</w:t>
      </w:r>
      <w:r w:rsidRPr="00BF5A21">
        <w:rPr>
          <w:rFonts w:ascii="Arial" w:hAnsi="Arial" w:hint="cs"/>
          <w:rtl/>
        </w:rPr>
        <w:t>) האם בידיה מידע בנושא, ובת זוגו השיבה כי אולי מדובר באחד מחבריו מתל אביב.</w:t>
      </w:r>
    </w:p>
    <w:p w14:paraId="0F1A5CB1" w14:textId="77777777" w:rsidR="00CC53A3" w:rsidRPr="00BF5A21" w:rsidRDefault="00CC53A3" w:rsidP="00CC53A3">
      <w:pPr>
        <w:spacing w:line="360" w:lineRule="auto"/>
        <w:jc w:val="both"/>
        <w:rPr>
          <w:rFonts w:ascii="Arial" w:hAnsi="Arial"/>
          <w:rtl/>
        </w:rPr>
      </w:pPr>
    </w:p>
    <w:p w14:paraId="0162A375" w14:textId="77777777" w:rsidR="00CC53A3" w:rsidRPr="00BF5A21" w:rsidRDefault="00CC53A3" w:rsidP="00CC53A3">
      <w:pPr>
        <w:spacing w:line="360" w:lineRule="auto"/>
        <w:jc w:val="both"/>
        <w:rPr>
          <w:rFonts w:ascii="Arial" w:hAnsi="Arial"/>
          <w:rtl/>
        </w:rPr>
      </w:pPr>
      <w:r>
        <w:rPr>
          <w:rFonts w:ascii="Arial" w:hAnsi="Arial" w:hint="cs"/>
          <w:rtl/>
        </w:rPr>
        <w:t>נפגע</w:t>
      </w:r>
      <w:r w:rsidRPr="00BF5A21">
        <w:rPr>
          <w:rFonts w:ascii="Arial" w:hAnsi="Arial" w:hint="cs"/>
          <w:rtl/>
        </w:rPr>
        <w:t xml:space="preserve"> העבירה סיפר, כי קיבל מידע </w:t>
      </w:r>
      <w:r>
        <w:rPr>
          <w:rFonts w:ascii="Arial" w:hAnsi="Arial" w:hint="cs"/>
          <w:rtl/>
        </w:rPr>
        <w:t>משכניו, לפיו בת הזוג של הנאשם ה</w:t>
      </w:r>
      <w:r w:rsidRPr="00BF5A21">
        <w:rPr>
          <w:rFonts w:ascii="Arial" w:hAnsi="Arial" w:hint="cs"/>
          <w:rtl/>
        </w:rPr>
        <w:t>יתה בתל אביב במועד הפריצה, והוסיף כי בת הזוג של הנאשם הכחישה הדבר.</w:t>
      </w:r>
    </w:p>
    <w:p w14:paraId="402578F9" w14:textId="77777777" w:rsidR="00CC53A3" w:rsidRPr="00BF5A21" w:rsidRDefault="00CC53A3" w:rsidP="00CC53A3">
      <w:pPr>
        <w:spacing w:line="360" w:lineRule="auto"/>
        <w:jc w:val="both"/>
        <w:rPr>
          <w:rFonts w:ascii="Arial" w:hAnsi="Arial"/>
          <w:rtl/>
        </w:rPr>
      </w:pPr>
    </w:p>
    <w:p w14:paraId="789ECE82" w14:textId="77777777" w:rsidR="00CC53A3" w:rsidRPr="00BF5A21" w:rsidRDefault="00CC53A3" w:rsidP="00CC53A3">
      <w:pPr>
        <w:spacing w:line="360" w:lineRule="auto"/>
        <w:jc w:val="both"/>
        <w:rPr>
          <w:rFonts w:ascii="Arial" w:hAnsi="Arial"/>
          <w:rtl/>
        </w:rPr>
      </w:pPr>
      <w:r>
        <w:rPr>
          <w:rFonts w:ascii="Arial" w:hAnsi="Arial" w:hint="cs"/>
          <w:rtl/>
        </w:rPr>
        <w:t>נפגע</w:t>
      </w:r>
      <w:r w:rsidRPr="00BF5A21">
        <w:rPr>
          <w:rFonts w:ascii="Arial" w:hAnsi="Arial" w:hint="cs"/>
          <w:rtl/>
        </w:rPr>
        <w:t xml:space="preserve"> העבירה הצהיר כי קיבל בחזרה סך בן 1,050 אירו אשר נמצאו בכיסו של הנאשם, וכן קיבל לידיו חזרה את קונסולת המשחקים (</w:t>
      </w:r>
      <w:r w:rsidRPr="00BF5A21">
        <w:rPr>
          <w:rFonts w:ascii="Arial" w:hAnsi="Arial"/>
        </w:rPr>
        <w:t>X-BOX</w:t>
      </w:r>
      <w:r w:rsidRPr="00BF5A21">
        <w:rPr>
          <w:rFonts w:ascii="Arial" w:hAnsi="Arial" w:hint="cs"/>
          <w:rtl/>
        </w:rPr>
        <w:t>), טאבלט ואת המחשב הנייד.</w:t>
      </w:r>
    </w:p>
    <w:p w14:paraId="7F6545A9" w14:textId="77777777" w:rsidR="00CC53A3" w:rsidRDefault="00CC53A3" w:rsidP="00CC53A3">
      <w:pPr>
        <w:spacing w:line="360" w:lineRule="auto"/>
        <w:jc w:val="both"/>
        <w:rPr>
          <w:rFonts w:ascii="Arial" w:hAnsi="Arial"/>
          <w:rtl/>
        </w:rPr>
      </w:pPr>
      <w:r>
        <w:rPr>
          <w:rFonts w:ascii="Arial" w:hAnsi="Arial" w:hint="cs"/>
          <w:rtl/>
        </w:rPr>
        <w:t>נפגע</w:t>
      </w:r>
      <w:r w:rsidRPr="00BF5A21">
        <w:rPr>
          <w:rFonts w:ascii="Arial" w:hAnsi="Arial" w:hint="cs"/>
          <w:rtl/>
        </w:rPr>
        <w:t xml:space="preserve"> העבירה ציין, כי לא קיבל חזרה את האייפד ואת יתרת הכסף.</w:t>
      </w:r>
    </w:p>
    <w:p w14:paraId="6B2E6F16" w14:textId="77777777" w:rsidR="00CC53A3" w:rsidRDefault="00CC53A3" w:rsidP="00CC53A3">
      <w:pPr>
        <w:spacing w:line="360" w:lineRule="auto"/>
        <w:jc w:val="both"/>
        <w:rPr>
          <w:rFonts w:ascii="Arial" w:hAnsi="Arial"/>
          <w:rtl/>
        </w:rPr>
      </w:pPr>
    </w:p>
    <w:p w14:paraId="6F688138" w14:textId="77777777" w:rsidR="00CC53A3" w:rsidRPr="00BF5A21" w:rsidRDefault="00CC53A3" w:rsidP="00CC53A3">
      <w:pPr>
        <w:spacing w:line="360" w:lineRule="auto"/>
        <w:jc w:val="both"/>
        <w:rPr>
          <w:rFonts w:ascii="Arial" w:hAnsi="Arial"/>
          <w:rtl/>
        </w:rPr>
      </w:pPr>
      <w:r>
        <w:rPr>
          <w:rFonts w:ascii="Arial" w:hAnsi="Arial" w:hint="cs"/>
          <w:rtl/>
        </w:rPr>
        <w:t>יצוין, מעדות נפגע העבירה עלה, כי נגנבו פרטים וכספים מעבר למפורט בכתב האישום המתוקן. לנוכח תיקון כתב האישום במסגרת הסדר הטעון, לא ינתן משקל לעובדות אלה.</w:t>
      </w:r>
    </w:p>
    <w:p w14:paraId="173246A5" w14:textId="77777777" w:rsidR="00CC53A3" w:rsidRDefault="00CC53A3" w:rsidP="00CC53A3">
      <w:pPr>
        <w:spacing w:line="360" w:lineRule="auto"/>
        <w:jc w:val="both"/>
        <w:rPr>
          <w:rFonts w:ascii="Arial" w:hAnsi="Arial"/>
          <w:b/>
          <w:bCs/>
          <w:rtl/>
        </w:rPr>
      </w:pPr>
    </w:p>
    <w:p w14:paraId="7ECCE0CF" w14:textId="77777777" w:rsidR="00CC53A3" w:rsidRDefault="00CC53A3" w:rsidP="00CC53A3">
      <w:pPr>
        <w:spacing w:line="360" w:lineRule="auto"/>
        <w:jc w:val="both"/>
        <w:rPr>
          <w:rFonts w:ascii="Arial" w:hAnsi="Arial"/>
          <w:b/>
          <w:bCs/>
          <w:rtl/>
        </w:rPr>
      </w:pPr>
    </w:p>
    <w:p w14:paraId="14D9603C" w14:textId="77777777" w:rsidR="00CC53A3" w:rsidRPr="00BF5A21" w:rsidRDefault="00CC53A3" w:rsidP="00CC53A3">
      <w:pPr>
        <w:spacing w:line="360" w:lineRule="auto"/>
        <w:jc w:val="both"/>
        <w:rPr>
          <w:rFonts w:ascii="Arial" w:hAnsi="Arial"/>
          <w:rtl/>
        </w:rPr>
      </w:pPr>
      <w:r w:rsidRPr="00BF5A21">
        <w:rPr>
          <w:rFonts w:ascii="Arial" w:hAnsi="Arial" w:hint="cs"/>
          <w:b/>
          <w:bCs/>
          <w:rtl/>
        </w:rPr>
        <w:t>טענות הצדדים</w:t>
      </w:r>
    </w:p>
    <w:p w14:paraId="724D9B29" w14:textId="77777777" w:rsidR="00CC53A3" w:rsidRPr="00BF5A21" w:rsidRDefault="00CC53A3" w:rsidP="00CC53A3">
      <w:pPr>
        <w:spacing w:line="360" w:lineRule="auto"/>
        <w:jc w:val="both"/>
        <w:rPr>
          <w:rFonts w:ascii="Arial" w:hAnsi="Arial"/>
          <w:rtl/>
        </w:rPr>
      </w:pPr>
    </w:p>
    <w:p w14:paraId="26466B08" w14:textId="77777777" w:rsidR="00CC53A3" w:rsidRPr="00BF5A21" w:rsidRDefault="00CC53A3" w:rsidP="00CC53A3">
      <w:pPr>
        <w:spacing w:line="360" w:lineRule="auto"/>
        <w:jc w:val="both"/>
        <w:rPr>
          <w:rFonts w:ascii="Arial" w:hAnsi="Arial"/>
          <w:rtl/>
        </w:rPr>
      </w:pPr>
      <w:r>
        <w:rPr>
          <w:rFonts w:ascii="Arial" w:hAnsi="Arial" w:hint="cs"/>
          <w:rtl/>
        </w:rPr>
        <w:t xml:space="preserve">הצדדים סיכמו טענותיהם לעונש </w:t>
      </w:r>
      <w:r w:rsidRPr="00BF5A21">
        <w:rPr>
          <w:rFonts w:ascii="Arial" w:hAnsi="Arial" w:hint="cs"/>
          <w:rtl/>
        </w:rPr>
        <w:t>על</w:t>
      </w:r>
      <w:r>
        <w:rPr>
          <w:rFonts w:ascii="Arial" w:hAnsi="Arial" w:hint="cs"/>
          <w:rtl/>
        </w:rPr>
        <w:t>-</w:t>
      </w:r>
      <w:r w:rsidRPr="00BF5A21">
        <w:rPr>
          <w:rFonts w:ascii="Arial" w:hAnsi="Arial" w:hint="cs"/>
          <w:rtl/>
        </w:rPr>
        <w:t>פה.</w:t>
      </w:r>
    </w:p>
    <w:p w14:paraId="7684E48D" w14:textId="77777777" w:rsidR="00CC53A3" w:rsidRPr="00BF5A21" w:rsidRDefault="00CC53A3" w:rsidP="00CC53A3">
      <w:pPr>
        <w:spacing w:line="360" w:lineRule="auto"/>
        <w:jc w:val="both"/>
        <w:rPr>
          <w:rFonts w:ascii="Arial" w:hAnsi="Arial"/>
          <w:rtl/>
        </w:rPr>
      </w:pPr>
    </w:p>
    <w:p w14:paraId="6340DC79" w14:textId="77777777" w:rsidR="00CC53A3" w:rsidRPr="00BF5A21" w:rsidRDefault="00CC53A3" w:rsidP="00CC53A3">
      <w:pPr>
        <w:spacing w:line="360" w:lineRule="auto"/>
        <w:jc w:val="both"/>
        <w:rPr>
          <w:rFonts w:ascii="Arial" w:hAnsi="Arial"/>
          <w:rtl/>
        </w:rPr>
      </w:pPr>
      <w:r w:rsidRPr="00BF5A21">
        <w:rPr>
          <w:rFonts w:ascii="Arial" w:hAnsi="Arial" w:hint="cs"/>
          <w:rtl/>
        </w:rPr>
        <w:t>התביעה הדגישה, כי עביר</w:t>
      </w:r>
      <w:r>
        <w:rPr>
          <w:rFonts w:ascii="Arial" w:hAnsi="Arial" w:hint="cs"/>
          <w:rtl/>
        </w:rPr>
        <w:t>ו</w:t>
      </w:r>
      <w:r w:rsidRPr="00BF5A21">
        <w:rPr>
          <w:rFonts w:ascii="Arial" w:hAnsi="Arial" w:hint="cs"/>
          <w:rtl/>
        </w:rPr>
        <w:t xml:space="preserve">ת ההתפרצות </w:t>
      </w:r>
      <w:r>
        <w:rPr>
          <w:rFonts w:ascii="Arial" w:hAnsi="Arial" w:hint="cs"/>
          <w:rtl/>
        </w:rPr>
        <w:t>ו</w:t>
      </w:r>
      <w:r w:rsidRPr="00BF5A21">
        <w:rPr>
          <w:rFonts w:ascii="Arial" w:hAnsi="Arial" w:hint="cs"/>
          <w:rtl/>
        </w:rPr>
        <w:t xml:space="preserve">הגניבה </w:t>
      </w:r>
      <w:r>
        <w:rPr>
          <w:rFonts w:ascii="Arial" w:hAnsi="Arial" w:hint="cs"/>
          <w:rtl/>
        </w:rPr>
        <w:t>מצביעות</w:t>
      </w:r>
      <w:r w:rsidRPr="00BF5A21">
        <w:rPr>
          <w:rFonts w:ascii="Arial" w:hAnsi="Arial" w:hint="cs"/>
          <w:rtl/>
        </w:rPr>
        <w:t xml:space="preserve"> על תחכום ותכנון מראש וכן כי במעשיו של הנאשם יש משום פגיעה בערכים </w:t>
      </w:r>
      <w:r>
        <w:rPr>
          <w:rFonts w:ascii="Arial" w:hAnsi="Arial" w:hint="cs"/>
          <w:rtl/>
        </w:rPr>
        <w:t>חברתיים הבאים להגן על רכושו וקנ</w:t>
      </w:r>
      <w:r w:rsidRPr="00BF5A21">
        <w:rPr>
          <w:rFonts w:ascii="Arial" w:hAnsi="Arial" w:hint="cs"/>
          <w:rtl/>
        </w:rPr>
        <w:t>ינו</w:t>
      </w:r>
      <w:r>
        <w:rPr>
          <w:rFonts w:ascii="Arial" w:hAnsi="Arial" w:hint="cs"/>
          <w:rtl/>
        </w:rPr>
        <w:t xml:space="preserve"> של הציבור, כמו גם פגיעה בתחושת הב</w:t>
      </w:r>
      <w:r w:rsidRPr="00BF5A21">
        <w:rPr>
          <w:rFonts w:ascii="Arial" w:hAnsi="Arial" w:hint="cs"/>
          <w:rtl/>
        </w:rPr>
        <w:t>טחון האישית של האזרח בביתו.</w:t>
      </w:r>
    </w:p>
    <w:p w14:paraId="4A56F37C" w14:textId="77777777" w:rsidR="00CC53A3" w:rsidRPr="00BF5A21" w:rsidRDefault="00CC53A3" w:rsidP="00CC53A3">
      <w:pPr>
        <w:spacing w:line="360" w:lineRule="auto"/>
        <w:jc w:val="both"/>
        <w:rPr>
          <w:rFonts w:ascii="Arial" w:hAnsi="Arial"/>
          <w:rtl/>
        </w:rPr>
      </w:pPr>
    </w:p>
    <w:p w14:paraId="04C7BA9C" w14:textId="77777777" w:rsidR="00CC53A3" w:rsidRPr="00BF5A21" w:rsidRDefault="00CC53A3" w:rsidP="00CC53A3">
      <w:pPr>
        <w:spacing w:line="360" w:lineRule="auto"/>
        <w:jc w:val="both"/>
        <w:rPr>
          <w:rFonts w:ascii="Arial" w:hAnsi="Arial"/>
          <w:rtl/>
        </w:rPr>
      </w:pPr>
      <w:r w:rsidRPr="00BF5A21">
        <w:rPr>
          <w:rFonts w:ascii="Arial" w:hAnsi="Arial" w:hint="cs"/>
          <w:rtl/>
        </w:rPr>
        <w:t>התביעה טענה, כי תסקיר שירות המבחן לא לקח</w:t>
      </w:r>
      <w:r>
        <w:rPr>
          <w:rFonts w:ascii="Arial" w:hAnsi="Arial" w:hint="cs"/>
          <w:rtl/>
        </w:rPr>
        <w:t>,</w:t>
      </w:r>
      <w:r w:rsidRPr="00BF5A21">
        <w:rPr>
          <w:rFonts w:ascii="Arial" w:hAnsi="Arial" w:hint="cs"/>
          <w:rtl/>
        </w:rPr>
        <w:t xml:space="preserve"> במסגרת שיקוליו</w:t>
      </w:r>
      <w:r>
        <w:rPr>
          <w:rFonts w:ascii="Arial" w:hAnsi="Arial" w:hint="cs"/>
          <w:rtl/>
        </w:rPr>
        <w:t>,</w:t>
      </w:r>
      <w:r w:rsidRPr="00BF5A21">
        <w:rPr>
          <w:rFonts w:ascii="Arial" w:hAnsi="Arial" w:hint="cs"/>
          <w:rtl/>
        </w:rPr>
        <w:t xml:space="preserve"> את מכלול הנתונים ואין לאמץ המלצותיו. התביעה הדגישה</w:t>
      </w:r>
      <w:r>
        <w:rPr>
          <w:rFonts w:ascii="Arial" w:hAnsi="Arial" w:hint="cs"/>
          <w:rtl/>
        </w:rPr>
        <w:t>,</w:t>
      </w:r>
      <w:r w:rsidRPr="00BF5A21">
        <w:rPr>
          <w:rFonts w:ascii="Arial" w:hAnsi="Arial" w:hint="cs"/>
          <w:rtl/>
        </w:rPr>
        <w:t xml:space="preserve"> כי המדובר בנאשם שהינו </w:t>
      </w:r>
      <w:r>
        <w:rPr>
          <w:rFonts w:ascii="Arial" w:hAnsi="Arial" w:hint="cs"/>
          <w:rtl/>
        </w:rPr>
        <w:t>נתין</w:t>
      </w:r>
      <w:r w:rsidRPr="00BF5A21">
        <w:rPr>
          <w:rFonts w:ascii="Arial" w:hAnsi="Arial" w:hint="cs"/>
          <w:rtl/>
        </w:rPr>
        <w:t xml:space="preserve"> </w:t>
      </w:r>
      <w:r>
        <w:rPr>
          <w:rFonts w:ascii="Arial" w:hAnsi="Arial" w:hint="cs"/>
          <w:rtl/>
        </w:rPr>
        <w:t>זר אשר נמצא בישראל ללא אישור שהיה בתוקף ואף אם יוארך אישור השה</w:t>
      </w:r>
      <w:r w:rsidRPr="00BF5A21">
        <w:rPr>
          <w:rFonts w:ascii="Arial" w:hAnsi="Arial" w:hint="cs"/>
          <w:rtl/>
        </w:rPr>
        <w:t>יה שלו, הרי, כפי שנמסר לשירות המבחן מאת משר</w:t>
      </w:r>
      <w:r>
        <w:rPr>
          <w:rFonts w:ascii="Arial" w:hAnsi="Arial" w:hint="cs"/>
          <w:rtl/>
        </w:rPr>
        <w:t>ד הפנים – תישקל הארכת אישור השהיה למשך ש</w:t>
      </w:r>
      <w:r w:rsidRPr="00BF5A21">
        <w:rPr>
          <w:rFonts w:ascii="Arial" w:hAnsi="Arial" w:hint="cs"/>
          <w:rtl/>
        </w:rPr>
        <w:t xml:space="preserve">שה חודשים בלבד.  </w:t>
      </w:r>
    </w:p>
    <w:p w14:paraId="7D4EAEFC" w14:textId="77777777" w:rsidR="00CC53A3" w:rsidRPr="00BF5A21" w:rsidRDefault="00CC53A3" w:rsidP="00CC53A3">
      <w:pPr>
        <w:spacing w:line="360" w:lineRule="auto"/>
        <w:jc w:val="both"/>
        <w:rPr>
          <w:rFonts w:ascii="Arial" w:hAnsi="Arial"/>
          <w:rtl/>
        </w:rPr>
      </w:pPr>
    </w:p>
    <w:p w14:paraId="4E9C0237" w14:textId="77777777" w:rsidR="00CC53A3" w:rsidRPr="00BF5A21" w:rsidRDefault="00CC53A3" w:rsidP="00CC53A3">
      <w:pPr>
        <w:spacing w:line="360" w:lineRule="auto"/>
        <w:jc w:val="both"/>
        <w:rPr>
          <w:rFonts w:ascii="Arial" w:hAnsi="Arial"/>
          <w:rtl/>
        </w:rPr>
      </w:pPr>
      <w:r w:rsidRPr="00BF5A21">
        <w:rPr>
          <w:rFonts w:ascii="Arial" w:hAnsi="Arial" w:hint="cs"/>
          <w:rtl/>
        </w:rPr>
        <w:t>לפיכך, בגין עבירת ההתפרצות והגניבה, עותרת התביעה להשית על הנאשם  מאסר בפועל, במתחם שבין 12 חודשים לבין 24 חודשי מאסר בפועל, מאסר על תנאי, קנס ופיצוי הולם למתלונן.</w:t>
      </w:r>
    </w:p>
    <w:p w14:paraId="520DDDCF"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בגין </w:t>
      </w:r>
      <w:r>
        <w:rPr>
          <w:rFonts w:ascii="Arial" w:hAnsi="Arial" w:hint="cs"/>
          <w:rtl/>
        </w:rPr>
        <w:t>ה</w:t>
      </w:r>
      <w:r w:rsidRPr="00BF5A21">
        <w:rPr>
          <w:rFonts w:ascii="Arial" w:hAnsi="Arial" w:hint="cs"/>
          <w:rtl/>
        </w:rPr>
        <w:t>עבירה של החזקת סמים לצריכה עצמית, עותרת התביעה להשית על הנאשם עונש אשר ינוע במתחם שבין מאסר מותנה לבין 6 חודשי מאסר.</w:t>
      </w:r>
    </w:p>
    <w:p w14:paraId="79032244" w14:textId="77777777" w:rsidR="00CC53A3" w:rsidRPr="00BF5A21" w:rsidRDefault="00CC53A3" w:rsidP="00CC53A3">
      <w:pPr>
        <w:spacing w:line="360" w:lineRule="auto"/>
        <w:jc w:val="both"/>
        <w:rPr>
          <w:rFonts w:ascii="Arial" w:hAnsi="Arial"/>
          <w:rtl/>
        </w:rPr>
      </w:pPr>
    </w:p>
    <w:p w14:paraId="08468344" w14:textId="77777777" w:rsidR="00CC53A3" w:rsidRPr="00BF5A21" w:rsidRDefault="00CC53A3" w:rsidP="00CC53A3">
      <w:pPr>
        <w:spacing w:line="360" w:lineRule="auto"/>
        <w:jc w:val="both"/>
        <w:rPr>
          <w:rFonts w:ascii="Arial" w:hAnsi="Arial"/>
          <w:rtl/>
        </w:rPr>
      </w:pPr>
      <w:r w:rsidRPr="00BF5A21">
        <w:rPr>
          <w:rFonts w:ascii="Arial" w:hAnsi="Arial" w:hint="cs"/>
          <w:u w:val="single"/>
          <w:rtl/>
        </w:rPr>
        <w:t>ההגנה</w:t>
      </w:r>
      <w:r w:rsidRPr="00BF5A21">
        <w:rPr>
          <w:rFonts w:ascii="Arial" w:hAnsi="Arial" w:hint="cs"/>
          <w:rtl/>
        </w:rPr>
        <w:t xml:space="preserve"> מבקשת לאמץ את המלצות שירות המבחן ולהסתפק בעונש של העמדתו של הנאשם בצו מבחן </w:t>
      </w:r>
      <w:r>
        <w:rPr>
          <w:rFonts w:ascii="Arial" w:hAnsi="Arial" w:hint="cs"/>
          <w:rtl/>
        </w:rPr>
        <w:t>וצו</w:t>
      </w:r>
      <w:r w:rsidRPr="00BF5A21">
        <w:rPr>
          <w:rFonts w:ascii="Arial" w:hAnsi="Arial" w:hint="cs"/>
          <w:rtl/>
        </w:rPr>
        <w:t xml:space="preserve"> של"צ. כמו כן</w:t>
      </w:r>
      <w:r>
        <w:rPr>
          <w:rFonts w:ascii="Arial" w:hAnsi="Arial" w:hint="cs"/>
          <w:rtl/>
        </w:rPr>
        <w:t>,</w:t>
      </w:r>
      <w:r w:rsidRPr="00BF5A21">
        <w:rPr>
          <w:rFonts w:ascii="Arial" w:hAnsi="Arial" w:hint="cs"/>
          <w:rtl/>
        </w:rPr>
        <w:t xml:space="preserve"> מבקשת ההגנה כי תבוטל הרשעתו של הנאשם.</w:t>
      </w:r>
    </w:p>
    <w:p w14:paraId="14268539" w14:textId="77777777" w:rsidR="00CC53A3" w:rsidRPr="00BF5A21" w:rsidRDefault="00CC53A3" w:rsidP="00CC53A3">
      <w:pPr>
        <w:spacing w:line="360" w:lineRule="auto"/>
        <w:jc w:val="both"/>
        <w:rPr>
          <w:rFonts w:ascii="Arial" w:hAnsi="Arial"/>
          <w:rtl/>
        </w:rPr>
      </w:pPr>
    </w:p>
    <w:p w14:paraId="24D1940E" w14:textId="77777777" w:rsidR="00CC53A3" w:rsidRPr="00BF5A21" w:rsidRDefault="00CC53A3" w:rsidP="00CC53A3">
      <w:pPr>
        <w:spacing w:line="360" w:lineRule="auto"/>
        <w:jc w:val="both"/>
        <w:rPr>
          <w:rFonts w:ascii="Arial" w:hAnsi="Arial"/>
          <w:rtl/>
        </w:rPr>
      </w:pPr>
      <w:r w:rsidRPr="00BF5A21">
        <w:rPr>
          <w:rFonts w:ascii="Arial" w:hAnsi="Arial" w:hint="cs"/>
          <w:rtl/>
        </w:rPr>
        <w:t>ההגנה הדגישה</w:t>
      </w:r>
      <w:r>
        <w:rPr>
          <w:rFonts w:ascii="Arial" w:hAnsi="Arial" w:hint="cs"/>
          <w:rtl/>
        </w:rPr>
        <w:t>,</w:t>
      </w:r>
      <w:r w:rsidRPr="00BF5A21">
        <w:rPr>
          <w:rFonts w:ascii="Arial" w:hAnsi="Arial" w:hint="cs"/>
          <w:rtl/>
        </w:rPr>
        <w:t xml:space="preserve"> כי יש להתחשב בעובדה שהנאשם חסך זמן שיפוטי יקר, </w:t>
      </w:r>
      <w:r>
        <w:rPr>
          <w:rFonts w:ascii="Arial" w:hAnsi="Arial" w:hint="cs"/>
          <w:rtl/>
        </w:rPr>
        <w:t>נטל</w:t>
      </w:r>
      <w:r w:rsidRPr="00BF5A21">
        <w:rPr>
          <w:rFonts w:ascii="Arial" w:hAnsi="Arial" w:hint="cs"/>
          <w:rtl/>
        </w:rPr>
        <w:t xml:space="preserve"> אחריות והביע חרטה על מעשיו. </w:t>
      </w:r>
    </w:p>
    <w:p w14:paraId="1729A758" w14:textId="77777777" w:rsidR="00CC53A3" w:rsidRPr="00BF5A21" w:rsidRDefault="00CC53A3" w:rsidP="00CC53A3">
      <w:pPr>
        <w:spacing w:line="360" w:lineRule="auto"/>
        <w:jc w:val="both"/>
        <w:rPr>
          <w:rFonts w:ascii="Arial" w:hAnsi="Arial"/>
          <w:rtl/>
        </w:rPr>
      </w:pPr>
    </w:p>
    <w:p w14:paraId="34058EAC" w14:textId="77777777" w:rsidR="00CC53A3" w:rsidRPr="00BF5A21" w:rsidRDefault="00CC53A3" w:rsidP="00CC53A3">
      <w:pPr>
        <w:spacing w:line="360" w:lineRule="auto"/>
        <w:jc w:val="both"/>
        <w:rPr>
          <w:rFonts w:ascii="Arial" w:hAnsi="Arial"/>
          <w:rtl/>
        </w:rPr>
      </w:pPr>
      <w:r>
        <w:rPr>
          <w:rFonts w:ascii="Arial" w:hAnsi="Arial" w:hint="cs"/>
          <w:rtl/>
        </w:rPr>
        <w:t>עוד הוסיפה ההגנה, כי המניע שהביא הנאשם לעבור העבירה הינו סירוב נפגע העבירה</w:t>
      </w:r>
      <w:r w:rsidRPr="00BF5A21">
        <w:rPr>
          <w:rFonts w:ascii="Arial" w:hAnsi="Arial" w:hint="cs"/>
          <w:rtl/>
        </w:rPr>
        <w:t xml:space="preserve"> לשלם מזונות לבת זוגו מזונות עבור בנה.</w:t>
      </w:r>
    </w:p>
    <w:p w14:paraId="543F1CB2" w14:textId="77777777" w:rsidR="00CC53A3" w:rsidRPr="00BF5A21" w:rsidRDefault="00CC53A3" w:rsidP="00CC53A3">
      <w:pPr>
        <w:spacing w:line="360" w:lineRule="auto"/>
        <w:jc w:val="both"/>
        <w:rPr>
          <w:rFonts w:ascii="Arial" w:hAnsi="Arial"/>
          <w:rtl/>
        </w:rPr>
      </w:pPr>
    </w:p>
    <w:p w14:paraId="143CCC0E" w14:textId="77777777" w:rsidR="00CC53A3" w:rsidRPr="00BF5A21" w:rsidRDefault="00CC53A3" w:rsidP="00CC53A3">
      <w:pPr>
        <w:spacing w:line="360" w:lineRule="auto"/>
        <w:jc w:val="both"/>
        <w:rPr>
          <w:rFonts w:ascii="Arial" w:hAnsi="Arial"/>
          <w:rtl/>
        </w:rPr>
      </w:pPr>
      <w:r w:rsidRPr="00BF5A21">
        <w:rPr>
          <w:rFonts w:ascii="Arial" w:hAnsi="Arial" w:hint="cs"/>
          <w:rtl/>
        </w:rPr>
        <w:t>ההגנה הפנתה לנסיבותיו האישיות של הנאשם, וכן טענה, כי יש ליתן משקל לאמור בתסקיר שירות המבחן ביחס להשלכות ההרשעה על עתידו של הנאשם ומעמדו בארץ</w:t>
      </w:r>
      <w:r>
        <w:rPr>
          <w:rFonts w:ascii="Arial" w:hAnsi="Arial" w:hint="cs"/>
          <w:rtl/>
        </w:rPr>
        <w:t>.</w:t>
      </w:r>
      <w:r w:rsidRPr="00BF5A21">
        <w:rPr>
          <w:rFonts w:ascii="Arial" w:hAnsi="Arial" w:hint="cs"/>
          <w:rtl/>
        </w:rPr>
        <w:t xml:space="preserve"> </w:t>
      </w:r>
      <w:r>
        <w:rPr>
          <w:rFonts w:ascii="Arial" w:hAnsi="Arial" w:hint="cs"/>
          <w:rtl/>
        </w:rPr>
        <w:t xml:space="preserve">לאור האמור, עותרת ההגנה </w:t>
      </w:r>
      <w:r w:rsidRPr="00BF5A21">
        <w:rPr>
          <w:rFonts w:ascii="Arial" w:hAnsi="Arial" w:hint="cs"/>
          <w:rtl/>
        </w:rPr>
        <w:t>לסטות לקולא ממתחם העונש ההולם</w:t>
      </w:r>
      <w:r>
        <w:rPr>
          <w:rFonts w:ascii="Arial" w:hAnsi="Arial" w:hint="cs"/>
          <w:rtl/>
        </w:rPr>
        <w:t xml:space="preserve">. </w:t>
      </w:r>
    </w:p>
    <w:p w14:paraId="7B6D046F" w14:textId="77777777" w:rsidR="00CC53A3" w:rsidRPr="00BF5A21" w:rsidRDefault="00CC53A3" w:rsidP="00CC53A3">
      <w:pPr>
        <w:spacing w:line="360" w:lineRule="auto"/>
        <w:jc w:val="both"/>
        <w:rPr>
          <w:rFonts w:ascii="Arial" w:hAnsi="Arial"/>
          <w:rtl/>
        </w:rPr>
      </w:pPr>
    </w:p>
    <w:p w14:paraId="204FFDE1"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ההגנה ציינה, כי ככל שבית המשפט יפסוק כי העונש הראוי הינו עבודות שירות </w:t>
      </w:r>
      <w:r>
        <w:rPr>
          <w:rFonts w:ascii="Arial" w:hAnsi="Arial"/>
          <w:rtl/>
        </w:rPr>
        <w:t>–</w:t>
      </w:r>
      <w:r>
        <w:rPr>
          <w:rFonts w:ascii="Arial" w:hAnsi="Arial" w:hint="cs"/>
          <w:rtl/>
        </w:rPr>
        <w:t xml:space="preserve"> </w:t>
      </w:r>
      <w:r w:rsidRPr="00BF5A21">
        <w:rPr>
          <w:rFonts w:ascii="Arial" w:hAnsi="Arial" w:hint="cs"/>
          <w:rtl/>
        </w:rPr>
        <w:t>תבקש</w:t>
      </w:r>
      <w:r>
        <w:rPr>
          <w:rFonts w:ascii="Arial" w:hAnsi="Arial" w:hint="cs"/>
          <w:rtl/>
        </w:rPr>
        <w:t>,</w:t>
      </w:r>
      <w:r w:rsidRPr="00BF5A21">
        <w:rPr>
          <w:rFonts w:ascii="Arial" w:hAnsi="Arial" w:hint="cs"/>
          <w:rtl/>
        </w:rPr>
        <w:t xml:space="preserve"> כי משך עבודות השירות יהא לזמן קצר.</w:t>
      </w:r>
    </w:p>
    <w:p w14:paraId="37CB556A" w14:textId="77777777" w:rsidR="00CC53A3" w:rsidRPr="00BF5A21" w:rsidRDefault="00CC53A3" w:rsidP="00CC53A3">
      <w:pPr>
        <w:spacing w:line="360" w:lineRule="auto"/>
        <w:jc w:val="both"/>
        <w:rPr>
          <w:rFonts w:ascii="Arial" w:hAnsi="Arial"/>
          <w:rtl/>
        </w:rPr>
      </w:pPr>
    </w:p>
    <w:p w14:paraId="0E989196" w14:textId="77777777" w:rsidR="00CC53A3" w:rsidRPr="00BF5A21" w:rsidRDefault="00CC53A3" w:rsidP="00CC53A3">
      <w:pPr>
        <w:spacing w:line="360" w:lineRule="auto"/>
        <w:jc w:val="both"/>
        <w:rPr>
          <w:rFonts w:ascii="Arial" w:hAnsi="Arial"/>
          <w:rtl/>
        </w:rPr>
      </w:pPr>
      <w:r w:rsidRPr="00BF5A21">
        <w:rPr>
          <w:rFonts w:ascii="Arial" w:hAnsi="Arial" w:hint="cs"/>
          <w:u w:val="single"/>
          <w:rtl/>
        </w:rPr>
        <w:t>בדברו האחרון</w:t>
      </w:r>
      <w:r w:rsidRPr="00BF5A21">
        <w:rPr>
          <w:rFonts w:ascii="Arial" w:hAnsi="Arial" w:hint="cs"/>
          <w:rtl/>
        </w:rPr>
        <w:t>,</w:t>
      </w:r>
      <w:r>
        <w:rPr>
          <w:rFonts w:ascii="Arial" w:hAnsi="Arial" w:hint="cs"/>
          <w:rtl/>
        </w:rPr>
        <w:t xml:space="preserve"> מסר הנאשם, כי מתחרט על מעשיו, </w:t>
      </w:r>
      <w:r w:rsidRPr="00BF5A21">
        <w:rPr>
          <w:rFonts w:ascii="Arial" w:hAnsi="Arial" w:hint="cs"/>
          <w:rtl/>
        </w:rPr>
        <w:t xml:space="preserve">המדובר במעשה עומד בניגוד לחינוך אותו </w:t>
      </w:r>
      <w:r>
        <w:rPr>
          <w:rFonts w:ascii="Arial" w:hAnsi="Arial" w:hint="cs"/>
          <w:rtl/>
        </w:rPr>
        <w:t>מבקש להעביר</w:t>
      </w:r>
      <w:r w:rsidRPr="00BF5A21">
        <w:rPr>
          <w:rFonts w:ascii="Arial" w:hAnsi="Arial" w:hint="cs"/>
          <w:rtl/>
        </w:rPr>
        <w:t xml:space="preserve"> </w:t>
      </w:r>
      <w:r>
        <w:rPr>
          <w:rFonts w:ascii="Arial" w:hAnsi="Arial" w:hint="cs"/>
          <w:rtl/>
        </w:rPr>
        <w:t>לילדיו. בנוסף</w:t>
      </w:r>
      <w:r w:rsidRPr="00BF5A21">
        <w:rPr>
          <w:rFonts w:ascii="Arial" w:hAnsi="Arial" w:hint="cs"/>
          <w:rtl/>
        </w:rPr>
        <w:t xml:space="preserve">, ציין הנאשם כי בשל מצבו הבריאותי והתעסוקתי, </w:t>
      </w:r>
      <w:r>
        <w:rPr>
          <w:rFonts w:ascii="Arial" w:hAnsi="Arial" w:hint="cs"/>
          <w:rtl/>
        </w:rPr>
        <w:t>י</w:t>
      </w:r>
      <w:r w:rsidRPr="00BF5A21">
        <w:rPr>
          <w:rFonts w:ascii="Arial" w:hAnsi="Arial" w:hint="cs"/>
          <w:rtl/>
        </w:rPr>
        <w:t xml:space="preserve">תקשה להחזיר </w:t>
      </w:r>
      <w:r>
        <w:rPr>
          <w:rFonts w:ascii="Arial" w:hAnsi="Arial" w:hint="cs"/>
          <w:rtl/>
        </w:rPr>
        <w:t>לנפגע</w:t>
      </w:r>
      <w:r w:rsidRPr="00BF5A21">
        <w:rPr>
          <w:rFonts w:ascii="Arial" w:hAnsi="Arial" w:hint="cs"/>
          <w:rtl/>
        </w:rPr>
        <w:t xml:space="preserve"> העבירה את אשר לקח ממנו</w:t>
      </w:r>
      <w:r>
        <w:rPr>
          <w:rFonts w:ascii="Arial" w:hAnsi="Arial" w:hint="cs"/>
          <w:rtl/>
        </w:rPr>
        <w:t xml:space="preserve"> שלא כדין</w:t>
      </w:r>
      <w:r w:rsidRPr="00BF5A21">
        <w:rPr>
          <w:rFonts w:ascii="Arial" w:hAnsi="Arial" w:hint="cs"/>
          <w:rtl/>
        </w:rPr>
        <w:t>.</w:t>
      </w:r>
    </w:p>
    <w:p w14:paraId="0E15E550" w14:textId="77777777" w:rsidR="00CC53A3" w:rsidRPr="00BF5A21" w:rsidRDefault="00CC53A3" w:rsidP="00CC53A3">
      <w:pPr>
        <w:spacing w:line="360" w:lineRule="auto"/>
        <w:jc w:val="both"/>
        <w:rPr>
          <w:rFonts w:ascii="Arial" w:hAnsi="Arial"/>
          <w:rtl/>
        </w:rPr>
      </w:pPr>
    </w:p>
    <w:p w14:paraId="790ADBEA" w14:textId="77777777" w:rsidR="00CC53A3" w:rsidRPr="00BF5A21" w:rsidRDefault="00CC53A3" w:rsidP="00CC53A3">
      <w:pPr>
        <w:spacing w:line="360" w:lineRule="auto"/>
        <w:jc w:val="both"/>
        <w:rPr>
          <w:rFonts w:ascii="Arial" w:hAnsi="Arial"/>
          <w:b/>
          <w:bCs/>
          <w:rtl/>
        </w:rPr>
      </w:pPr>
      <w:r>
        <w:rPr>
          <w:rFonts w:ascii="Arial" w:hAnsi="Arial" w:hint="cs"/>
          <w:b/>
          <w:bCs/>
          <w:rtl/>
        </w:rPr>
        <w:t xml:space="preserve">יחד עם זאת, </w:t>
      </w:r>
      <w:r w:rsidRPr="00BF5A21">
        <w:rPr>
          <w:rFonts w:ascii="Arial" w:hAnsi="Arial" w:hint="cs"/>
          <w:b/>
          <w:bCs/>
          <w:rtl/>
        </w:rPr>
        <w:t xml:space="preserve">בהודעת ההגנה מיום </w:t>
      </w:r>
      <w:r>
        <w:rPr>
          <w:rFonts w:ascii="Arial" w:hAnsi="Arial" w:hint="cs"/>
          <w:b/>
          <w:bCs/>
          <w:rtl/>
        </w:rPr>
        <w:t>05</w:t>
      </w:r>
      <w:r w:rsidRPr="00BF5A21">
        <w:rPr>
          <w:rFonts w:ascii="Arial" w:hAnsi="Arial" w:hint="cs"/>
          <w:b/>
          <w:bCs/>
          <w:rtl/>
        </w:rPr>
        <w:t>.</w:t>
      </w:r>
      <w:r>
        <w:rPr>
          <w:rFonts w:ascii="Arial" w:hAnsi="Arial" w:hint="cs"/>
          <w:b/>
          <w:bCs/>
          <w:rtl/>
        </w:rPr>
        <w:t>05</w:t>
      </w:r>
      <w:r w:rsidRPr="00BF5A21">
        <w:rPr>
          <w:rFonts w:ascii="Arial" w:hAnsi="Arial" w:hint="cs"/>
          <w:b/>
          <w:bCs/>
          <w:rtl/>
        </w:rPr>
        <w:t>.2016, הוצג אישור הפקדה על סך 30,000 ₪ לפקודת נפגע העבירה.</w:t>
      </w:r>
    </w:p>
    <w:p w14:paraId="30A3A681" w14:textId="77777777" w:rsidR="00CC53A3" w:rsidRPr="00BF5A21" w:rsidRDefault="00CC53A3" w:rsidP="00CC53A3">
      <w:pPr>
        <w:spacing w:line="360" w:lineRule="auto"/>
        <w:jc w:val="both"/>
        <w:rPr>
          <w:rFonts w:ascii="Arial" w:hAnsi="Arial"/>
          <w:rtl/>
        </w:rPr>
      </w:pPr>
    </w:p>
    <w:p w14:paraId="11377E81" w14:textId="77777777" w:rsidR="00CC53A3" w:rsidRDefault="00CC53A3" w:rsidP="00CC53A3">
      <w:pPr>
        <w:spacing w:line="360" w:lineRule="auto"/>
        <w:jc w:val="both"/>
        <w:rPr>
          <w:rFonts w:ascii="Arial" w:hAnsi="Arial"/>
          <w:b/>
          <w:bCs/>
          <w:rtl/>
        </w:rPr>
      </w:pPr>
    </w:p>
    <w:p w14:paraId="18FCD3F6" w14:textId="77777777" w:rsidR="00CC53A3" w:rsidRPr="00BF5A21" w:rsidRDefault="00CC53A3" w:rsidP="00CC53A3">
      <w:pPr>
        <w:spacing w:line="360" w:lineRule="auto"/>
        <w:jc w:val="both"/>
        <w:rPr>
          <w:rFonts w:ascii="Arial" w:hAnsi="Arial"/>
          <w:b/>
          <w:bCs/>
          <w:rtl/>
        </w:rPr>
      </w:pPr>
      <w:r w:rsidRPr="00BF5A21">
        <w:rPr>
          <w:rFonts w:ascii="Arial" w:hAnsi="Arial" w:hint="cs"/>
          <w:b/>
          <w:bCs/>
          <w:rtl/>
        </w:rPr>
        <w:t>דיון והכרעה</w:t>
      </w:r>
    </w:p>
    <w:p w14:paraId="365C4794" w14:textId="77777777" w:rsidR="00CC53A3" w:rsidRPr="00BF5A21" w:rsidRDefault="00CC53A3" w:rsidP="00CC53A3">
      <w:pPr>
        <w:spacing w:line="360" w:lineRule="auto"/>
        <w:jc w:val="both"/>
        <w:rPr>
          <w:rFonts w:ascii="Arial" w:hAnsi="Arial"/>
          <w:b/>
          <w:bCs/>
          <w:rtl/>
        </w:rPr>
      </w:pPr>
    </w:p>
    <w:p w14:paraId="0D32CFFC" w14:textId="77777777" w:rsidR="00CC53A3" w:rsidRPr="00D66DCE" w:rsidRDefault="00CC53A3" w:rsidP="00CC53A3">
      <w:pPr>
        <w:spacing w:line="360" w:lineRule="auto"/>
        <w:rPr>
          <w:rtl/>
        </w:rPr>
      </w:pPr>
      <w:r w:rsidRPr="00BF5A21">
        <w:rPr>
          <w:rFonts w:ascii="Arial" w:hAnsi="Arial" w:hint="cs"/>
          <w:rtl/>
        </w:rPr>
        <w:t>העבירות שעבר הנאשם חמורות.</w:t>
      </w:r>
      <w:r w:rsidRPr="00D66DCE">
        <w:rPr>
          <w:rFonts w:cs="Times New Roman"/>
          <w:rtl/>
        </w:rPr>
        <w:t xml:space="preserve"> </w:t>
      </w:r>
      <w:r w:rsidRPr="00D66DCE">
        <w:rPr>
          <w:rtl/>
        </w:rPr>
        <w:t>אדם</w:t>
      </w:r>
      <w:r w:rsidRPr="00D66DCE">
        <w:t xml:space="preserve"> </w:t>
      </w:r>
      <w:r>
        <w:rPr>
          <w:rFonts w:hint="cs"/>
          <w:rtl/>
        </w:rPr>
        <w:t>המתפרץ</w:t>
      </w:r>
      <w:r w:rsidRPr="00D66DCE">
        <w:t xml:space="preserve"> </w:t>
      </w:r>
      <w:r w:rsidRPr="00D66DCE">
        <w:rPr>
          <w:rtl/>
        </w:rPr>
        <w:t>לביתו</w:t>
      </w:r>
      <w:r w:rsidRPr="00D66DCE">
        <w:t xml:space="preserve"> </w:t>
      </w:r>
      <w:r w:rsidRPr="00D66DCE">
        <w:rPr>
          <w:rtl/>
        </w:rPr>
        <w:t>של</w:t>
      </w:r>
      <w:r w:rsidRPr="00D66DCE">
        <w:t xml:space="preserve"> </w:t>
      </w:r>
      <w:r w:rsidRPr="00D66DCE">
        <w:rPr>
          <w:rtl/>
        </w:rPr>
        <w:t>אחר</w:t>
      </w:r>
      <w:r w:rsidRPr="00D66DCE">
        <w:t xml:space="preserve"> </w:t>
      </w:r>
      <w:r w:rsidRPr="00D66DCE">
        <w:rPr>
          <w:rtl/>
        </w:rPr>
        <w:t>פוגע</w:t>
      </w:r>
      <w:r w:rsidRPr="00D66DCE">
        <w:t xml:space="preserve"> </w:t>
      </w:r>
      <w:r w:rsidRPr="00D66DCE">
        <w:rPr>
          <w:rtl/>
        </w:rPr>
        <w:t>בתחושת</w:t>
      </w:r>
      <w:r w:rsidRPr="00D66DCE">
        <w:t xml:space="preserve"> </w:t>
      </w:r>
      <w:r w:rsidRPr="00D66DCE">
        <w:rPr>
          <w:rtl/>
        </w:rPr>
        <w:t>האוטונומיה</w:t>
      </w:r>
      <w:r w:rsidRPr="00D66DCE">
        <w:t xml:space="preserve"> </w:t>
      </w:r>
      <w:r>
        <w:rPr>
          <w:rFonts w:hint="cs"/>
          <w:rtl/>
        </w:rPr>
        <w:t>שלו.</w:t>
      </w:r>
      <w:r w:rsidRPr="00D66DCE">
        <w:t xml:space="preserve"> </w:t>
      </w:r>
      <w:r w:rsidRPr="00D66DCE">
        <w:rPr>
          <w:rtl/>
        </w:rPr>
        <w:t>מעשה</w:t>
      </w:r>
      <w:r w:rsidRPr="00D66DCE">
        <w:t xml:space="preserve"> </w:t>
      </w:r>
      <w:r w:rsidRPr="00D66DCE">
        <w:rPr>
          <w:rtl/>
        </w:rPr>
        <w:t>מסוג</w:t>
      </w:r>
      <w:r w:rsidRPr="00D66DCE">
        <w:t xml:space="preserve"> </w:t>
      </w:r>
      <w:r w:rsidRPr="00D66DCE">
        <w:rPr>
          <w:rtl/>
        </w:rPr>
        <w:t>זה</w:t>
      </w:r>
      <w:r w:rsidRPr="00D66DCE">
        <w:t xml:space="preserve"> </w:t>
      </w:r>
      <w:r w:rsidRPr="00D66DCE">
        <w:rPr>
          <w:rtl/>
        </w:rPr>
        <w:t>מותיר</w:t>
      </w:r>
      <w:r w:rsidRPr="00D66DCE">
        <w:t xml:space="preserve"> </w:t>
      </w:r>
      <w:r w:rsidRPr="00D66DCE">
        <w:rPr>
          <w:rtl/>
        </w:rPr>
        <w:t>רושם</w:t>
      </w:r>
      <w:r w:rsidRPr="00D66DCE">
        <w:t xml:space="preserve"> </w:t>
      </w:r>
      <w:r w:rsidRPr="00D66DCE">
        <w:rPr>
          <w:rtl/>
        </w:rPr>
        <w:t>עז</w:t>
      </w:r>
      <w:r w:rsidRPr="00D66DCE">
        <w:t xml:space="preserve"> </w:t>
      </w:r>
      <w:r w:rsidRPr="00D66DCE">
        <w:rPr>
          <w:rtl/>
        </w:rPr>
        <w:t>ולעתים</w:t>
      </w:r>
      <w:r w:rsidRPr="00D66DCE">
        <w:t xml:space="preserve"> </w:t>
      </w:r>
      <w:r w:rsidRPr="00D66DCE">
        <w:rPr>
          <w:rtl/>
        </w:rPr>
        <w:t>אף</w:t>
      </w:r>
      <w:r w:rsidRPr="00D66DCE">
        <w:t xml:space="preserve"> </w:t>
      </w:r>
      <w:r>
        <w:rPr>
          <w:rFonts w:hint="cs"/>
          <w:rtl/>
        </w:rPr>
        <w:t>טראומתי</w:t>
      </w:r>
      <w:r w:rsidRPr="00D66DCE">
        <w:t xml:space="preserve"> </w:t>
      </w:r>
      <w:r>
        <w:rPr>
          <w:rFonts w:hint="cs"/>
          <w:rtl/>
        </w:rPr>
        <w:t>אצל קרבנות העבירה.</w:t>
      </w:r>
    </w:p>
    <w:p w14:paraId="7161BA81" w14:textId="77777777" w:rsidR="00CC53A3" w:rsidRPr="00BF5A21" w:rsidRDefault="00CC53A3" w:rsidP="00CC53A3">
      <w:pPr>
        <w:spacing w:line="360" w:lineRule="auto"/>
        <w:jc w:val="both"/>
        <w:rPr>
          <w:rFonts w:ascii="Arial" w:hAnsi="Arial"/>
          <w:rtl/>
        </w:rPr>
      </w:pPr>
    </w:p>
    <w:p w14:paraId="4D3CDD66" w14:textId="77777777" w:rsidR="00CC53A3" w:rsidRPr="00BF5A21" w:rsidRDefault="00CC53A3" w:rsidP="00CC53A3">
      <w:pPr>
        <w:spacing w:line="360" w:lineRule="auto"/>
        <w:jc w:val="both"/>
        <w:rPr>
          <w:rFonts w:ascii="Arial" w:hAnsi="Arial"/>
          <w:rtl/>
        </w:rPr>
      </w:pPr>
      <w:r w:rsidRPr="00BF5A21">
        <w:rPr>
          <w:rFonts w:ascii="Arial" w:hAnsi="Arial" w:hint="cs"/>
          <w:rtl/>
        </w:rPr>
        <w:t>כאשר גורם זר חודר לביתו של אדם, גורם נזק לבית ואף גונב טובין המצויים בו – נגרמת</w:t>
      </w:r>
      <w:r>
        <w:rPr>
          <w:rFonts w:ascii="Arial" w:hAnsi="Arial" w:hint="cs"/>
          <w:rtl/>
        </w:rPr>
        <w:t xml:space="preserve"> אף</w:t>
      </w:r>
      <w:r w:rsidRPr="00BF5A21">
        <w:rPr>
          <w:rFonts w:ascii="Arial" w:hAnsi="Arial" w:hint="cs"/>
          <w:rtl/>
        </w:rPr>
        <w:t xml:space="preserve"> פגיעה </w:t>
      </w:r>
      <w:r>
        <w:rPr>
          <w:rFonts w:ascii="Arial" w:hAnsi="Arial" w:hint="cs"/>
          <w:rtl/>
        </w:rPr>
        <w:t>כלכלית</w:t>
      </w:r>
      <w:r w:rsidRPr="00BF5A21">
        <w:rPr>
          <w:rFonts w:ascii="Arial" w:hAnsi="Arial" w:hint="cs"/>
          <w:rtl/>
        </w:rPr>
        <w:t>.</w:t>
      </w:r>
    </w:p>
    <w:p w14:paraId="330679AE" w14:textId="77777777" w:rsidR="00CC53A3" w:rsidRPr="00BF5A21" w:rsidRDefault="00CC53A3" w:rsidP="00CC53A3">
      <w:pPr>
        <w:spacing w:line="360" w:lineRule="auto"/>
        <w:jc w:val="both"/>
        <w:rPr>
          <w:rFonts w:ascii="Arial" w:hAnsi="Arial"/>
          <w:rtl/>
        </w:rPr>
      </w:pPr>
    </w:p>
    <w:p w14:paraId="1A76EA12" w14:textId="77777777" w:rsidR="00CC53A3" w:rsidRPr="00BF5A21" w:rsidRDefault="00CC53A3" w:rsidP="00CC53A3">
      <w:pPr>
        <w:spacing w:line="360" w:lineRule="auto"/>
        <w:jc w:val="both"/>
        <w:rPr>
          <w:rFonts w:ascii="Arial" w:hAnsi="Arial"/>
          <w:rtl/>
        </w:rPr>
      </w:pPr>
      <w:r w:rsidRPr="00BF5A21">
        <w:rPr>
          <w:rFonts w:ascii="Arial" w:hAnsi="Arial" w:hint="cs"/>
          <w:rtl/>
        </w:rPr>
        <w:t>בית המשפט העליון עמד על הצורך להח</w:t>
      </w:r>
      <w:r>
        <w:rPr>
          <w:rFonts w:ascii="Arial" w:hAnsi="Arial" w:hint="cs"/>
          <w:rtl/>
        </w:rPr>
        <w:t>מיר הענישה בגין עבירות אלה. ראו</w:t>
      </w:r>
      <w:r w:rsidRPr="00BF5A21">
        <w:rPr>
          <w:rFonts w:ascii="Arial" w:hAnsi="Arial" w:hint="cs"/>
          <w:rtl/>
        </w:rPr>
        <w:t xml:space="preserve"> </w:t>
      </w:r>
      <w:hyperlink r:id="rId22" w:history="1">
        <w:r w:rsidR="001E0932" w:rsidRPr="001E0932">
          <w:rPr>
            <w:rFonts w:ascii="Arial" w:hAnsi="Arial"/>
            <w:color w:val="0000FF"/>
            <w:u w:val="single"/>
            <w:rtl/>
          </w:rPr>
          <w:t>ע.פ. 3297/10</w:t>
        </w:r>
      </w:hyperlink>
      <w:r w:rsidRPr="00BF5A21">
        <w:rPr>
          <w:rFonts w:ascii="Arial" w:hAnsi="Arial" w:hint="cs"/>
          <w:rtl/>
        </w:rPr>
        <w:t xml:space="preserve"> </w:t>
      </w:r>
      <w:r w:rsidRPr="00BF5A21">
        <w:rPr>
          <w:rFonts w:ascii="Arial" w:hAnsi="Arial" w:hint="cs"/>
          <w:b/>
          <w:bCs/>
          <w:rtl/>
        </w:rPr>
        <w:t xml:space="preserve">וולקוב נ' מדינת ישראל </w:t>
      </w:r>
      <w:r w:rsidRPr="00BF5A21">
        <w:rPr>
          <w:rFonts w:ascii="Arial" w:hAnsi="Arial" w:hint="cs"/>
          <w:rtl/>
        </w:rPr>
        <w:t xml:space="preserve">(פורסם במאגרים): </w:t>
      </w:r>
    </w:p>
    <w:p w14:paraId="5EFE708E" w14:textId="77777777" w:rsidR="00CC53A3" w:rsidRPr="00BF5A21" w:rsidRDefault="00CC53A3" w:rsidP="00CC53A3">
      <w:pPr>
        <w:spacing w:line="360" w:lineRule="auto"/>
        <w:jc w:val="both"/>
        <w:rPr>
          <w:rFonts w:ascii="Arial" w:hAnsi="Arial"/>
          <w:rtl/>
        </w:rPr>
      </w:pPr>
    </w:p>
    <w:p w14:paraId="6230E461" w14:textId="77777777" w:rsidR="00CC53A3" w:rsidRPr="00BF5A21" w:rsidRDefault="00CC53A3" w:rsidP="00CC53A3">
      <w:pPr>
        <w:spacing w:line="360" w:lineRule="auto"/>
        <w:jc w:val="both"/>
        <w:rPr>
          <w:rFonts w:ascii="Arial" w:hAnsi="Arial" w:cs="Aharoni"/>
          <w:rtl/>
        </w:rPr>
      </w:pPr>
      <w:r w:rsidRPr="00BF5A21">
        <w:rPr>
          <w:rFonts w:ascii="Arial" w:hAnsi="Arial" w:cs="Aharoni" w:hint="cs"/>
          <w:rtl/>
        </w:rPr>
        <w:t>בעבירות ההתפרצות יש כדי לערער את ביטחון האישי של הציבור ואת התחושה של 'ביתי הוא מבצרי'. קם אדם בבקרו של יום וכשחוזר לביתו בסוף עמל יומו מוצא הוא כי חדרו לפרטיותו ונטלו את רכושו ואת חפציו שאותם צבר בזיעת אפו ומיטב כספו. מי יעמוד את עוגמת הנפש, הרוגז וחסרון הכיס הנגרמים לציבור שנפגע מאותן עבירות גניבה והתפרצות. ובכלל, בעבירת התפרצות טמון פוטנציאל להתפתחות אלימה, והיא יכולה להתגלגל בנקל לעבירת שוד ואלימות... בעבירות מעין אלה, שומה על בתי המשפט להגן על הציבור מפני פגיעתו הרעה של המערער ושכמותו.</w:t>
      </w:r>
    </w:p>
    <w:p w14:paraId="08B6538E" w14:textId="77777777" w:rsidR="00CC53A3" w:rsidRPr="00BF5A21" w:rsidRDefault="00CC53A3" w:rsidP="00CC53A3">
      <w:pPr>
        <w:spacing w:line="360" w:lineRule="auto"/>
        <w:jc w:val="both"/>
        <w:rPr>
          <w:rFonts w:ascii="Arial" w:hAnsi="Arial"/>
          <w:rtl/>
        </w:rPr>
      </w:pPr>
    </w:p>
    <w:p w14:paraId="55B01ACB" w14:textId="77777777" w:rsidR="00CC53A3" w:rsidRDefault="00CC53A3" w:rsidP="00CC53A3">
      <w:pPr>
        <w:spacing w:line="360" w:lineRule="auto"/>
        <w:rPr>
          <w:rtl/>
        </w:rPr>
      </w:pPr>
    </w:p>
    <w:p w14:paraId="6000BE07" w14:textId="77777777" w:rsidR="00CC53A3" w:rsidRPr="00BF5A21" w:rsidRDefault="00CC53A3" w:rsidP="00CC53A3">
      <w:pPr>
        <w:spacing w:line="360" w:lineRule="auto"/>
        <w:rPr>
          <w:rtl/>
        </w:rPr>
      </w:pPr>
      <w:r>
        <w:rPr>
          <w:rFonts w:hint="cs"/>
          <w:rtl/>
        </w:rPr>
        <w:t>להלן תובא סקירה קצרה של פסיקה לענין עבירות של התפרצות לדירה:</w:t>
      </w:r>
    </w:p>
    <w:p w14:paraId="1786FC0B" w14:textId="77777777" w:rsidR="00CC53A3" w:rsidRPr="00BF5A21" w:rsidRDefault="00CC53A3" w:rsidP="00CC53A3">
      <w:pPr>
        <w:numPr>
          <w:ilvl w:val="0"/>
          <w:numId w:val="2"/>
        </w:numPr>
        <w:spacing w:after="160" w:line="360" w:lineRule="auto"/>
        <w:contextualSpacing/>
        <w:rPr>
          <w:rtl/>
        </w:rPr>
      </w:pPr>
      <w:r w:rsidRPr="00BF5A21">
        <w:rPr>
          <w:rFonts w:hint="cs"/>
          <w:rtl/>
        </w:rPr>
        <w:t xml:space="preserve">בגזר הדין </w:t>
      </w:r>
      <w:hyperlink r:id="rId23" w:history="1">
        <w:r w:rsidR="001E0932" w:rsidRPr="001E0932">
          <w:rPr>
            <w:color w:val="0000FF"/>
            <w:u w:val="single"/>
            <w:rtl/>
          </w:rPr>
          <w:t>ת.פ. (פתח-תקוה) 11520-09-11</w:t>
        </w:r>
      </w:hyperlink>
      <w:r w:rsidRPr="00BF5A21">
        <w:rPr>
          <w:rFonts w:hint="cs"/>
          <w:rtl/>
        </w:rPr>
        <w:t>, נדון נאשם אשר התפרץ לבית מגורים כשבעל הבית לא היה בבית, כאשר לא נגנב רכוש מן הדירה, למאסר כולל בן 18 חדשים, מתוכם 6 חדשים הפעלת מאסר מותנה בחופף;</w:t>
      </w:r>
    </w:p>
    <w:p w14:paraId="3080023F" w14:textId="77777777" w:rsidR="00CC53A3" w:rsidRPr="00BF5A21" w:rsidRDefault="00CC53A3" w:rsidP="00CC53A3">
      <w:pPr>
        <w:numPr>
          <w:ilvl w:val="0"/>
          <w:numId w:val="2"/>
        </w:numPr>
        <w:spacing w:after="160" w:line="360" w:lineRule="auto"/>
        <w:contextualSpacing/>
      </w:pPr>
      <w:r w:rsidRPr="00BF5A21">
        <w:rPr>
          <w:rFonts w:hint="cs"/>
          <w:rtl/>
        </w:rPr>
        <w:t xml:space="preserve">בגזר הדין </w:t>
      </w:r>
      <w:r w:rsidRPr="00CA7CE3">
        <w:rPr>
          <w:rFonts w:hint="cs"/>
          <w:u w:val="single"/>
          <w:rtl/>
        </w:rPr>
        <w:t xml:space="preserve">ת.פ. (פתח-תקוה) </w:t>
      </w:r>
      <w:hyperlink r:id="rId24" w:history="1">
        <w:r w:rsidR="003E3D9B" w:rsidRPr="003E3D9B">
          <w:rPr>
            <w:rStyle w:val="Hyperlink"/>
            <w:rtl/>
          </w:rPr>
          <w:t>3489/06</w:t>
        </w:r>
      </w:hyperlink>
      <w:r w:rsidRPr="00BF5A21">
        <w:rPr>
          <w:rFonts w:hint="cs"/>
          <w:rtl/>
        </w:rPr>
        <w:t>, נדון נאשם</w:t>
      </w:r>
      <w:r>
        <w:rPr>
          <w:rFonts w:hint="cs"/>
          <w:rtl/>
        </w:rPr>
        <w:t>,</w:t>
      </w:r>
      <w:r w:rsidRPr="00BF5A21">
        <w:rPr>
          <w:rFonts w:hint="cs"/>
          <w:rtl/>
        </w:rPr>
        <w:t xml:space="preserve"> אשר התפרץ לדירת מגורים בכך שפתח את דלת הכניסה, שלא היתה נעולה, ונטל רכוש הכולל טלפון נייד, כרטיסי אשראי וכסף, לעונש מאסר כולל בן 13 חדשים, חודש אחד מתוכם הפעלת מאסר מותנה במצטבר;</w:t>
      </w:r>
    </w:p>
    <w:p w14:paraId="39E2F2F8" w14:textId="77777777" w:rsidR="00CC53A3" w:rsidRPr="00BF5A21" w:rsidRDefault="00CC53A3" w:rsidP="00CC53A3">
      <w:pPr>
        <w:numPr>
          <w:ilvl w:val="0"/>
          <w:numId w:val="2"/>
        </w:numPr>
        <w:spacing w:after="160" w:line="360" w:lineRule="auto"/>
        <w:contextualSpacing/>
      </w:pPr>
      <w:r w:rsidRPr="00BF5A21">
        <w:rPr>
          <w:rFonts w:hint="cs"/>
          <w:rtl/>
        </w:rPr>
        <w:t xml:space="preserve">בפסק הדין </w:t>
      </w:r>
      <w:hyperlink r:id="rId25" w:history="1">
        <w:r w:rsidR="001E0932" w:rsidRPr="001E0932">
          <w:rPr>
            <w:color w:val="0000FF"/>
            <w:u w:val="single"/>
            <w:rtl/>
          </w:rPr>
          <w:t>עפ"ג (מחוזי תל-אביב) 40032-05-10</w:t>
        </w:r>
      </w:hyperlink>
      <w:r w:rsidRPr="00BF5A21">
        <w:rPr>
          <w:rFonts w:hint="cs"/>
          <w:rtl/>
        </w:rPr>
        <w:t xml:space="preserve">, </w:t>
      </w:r>
      <w:r>
        <w:rPr>
          <w:rFonts w:hint="cs"/>
          <w:rtl/>
        </w:rPr>
        <w:t>התקבל</w:t>
      </w:r>
      <w:r w:rsidRPr="00BF5A21">
        <w:rPr>
          <w:rFonts w:hint="cs"/>
          <w:rtl/>
        </w:rPr>
        <w:t xml:space="preserve"> ערעור המדינה על קולת העונש והוחמר ענשו של מי ש</w:t>
      </w:r>
      <w:r>
        <w:rPr>
          <w:rFonts w:hint="cs"/>
          <w:rtl/>
        </w:rPr>
        <w:t>ה</w:t>
      </w:r>
      <w:r w:rsidRPr="00BF5A21">
        <w:rPr>
          <w:rFonts w:hint="cs"/>
          <w:rtl/>
        </w:rPr>
        <w:t>תפרץ לדירה וגנב רכוש מתוכה לעונש מאסר בן 6 חדשים לריצוי בדרך של עבודות שירות.</w:t>
      </w:r>
    </w:p>
    <w:p w14:paraId="528FE3E4" w14:textId="77777777" w:rsidR="00CC53A3" w:rsidRDefault="00CC53A3" w:rsidP="00CC53A3">
      <w:pPr>
        <w:spacing w:line="360" w:lineRule="auto"/>
        <w:rPr>
          <w:rtl/>
        </w:rPr>
      </w:pPr>
    </w:p>
    <w:p w14:paraId="75268CD3" w14:textId="77777777" w:rsidR="00CC53A3" w:rsidRPr="00BF5A21" w:rsidRDefault="00CC53A3" w:rsidP="00CC53A3">
      <w:pPr>
        <w:spacing w:line="360" w:lineRule="auto"/>
        <w:rPr>
          <w:rtl/>
        </w:rPr>
      </w:pPr>
      <w:r w:rsidRPr="00BF5A21">
        <w:rPr>
          <w:rFonts w:hint="cs"/>
          <w:rtl/>
        </w:rPr>
        <w:t>בית המשפט מוצא לקבוע מתחם ענישה בגין עבירה של התפרצות לבית מ</w:t>
      </w:r>
      <w:r>
        <w:rPr>
          <w:rFonts w:hint="cs"/>
          <w:rtl/>
        </w:rPr>
        <w:t>גורים, לרבות גניבת טובין מתוכו</w:t>
      </w:r>
      <w:r w:rsidRPr="00BF5A21">
        <w:rPr>
          <w:rFonts w:hint="cs"/>
          <w:rtl/>
        </w:rPr>
        <w:t xml:space="preserve">, כך שינוע בין </w:t>
      </w:r>
      <w:r>
        <w:rPr>
          <w:rFonts w:hint="cs"/>
          <w:rtl/>
        </w:rPr>
        <w:t>ששה ועד ל – 18 חדשי מאסר בפועל.</w:t>
      </w:r>
    </w:p>
    <w:p w14:paraId="62F5632D" w14:textId="77777777" w:rsidR="00CC53A3" w:rsidRPr="00BF5A21" w:rsidRDefault="00CC53A3" w:rsidP="00CC53A3">
      <w:pPr>
        <w:spacing w:line="360" w:lineRule="auto"/>
        <w:jc w:val="both"/>
        <w:rPr>
          <w:rFonts w:ascii="Arial" w:hAnsi="Arial"/>
          <w:rtl/>
        </w:rPr>
      </w:pPr>
    </w:p>
    <w:p w14:paraId="7AEA9E2B" w14:textId="77777777" w:rsidR="00CC53A3" w:rsidRDefault="00CC53A3" w:rsidP="00CC53A3">
      <w:pPr>
        <w:spacing w:line="360" w:lineRule="auto"/>
        <w:jc w:val="both"/>
        <w:rPr>
          <w:rFonts w:ascii="Arial" w:hAnsi="Arial"/>
          <w:rtl/>
        </w:rPr>
      </w:pPr>
      <w:r w:rsidRPr="00BF5A21">
        <w:rPr>
          <w:rFonts w:ascii="Arial" w:hAnsi="Arial" w:hint="cs"/>
          <w:rtl/>
        </w:rPr>
        <w:t xml:space="preserve">אשר </w:t>
      </w:r>
      <w:r>
        <w:rPr>
          <w:rFonts w:ascii="Arial" w:hAnsi="Arial" w:hint="cs"/>
          <w:rtl/>
        </w:rPr>
        <w:t>ל</w:t>
      </w:r>
      <w:r w:rsidRPr="00BF5A21">
        <w:rPr>
          <w:rFonts w:ascii="Arial" w:hAnsi="Arial" w:hint="cs"/>
          <w:rtl/>
        </w:rPr>
        <w:t>עבירה של החזקת סם לצריכה עצמית, הערך החברתי המוגן בעבירות מסוג זה,  הינו החובה להגן על שלמות בריאותו הנפשית והפי</w:t>
      </w:r>
      <w:r>
        <w:rPr>
          <w:rFonts w:ascii="Arial" w:hAnsi="Arial" w:hint="cs"/>
          <w:rtl/>
        </w:rPr>
        <w:t>ס</w:t>
      </w:r>
      <w:r w:rsidRPr="00BF5A21">
        <w:rPr>
          <w:rFonts w:ascii="Arial" w:hAnsi="Arial" w:hint="cs"/>
          <w:rtl/>
        </w:rPr>
        <w:t>ית של הציבור.</w:t>
      </w:r>
    </w:p>
    <w:p w14:paraId="15C2DC3F" w14:textId="77777777" w:rsidR="00CC53A3" w:rsidRPr="00BF5A21" w:rsidRDefault="00CC53A3" w:rsidP="00CC53A3">
      <w:pPr>
        <w:spacing w:line="360" w:lineRule="auto"/>
        <w:jc w:val="both"/>
        <w:rPr>
          <w:rFonts w:ascii="Arial" w:hAnsi="Arial"/>
          <w:rtl/>
        </w:rPr>
      </w:pPr>
    </w:p>
    <w:p w14:paraId="6F8823D7" w14:textId="77777777" w:rsidR="00CC53A3" w:rsidRPr="00BF5A21" w:rsidRDefault="00CC53A3" w:rsidP="00CC53A3">
      <w:pPr>
        <w:spacing w:line="360" w:lineRule="auto"/>
        <w:jc w:val="both"/>
        <w:rPr>
          <w:rFonts w:ascii="Arial" w:hAnsi="Arial"/>
          <w:rtl/>
        </w:rPr>
      </w:pPr>
      <w:r w:rsidRPr="00BF5A21">
        <w:rPr>
          <w:rFonts w:ascii="Arial" w:hAnsi="Arial" w:hint="cs"/>
          <w:rtl/>
        </w:rPr>
        <w:t>כפי שנקבע בפסיקה</w:t>
      </w:r>
      <w:r>
        <w:rPr>
          <w:rFonts w:ascii="Arial" w:hAnsi="Arial" w:hint="cs"/>
          <w:rtl/>
        </w:rPr>
        <w:t xml:space="preserve"> שלהלן,</w:t>
      </w:r>
      <w:r w:rsidRPr="00BF5A21">
        <w:rPr>
          <w:rFonts w:ascii="Arial" w:hAnsi="Arial" w:hint="cs"/>
          <w:rtl/>
        </w:rPr>
        <w:t xml:space="preserve"> </w:t>
      </w:r>
      <w:r>
        <w:rPr>
          <w:rFonts w:ascii="Arial" w:hAnsi="Arial" w:hint="cs"/>
          <w:rtl/>
        </w:rPr>
        <w:t xml:space="preserve">קיים </w:t>
      </w:r>
      <w:r w:rsidRPr="00BF5A21">
        <w:rPr>
          <w:rFonts w:ascii="Arial" w:hAnsi="Arial" w:hint="cs"/>
          <w:rtl/>
        </w:rPr>
        <w:t xml:space="preserve">צורך להשית ענישה מחמירה ומרתיעה בגין עבירות הסמים השונות. </w:t>
      </w:r>
    </w:p>
    <w:p w14:paraId="54D3EFD5" w14:textId="77777777" w:rsidR="00CC53A3" w:rsidRDefault="00CC53A3" w:rsidP="00CC53A3">
      <w:pPr>
        <w:spacing w:line="360" w:lineRule="auto"/>
        <w:jc w:val="both"/>
        <w:rPr>
          <w:rFonts w:ascii="Arial" w:hAnsi="Arial"/>
          <w:rtl/>
        </w:rPr>
      </w:pPr>
    </w:p>
    <w:p w14:paraId="61A49A9D" w14:textId="77777777" w:rsidR="00CC53A3" w:rsidRPr="00BF5A21" w:rsidRDefault="00CC53A3" w:rsidP="00CC53A3">
      <w:pPr>
        <w:spacing w:line="360" w:lineRule="auto"/>
        <w:jc w:val="both"/>
        <w:rPr>
          <w:rFonts w:ascii="Arial" w:hAnsi="Arial"/>
          <w:rtl/>
        </w:rPr>
      </w:pPr>
      <w:r w:rsidRPr="00BF5A21">
        <w:rPr>
          <w:rFonts w:ascii="Arial" w:hAnsi="Arial" w:hint="cs"/>
          <w:rtl/>
        </w:rPr>
        <w:t>ראו דברי כב' השופטת ברלינר ב</w:t>
      </w:r>
      <w:hyperlink r:id="rId26" w:history="1">
        <w:r w:rsidR="001E0932" w:rsidRPr="001E0932">
          <w:rPr>
            <w:rFonts w:ascii="Arial" w:hAnsi="Arial"/>
            <w:color w:val="0000FF"/>
            <w:u w:val="single"/>
            <w:rtl/>
          </w:rPr>
          <w:t>ע"פ 170/07</w:t>
        </w:r>
      </w:hyperlink>
      <w:r w:rsidRPr="00BF5A21">
        <w:rPr>
          <w:rFonts w:ascii="Arial" w:hAnsi="Arial" w:hint="cs"/>
          <w:rtl/>
        </w:rPr>
        <w:t xml:space="preserve"> </w:t>
      </w:r>
      <w:r w:rsidRPr="00BF5A21">
        <w:rPr>
          <w:rFonts w:ascii="Arial" w:hAnsi="Arial" w:hint="cs"/>
          <w:b/>
          <w:bCs/>
          <w:rtl/>
        </w:rPr>
        <w:t>מטיס נ' מדינת ישראל</w:t>
      </w:r>
      <w:r w:rsidRPr="00BF5A21">
        <w:rPr>
          <w:rFonts w:ascii="Arial" w:hAnsi="Arial" w:hint="cs"/>
          <w:rtl/>
        </w:rPr>
        <w:t xml:space="preserve">  שם דובר בעבירה לשימוש עצמי בסמים </w:t>
      </w:r>
      <w:r>
        <w:rPr>
          <w:rFonts w:ascii="Arial" w:hAnsi="Arial" w:hint="cs"/>
          <w:rtl/>
        </w:rPr>
        <w:t xml:space="preserve">המכונים </w:t>
      </w:r>
      <w:r w:rsidRPr="00BF5A21">
        <w:rPr>
          <w:rFonts w:ascii="Arial" w:hAnsi="Arial" w:hint="cs"/>
          <w:rtl/>
        </w:rPr>
        <w:t>"קלים":</w:t>
      </w:r>
    </w:p>
    <w:p w14:paraId="02CC69E2" w14:textId="77777777" w:rsidR="00CC53A3" w:rsidRPr="00BF5A21" w:rsidRDefault="00CC53A3" w:rsidP="00CC53A3">
      <w:pPr>
        <w:spacing w:line="360" w:lineRule="auto"/>
        <w:jc w:val="both"/>
        <w:rPr>
          <w:rFonts w:ascii="Arial" w:hAnsi="Arial"/>
          <w:rtl/>
        </w:rPr>
      </w:pPr>
    </w:p>
    <w:p w14:paraId="7706A557" w14:textId="77777777" w:rsidR="00CC53A3" w:rsidRDefault="00CC53A3" w:rsidP="00CC53A3">
      <w:pPr>
        <w:spacing w:line="360" w:lineRule="auto"/>
        <w:jc w:val="both"/>
        <w:rPr>
          <w:rFonts w:ascii="Arial" w:hAnsi="Arial" w:cs="Aharoni"/>
          <w:rtl/>
        </w:rPr>
      </w:pPr>
    </w:p>
    <w:p w14:paraId="5501FB2F" w14:textId="77777777" w:rsidR="00CC53A3" w:rsidRDefault="00CC53A3" w:rsidP="00CC53A3">
      <w:pPr>
        <w:spacing w:line="360" w:lineRule="auto"/>
        <w:jc w:val="both"/>
        <w:rPr>
          <w:rFonts w:ascii="Arial" w:hAnsi="Arial" w:cs="Aharoni"/>
          <w:rtl/>
        </w:rPr>
      </w:pPr>
    </w:p>
    <w:p w14:paraId="480E1F4D" w14:textId="77777777" w:rsidR="00CC53A3" w:rsidRPr="00BF5A21" w:rsidRDefault="00CC53A3" w:rsidP="00CC53A3">
      <w:pPr>
        <w:spacing w:line="360" w:lineRule="auto"/>
        <w:jc w:val="both"/>
        <w:rPr>
          <w:rFonts w:ascii="Arial" w:hAnsi="Arial" w:cs="Aharoni"/>
          <w:rtl/>
        </w:rPr>
      </w:pPr>
      <w:r w:rsidRPr="00BF5A21">
        <w:rPr>
          <w:rFonts w:ascii="Arial" w:hAnsi="Arial" w:cs="Aharoni" w:hint="cs"/>
          <w:rt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w:t>
      </w:r>
      <w:r>
        <w:rPr>
          <w:rFonts w:ascii="Arial" w:hAnsi="Arial" w:cs="Aharoni" w:hint="cs"/>
          <w:rtl/>
        </w:rPr>
        <w:t xml:space="preserve"> שגם בשימוש בהם עצמם טמונה סכנה</w:t>
      </w:r>
      <w:r w:rsidRPr="00BF5A21">
        <w:rPr>
          <w:rFonts w:ascii="Arial" w:hAnsi="Arial" w:cs="Aharoni" w:hint="cs"/>
          <w:rtl/>
        </w:rPr>
        <w:t>.</w:t>
      </w:r>
    </w:p>
    <w:p w14:paraId="60D3B605" w14:textId="77777777" w:rsidR="00CC53A3" w:rsidRPr="00BF5A21" w:rsidRDefault="00CC53A3" w:rsidP="00CC53A3">
      <w:pPr>
        <w:spacing w:line="360" w:lineRule="auto"/>
        <w:jc w:val="both"/>
        <w:rPr>
          <w:rFonts w:ascii="Arial" w:hAnsi="Arial"/>
          <w:rtl/>
        </w:rPr>
      </w:pPr>
    </w:p>
    <w:p w14:paraId="34FAD0FB" w14:textId="77777777" w:rsidR="00CC53A3" w:rsidRPr="00BF5A21" w:rsidRDefault="00CC53A3" w:rsidP="00CC53A3">
      <w:pPr>
        <w:spacing w:line="360" w:lineRule="auto"/>
        <w:jc w:val="both"/>
        <w:rPr>
          <w:rFonts w:ascii="Arial" w:hAnsi="Arial"/>
          <w:rtl/>
        </w:rPr>
      </w:pPr>
      <w:r w:rsidRPr="00BF5A21">
        <w:rPr>
          <w:rFonts w:ascii="Arial" w:hAnsi="Arial" w:hint="cs"/>
          <w:rtl/>
        </w:rPr>
        <w:t>ראו</w:t>
      </w:r>
      <w:r>
        <w:rPr>
          <w:rFonts w:ascii="Arial" w:hAnsi="Arial" w:hint="cs"/>
          <w:rtl/>
        </w:rPr>
        <w:t>,</w:t>
      </w:r>
      <w:r w:rsidRPr="00BF5A21">
        <w:rPr>
          <w:rFonts w:ascii="Arial" w:hAnsi="Arial" w:hint="cs"/>
          <w:rtl/>
        </w:rPr>
        <w:t xml:space="preserve"> בנוסף, ת"פ 12-09-18306 </w:t>
      </w:r>
      <w:r w:rsidRPr="00BF5A21">
        <w:rPr>
          <w:rFonts w:ascii="Arial" w:hAnsi="Arial" w:hint="cs"/>
          <w:b/>
          <w:bCs/>
          <w:rtl/>
        </w:rPr>
        <w:t>מדינת ישראל נ' סאמר פח'ר אלדין ואח'</w:t>
      </w:r>
      <w:r w:rsidRPr="00BF5A21">
        <w:rPr>
          <w:rFonts w:ascii="Arial" w:hAnsi="Arial" w:hint="cs"/>
          <w:rtl/>
        </w:rPr>
        <w:t xml:space="preserve">: </w:t>
      </w:r>
    </w:p>
    <w:p w14:paraId="15300DFE" w14:textId="77777777" w:rsidR="00CC53A3" w:rsidRPr="00BF5A21" w:rsidRDefault="00CC53A3" w:rsidP="00CC53A3">
      <w:pPr>
        <w:spacing w:line="360" w:lineRule="auto"/>
        <w:jc w:val="both"/>
        <w:rPr>
          <w:rFonts w:ascii="Arial" w:hAnsi="Arial"/>
          <w:rtl/>
        </w:rPr>
      </w:pPr>
    </w:p>
    <w:p w14:paraId="6F9596D2" w14:textId="77777777" w:rsidR="00CC53A3" w:rsidRPr="00BF5A21" w:rsidRDefault="00CC53A3" w:rsidP="00CC53A3">
      <w:pPr>
        <w:spacing w:line="360" w:lineRule="auto"/>
        <w:jc w:val="both"/>
        <w:rPr>
          <w:rFonts w:ascii="Arial" w:hAnsi="Arial" w:cs="Aharoni"/>
          <w:rtl/>
        </w:rPr>
      </w:pPr>
      <w:r w:rsidRPr="00BF5A21">
        <w:rPr>
          <w:rFonts w:ascii="Arial" w:hAnsi="Arial" w:cs="Aharoni" w:hint="cs"/>
          <w:rtl/>
        </w:rPr>
        <w:t xml:space="preserve">עבירת השימוש בסם לצריכה עצמית מהווה היא את דלת הכניסה אל עולם הפשע. אל לו לבית המשפט לזלזל בחומרתה של עבירה זו אשר לעיתים רבות יש בה כדי להוביל את אותו אדם אשר נוהג להשתמש בסמים אל עבר ביצוע עבירות חמורות יותר כגון גניבה, פריצה, שוד ועבירות אלימות נוספות שכל מטרתן להביא ליכולת מימון הסמים והצריכה במיוחד על רקע מצב כלכלי ונסיבות אישיות כמו אלו אשר צויינו בפניי. על בית המשפט להעביר מסר חד וברור אף ביחס לאלה המשתמשים בסם לצורך צריכה עצמית ולא להמתין עד להסתבכותם בעבירות סמים חמורות יותר. אין ספק, כי השלב הבא לאחר שימוש  בסמים לצריכה עצמית, הינו שלב חמור יותר ביחס לביצוע עבירות סם </w:t>
      </w:r>
      <w:r>
        <w:rPr>
          <w:rFonts w:ascii="Arial" w:hAnsi="Arial" w:cs="Aharoni" w:hint="cs"/>
          <w:rtl/>
        </w:rPr>
        <w:t>חמורות שיש בהן לפגוע בחברה כולה</w:t>
      </w:r>
      <w:r w:rsidRPr="00BF5A21">
        <w:rPr>
          <w:rFonts w:ascii="Arial" w:hAnsi="Arial" w:cs="Aharoni" w:hint="cs"/>
          <w:rtl/>
        </w:rPr>
        <w:t xml:space="preserve">. </w:t>
      </w:r>
    </w:p>
    <w:p w14:paraId="58C7F66A" w14:textId="77777777" w:rsidR="00CC53A3" w:rsidRPr="00BF5A21" w:rsidRDefault="00CC53A3" w:rsidP="00CC53A3">
      <w:pPr>
        <w:spacing w:line="360" w:lineRule="auto"/>
        <w:jc w:val="both"/>
        <w:rPr>
          <w:rFonts w:ascii="Arial" w:hAnsi="Arial"/>
          <w:rtl/>
        </w:rPr>
      </w:pPr>
    </w:p>
    <w:p w14:paraId="0A4531BA" w14:textId="77777777" w:rsidR="00CC53A3" w:rsidRPr="00BF5A21" w:rsidRDefault="00CC53A3" w:rsidP="00CC53A3">
      <w:pPr>
        <w:spacing w:line="360" w:lineRule="auto"/>
        <w:jc w:val="both"/>
        <w:rPr>
          <w:rFonts w:ascii="Arial" w:hAnsi="Arial"/>
          <w:rtl/>
        </w:rPr>
      </w:pPr>
      <w:r w:rsidRPr="00BF5A21">
        <w:rPr>
          <w:rFonts w:hint="cs"/>
          <w:rtl/>
        </w:rPr>
        <w:t xml:space="preserve">בית המשפט מוצא לקבוע מתחם ענישה בגין עבירה של </w:t>
      </w:r>
      <w:r w:rsidRPr="00BF5A21">
        <w:rPr>
          <w:rFonts w:ascii="Arial" w:hAnsi="Arial" w:hint="cs"/>
          <w:rtl/>
        </w:rPr>
        <w:t xml:space="preserve">החזקת סמים לשימוש עצמי, בנסיבות דומות, אשר ינוע בין מאסר מותנה לבין מאסר </w:t>
      </w:r>
      <w:r>
        <w:rPr>
          <w:rFonts w:ascii="Arial" w:hAnsi="Arial" w:hint="cs"/>
          <w:rtl/>
        </w:rPr>
        <w:t xml:space="preserve">קצר </w:t>
      </w:r>
      <w:r w:rsidRPr="00BF5A21">
        <w:rPr>
          <w:rFonts w:ascii="Arial" w:hAnsi="Arial" w:hint="cs"/>
          <w:rtl/>
        </w:rPr>
        <w:t>בפועל</w:t>
      </w:r>
      <w:r>
        <w:rPr>
          <w:rFonts w:ascii="Arial" w:hAnsi="Arial" w:hint="cs"/>
          <w:rtl/>
        </w:rPr>
        <w:t>,</w:t>
      </w:r>
      <w:r w:rsidRPr="00BF5A21">
        <w:rPr>
          <w:rFonts w:ascii="Arial" w:hAnsi="Arial" w:hint="cs"/>
          <w:rtl/>
        </w:rPr>
        <w:t xml:space="preserve"> שיכול וירוצה בעבודות שירות</w:t>
      </w:r>
      <w:r>
        <w:rPr>
          <w:rFonts w:ascii="Arial" w:hAnsi="Arial" w:hint="cs"/>
          <w:rtl/>
        </w:rPr>
        <w:t>:</w:t>
      </w:r>
    </w:p>
    <w:p w14:paraId="1B9171A8" w14:textId="77777777" w:rsidR="00CC53A3" w:rsidRPr="00BF5A21" w:rsidRDefault="00CC53A3" w:rsidP="00CC53A3">
      <w:pPr>
        <w:spacing w:line="360" w:lineRule="auto"/>
        <w:jc w:val="both"/>
        <w:rPr>
          <w:rFonts w:ascii="Arial" w:hAnsi="Arial"/>
          <w:rtl/>
        </w:rPr>
      </w:pPr>
    </w:p>
    <w:p w14:paraId="35C1FFA4" w14:textId="77777777" w:rsidR="00CC53A3" w:rsidRPr="00BF5A21" w:rsidRDefault="001E0932" w:rsidP="00CC53A3">
      <w:pPr>
        <w:numPr>
          <w:ilvl w:val="0"/>
          <w:numId w:val="3"/>
        </w:numPr>
        <w:spacing w:after="160" w:line="360" w:lineRule="auto"/>
        <w:contextualSpacing/>
        <w:jc w:val="both"/>
        <w:rPr>
          <w:rFonts w:ascii="Arial" w:hAnsi="Arial"/>
          <w:rtl/>
        </w:rPr>
      </w:pPr>
      <w:hyperlink r:id="rId27" w:history="1">
        <w:r w:rsidRPr="001E0932">
          <w:rPr>
            <w:rFonts w:ascii="Arial" w:hAnsi="Arial"/>
            <w:color w:val="0000FF"/>
            <w:u w:val="single"/>
            <w:rtl/>
          </w:rPr>
          <w:t>רע"פ 6138/09</w:t>
        </w:r>
      </w:hyperlink>
      <w:r w:rsidR="00CC53A3" w:rsidRPr="00BF5A21">
        <w:rPr>
          <w:rFonts w:ascii="Arial" w:hAnsi="Arial" w:hint="cs"/>
          <w:rtl/>
        </w:rPr>
        <w:t xml:space="preserve"> </w:t>
      </w:r>
      <w:r w:rsidR="00CC53A3" w:rsidRPr="00BF5A21">
        <w:rPr>
          <w:rFonts w:ascii="Arial" w:hAnsi="Arial" w:hint="cs"/>
          <w:b/>
          <w:bCs/>
          <w:rtl/>
        </w:rPr>
        <w:t>איליה פרדזב נ' מדינת ישראל</w:t>
      </w:r>
      <w:r w:rsidR="00CC53A3" w:rsidRPr="00BF5A21">
        <w:rPr>
          <w:rFonts w:ascii="Arial" w:hAnsi="Arial" w:hint="cs"/>
          <w:rtl/>
        </w:rPr>
        <w:t xml:space="preserve">, נדחה ערעורו של נאשם שהורשע בביצוע מספר עבירות של החזקת סם מסוכן לצריכה עצמית ונדון ל-8 חודשי מאסר, 12 חודשי מאסר מותנה, קנס כספי בסך 2,500 ₪ </w:t>
      </w:r>
      <w:r w:rsidR="00CC53A3">
        <w:rPr>
          <w:rFonts w:ascii="Arial" w:hAnsi="Arial" w:hint="cs"/>
          <w:rtl/>
        </w:rPr>
        <w:t>ו</w:t>
      </w:r>
      <w:r w:rsidR="00CC53A3" w:rsidRPr="00BF5A21">
        <w:rPr>
          <w:rFonts w:ascii="Arial" w:hAnsi="Arial" w:hint="cs"/>
          <w:rtl/>
        </w:rPr>
        <w:t xml:space="preserve">פסילת רישיון נהיגה למשך שנתיים. </w:t>
      </w:r>
    </w:p>
    <w:p w14:paraId="6E790699" w14:textId="77777777" w:rsidR="00CC53A3" w:rsidRPr="00BF5A21" w:rsidRDefault="001E0932" w:rsidP="00CC53A3">
      <w:pPr>
        <w:numPr>
          <w:ilvl w:val="0"/>
          <w:numId w:val="3"/>
        </w:numPr>
        <w:spacing w:after="160" w:line="360" w:lineRule="auto"/>
        <w:contextualSpacing/>
        <w:jc w:val="both"/>
        <w:rPr>
          <w:rFonts w:ascii="Arial" w:hAnsi="Arial"/>
          <w:rtl/>
        </w:rPr>
      </w:pPr>
      <w:hyperlink r:id="rId28" w:history="1">
        <w:r w:rsidRPr="001E0932">
          <w:rPr>
            <w:rFonts w:ascii="Arial" w:hAnsi="Arial"/>
            <w:color w:val="0000FF"/>
            <w:u w:val="single"/>
            <w:rtl/>
          </w:rPr>
          <w:t>ת"פ 32746-11-09</w:t>
        </w:r>
      </w:hyperlink>
      <w:r w:rsidR="00CC53A3" w:rsidRPr="00BF5A21">
        <w:rPr>
          <w:rFonts w:ascii="Arial" w:hAnsi="Arial" w:hint="cs"/>
          <w:rtl/>
        </w:rPr>
        <w:t xml:space="preserve"> </w:t>
      </w:r>
      <w:r w:rsidR="00CC53A3" w:rsidRPr="00BF5A21">
        <w:rPr>
          <w:rFonts w:ascii="Arial" w:hAnsi="Arial" w:hint="cs"/>
          <w:b/>
          <w:bCs/>
          <w:rtl/>
        </w:rPr>
        <w:t>מדינת ישראל נ' ביטון ואח'</w:t>
      </w:r>
      <w:r w:rsidR="00CC53A3" w:rsidRPr="00BF5A21">
        <w:rPr>
          <w:rFonts w:ascii="Arial" w:hAnsi="Arial" w:hint="cs"/>
          <w:rtl/>
        </w:rPr>
        <w:t xml:space="preserve">  נדון נאשם, נעדר עבר פלילי, שהורשע בהחזקת קנבוס במשקל כ-18 גרם, </w:t>
      </w:r>
      <w:r w:rsidR="00CC53A3">
        <w:rPr>
          <w:rFonts w:ascii="Arial" w:hAnsi="Arial" w:hint="cs"/>
          <w:rtl/>
        </w:rPr>
        <w:t>ל</w:t>
      </w:r>
      <w:r w:rsidR="00CC53A3" w:rsidRPr="00BF5A21">
        <w:rPr>
          <w:rFonts w:ascii="Arial" w:hAnsi="Arial" w:hint="cs"/>
          <w:rtl/>
        </w:rPr>
        <w:t>מאסר החופף את תקופת מעצרו למשך חודשיים ושבוע ומאסר מותנה.</w:t>
      </w:r>
    </w:p>
    <w:p w14:paraId="33FF1B7C" w14:textId="77777777" w:rsidR="00CC53A3" w:rsidRDefault="00CC53A3" w:rsidP="00CC53A3">
      <w:pPr>
        <w:spacing w:line="360" w:lineRule="auto"/>
        <w:jc w:val="both"/>
        <w:rPr>
          <w:rFonts w:ascii="Arial" w:hAnsi="Arial"/>
          <w:rtl/>
        </w:rPr>
      </w:pPr>
    </w:p>
    <w:p w14:paraId="5CCE4048" w14:textId="77777777" w:rsidR="00CC53A3" w:rsidRPr="00BF5A21" w:rsidRDefault="00CC53A3" w:rsidP="00CC53A3">
      <w:pPr>
        <w:spacing w:line="360" w:lineRule="auto"/>
        <w:jc w:val="both"/>
        <w:rPr>
          <w:rFonts w:ascii="Arial" w:hAnsi="Arial"/>
          <w:rtl/>
        </w:rPr>
      </w:pPr>
      <w:r>
        <w:rPr>
          <w:rFonts w:ascii="Arial" w:hAnsi="Arial" w:hint="cs"/>
          <w:rtl/>
        </w:rPr>
        <w:t>בנוסף, יושתו, על דרך הכלל, גם עיצומים כספיים וענשים של פסילת רשיון נהיגה, בפועל ועל תנאי</w:t>
      </w:r>
      <w:r w:rsidRPr="00BF5A21">
        <w:rPr>
          <w:rFonts w:ascii="Arial" w:hAnsi="Arial" w:hint="cs"/>
          <w:rtl/>
        </w:rPr>
        <w:t>:</w:t>
      </w:r>
    </w:p>
    <w:p w14:paraId="6F84FAFF" w14:textId="77777777" w:rsidR="00CC53A3" w:rsidRPr="00BF5A21" w:rsidRDefault="00CC53A3" w:rsidP="00CC53A3">
      <w:pPr>
        <w:spacing w:line="360" w:lineRule="auto"/>
        <w:jc w:val="both"/>
        <w:rPr>
          <w:rFonts w:ascii="Arial" w:hAnsi="Arial"/>
          <w:rtl/>
        </w:rPr>
      </w:pPr>
    </w:p>
    <w:p w14:paraId="5B9DF79B" w14:textId="77777777" w:rsidR="00CC53A3" w:rsidRDefault="00CC53A3" w:rsidP="00CC53A3">
      <w:pPr>
        <w:spacing w:line="360" w:lineRule="auto"/>
        <w:jc w:val="both"/>
        <w:rPr>
          <w:rFonts w:ascii="Arial" w:hAnsi="Arial"/>
          <w:rtl/>
        </w:rPr>
      </w:pPr>
      <w:r w:rsidRPr="00BF5A21">
        <w:rPr>
          <w:rFonts w:ascii="Arial" w:hAnsi="Arial" w:hint="cs"/>
          <w:rtl/>
        </w:rPr>
        <w:t>בנסיבותיו של המקרה דנן, כאשר המדובר בעבירת סמים במדרג הנמוך, יעמיד בית המשפט את מתחם הענישה בגין עבירת הסמים בחופף</w:t>
      </w:r>
      <w:r>
        <w:rPr>
          <w:rFonts w:ascii="Arial" w:hAnsi="Arial" w:hint="cs"/>
          <w:rtl/>
        </w:rPr>
        <w:t xml:space="preserve"> למתחם שנקבע ל</w:t>
      </w:r>
      <w:r w:rsidRPr="00BF5A21">
        <w:rPr>
          <w:rFonts w:ascii="Arial" w:hAnsi="Arial" w:hint="cs"/>
          <w:rtl/>
        </w:rPr>
        <w:t>עביר</w:t>
      </w:r>
      <w:r>
        <w:rPr>
          <w:rFonts w:ascii="Arial" w:hAnsi="Arial" w:hint="cs"/>
          <w:rtl/>
        </w:rPr>
        <w:t>ו</w:t>
      </w:r>
      <w:r w:rsidRPr="00BF5A21">
        <w:rPr>
          <w:rFonts w:ascii="Arial" w:hAnsi="Arial" w:hint="cs"/>
          <w:rtl/>
        </w:rPr>
        <w:t>ת ההתפרצות והגניבה</w:t>
      </w:r>
      <w:r>
        <w:rPr>
          <w:rFonts w:ascii="Arial" w:hAnsi="Arial" w:hint="cs"/>
          <w:rtl/>
        </w:rPr>
        <w:t xml:space="preserve">, כך שמתחם הענישה הכולל ינוע בין 6 </w:t>
      </w:r>
      <w:r>
        <w:rPr>
          <w:rFonts w:ascii="Arial" w:hAnsi="Arial"/>
          <w:rtl/>
        </w:rPr>
        <w:t>–</w:t>
      </w:r>
      <w:r>
        <w:rPr>
          <w:rFonts w:ascii="Arial" w:hAnsi="Arial" w:hint="cs"/>
          <w:rtl/>
        </w:rPr>
        <w:t xml:space="preserve"> 18 חדשי מאסר בפועל, בצירוף ענשים נוספים של מאסר מותנה, קנס, פיצוי לנפגע העבירה, פסילת רשיון נהיגה בפועל ועל תנאי</w:t>
      </w:r>
      <w:r w:rsidRPr="00BF5A21">
        <w:rPr>
          <w:rFonts w:ascii="Arial" w:hAnsi="Arial" w:hint="cs"/>
          <w:rtl/>
        </w:rPr>
        <w:t xml:space="preserve">. </w:t>
      </w:r>
    </w:p>
    <w:p w14:paraId="5630CF99" w14:textId="77777777" w:rsidR="00CC53A3" w:rsidRDefault="00CC53A3" w:rsidP="00CC53A3">
      <w:pPr>
        <w:spacing w:line="360" w:lineRule="auto"/>
        <w:jc w:val="both"/>
        <w:rPr>
          <w:rFonts w:ascii="Arial" w:hAnsi="Arial"/>
          <w:rtl/>
        </w:rPr>
      </w:pPr>
    </w:p>
    <w:p w14:paraId="2998F5B4" w14:textId="77777777" w:rsidR="00CC53A3" w:rsidRPr="00BF5A21" w:rsidRDefault="00CC53A3" w:rsidP="00CC53A3">
      <w:pPr>
        <w:spacing w:line="360" w:lineRule="auto"/>
        <w:jc w:val="both"/>
        <w:rPr>
          <w:rFonts w:ascii="Arial" w:hAnsi="Arial"/>
          <w:rtl/>
        </w:rPr>
      </w:pPr>
      <w:r>
        <w:rPr>
          <w:rFonts w:ascii="Arial" w:hAnsi="Arial" w:hint="cs"/>
          <w:rtl/>
        </w:rPr>
        <w:t>אשר לעתירת ההגנה להמנע מהרשעת הנאשם בדין, בית המשפט אינו מוצא מקום לדיון בעתירה זו. הן סוג העבירה ומידת הפגיעה אשר נגרמה ממנה, אינם מאפשרים זאת, ובנוסף, לא הוצג כל נתון המלמד על פגיעה אפשרית כלשהי בעתידו התעסוקתי של הנאשם, מסתנן ממדינה זרה, אשר עד כה, בתקופות בהן עבד, לא הועסק במשרות כאלה, שהרישום הפלילי רלבנטי גביהן. שאלת מעמדו של הנאשם בארץ אינה רלבנטית לענין זה, ובוודאי שאין עליו להבנות מכתב אישום שהוגש נגדו בגין עבירות שעבר, על מנת לשפר סיכוייו בנושא זה.</w:t>
      </w:r>
    </w:p>
    <w:p w14:paraId="6C16BB0D" w14:textId="77777777" w:rsidR="00CC53A3" w:rsidRPr="00BF5A21" w:rsidRDefault="00CC53A3" w:rsidP="00CC53A3">
      <w:pPr>
        <w:spacing w:line="360" w:lineRule="auto"/>
        <w:jc w:val="both"/>
        <w:rPr>
          <w:rFonts w:ascii="Arial" w:hAnsi="Arial"/>
          <w:rtl/>
        </w:rPr>
      </w:pPr>
    </w:p>
    <w:p w14:paraId="3F12D88F" w14:textId="77777777" w:rsidR="00CC53A3" w:rsidRPr="00BF5A21" w:rsidRDefault="00CC53A3" w:rsidP="00CC53A3">
      <w:pPr>
        <w:spacing w:line="360" w:lineRule="auto"/>
        <w:jc w:val="both"/>
        <w:rPr>
          <w:rFonts w:ascii="Arial" w:hAnsi="Arial"/>
          <w:rtl/>
        </w:rPr>
      </w:pPr>
      <w:r w:rsidRPr="00BF5A21">
        <w:rPr>
          <w:rFonts w:ascii="Arial" w:hAnsi="Arial" w:hint="cs"/>
          <w:rtl/>
        </w:rPr>
        <w:t>אשר לקביעת הענישה הספציפית במסגרת המתחם –</w:t>
      </w:r>
      <w:r>
        <w:rPr>
          <w:rFonts w:ascii="Arial" w:hAnsi="Arial" w:hint="cs"/>
          <w:rtl/>
        </w:rPr>
        <w:t xml:space="preserve"> </w:t>
      </w:r>
      <w:r w:rsidRPr="00BF5A21">
        <w:rPr>
          <w:rFonts w:ascii="Arial" w:hAnsi="Arial" w:hint="cs"/>
          <w:rtl/>
        </w:rPr>
        <w:t xml:space="preserve">יש לקחת בחשבון את מידת התחכום והמורכבות בעבירות; רמת ההתארגנות העברינית לצורך העבירה, לרבות השאלה, האם פעל הנאשם בצוותא עם אחרים; </w:t>
      </w:r>
      <w:r>
        <w:rPr>
          <w:rFonts w:ascii="Arial" w:hAnsi="Arial" w:hint="cs"/>
          <w:rtl/>
        </w:rPr>
        <w:t>מידת התכנון ו</w:t>
      </w:r>
      <w:r w:rsidRPr="00BF5A21">
        <w:rPr>
          <w:rFonts w:ascii="Arial" w:hAnsi="Arial" w:hint="cs"/>
          <w:rtl/>
        </w:rPr>
        <w:t>הלוגיסטיקה</w:t>
      </w:r>
      <w:r>
        <w:rPr>
          <w:rFonts w:ascii="Arial" w:hAnsi="Arial" w:hint="cs"/>
          <w:rtl/>
        </w:rPr>
        <w:t xml:space="preserve"> שנדרשה להכנת מעשי העבירה</w:t>
      </w:r>
      <w:r w:rsidRPr="00BF5A21">
        <w:rPr>
          <w:rFonts w:ascii="Arial" w:hAnsi="Arial" w:hint="cs"/>
          <w:rtl/>
        </w:rPr>
        <w:t>; הנזקים שנגרמו, לרבות שווי הרכוש שנגנב, לרבות נזק שאינו ממוני; האם הוחזר הרכוש; עברו הפלילי של הנאשם ונסיבותיו האישיות.</w:t>
      </w:r>
    </w:p>
    <w:p w14:paraId="510AC316" w14:textId="77777777" w:rsidR="00CC53A3" w:rsidRPr="00BF5A21" w:rsidRDefault="00CC53A3" w:rsidP="00CC53A3">
      <w:pPr>
        <w:spacing w:line="360" w:lineRule="auto"/>
        <w:jc w:val="both"/>
        <w:rPr>
          <w:rFonts w:ascii="Arial" w:hAnsi="Arial"/>
          <w:rtl/>
        </w:rPr>
      </w:pPr>
    </w:p>
    <w:p w14:paraId="24EAF45E" w14:textId="77777777" w:rsidR="00CC53A3" w:rsidRDefault="00CC53A3" w:rsidP="00CC53A3">
      <w:pPr>
        <w:spacing w:line="360" w:lineRule="auto"/>
        <w:jc w:val="both"/>
        <w:rPr>
          <w:rFonts w:ascii="Arial" w:hAnsi="Arial"/>
          <w:rtl/>
        </w:rPr>
      </w:pPr>
      <w:r w:rsidRPr="00BF5A21">
        <w:rPr>
          <w:rFonts w:ascii="Arial" w:hAnsi="Arial" w:hint="cs"/>
          <w:rtl/>
        </w:rPr>
        <w:t xml:space="preserve">במקרה דנן, </w:t>
      </w:r>
      <w:r>
        <w:rPr>
          <w:rFonts w:ascii="Arial" w:hAnsi="Arial" w:hint="cs"/>
          <w:rtl/>
        </w:rPr>
        <w:t xml:space="preserve">המדובר בהתפרצות מתוכננת לבית מגורים (שהרי, נעברו העבירות כלפי בן הזוג הנוכחי של זוגתו לשעבר, כלומר אין המדובר בהתפרצות אקראית לדירה כלשהי) ובגניבת טובין וכספים בשווי רב יחסית. אלו מטים הכף לכיוון החמרה במסגרת מתחם הענישה. מנגד, </w:t>
      </w:r>
      <w:r w:rsidRPr="00BF5A21">
        <w:rPr>
          <w:rFonts w:ascii="Arial" w:hAnsi="Arial" w:hint="cs"/>
          <w:rtl/>
        </w:rPr>
        <w:t>אין עדות על התארגנות מיוחדת או על תח</w:t>
      </w:r>
      <w:r>
        <w:rPr>
          <w:rFonts w:ascii="Arial" w:hAnsi="Arial" w:hint="cs"/>
          <w:rtl/>
        </w:rPr>
        <w:t>כום מיוחד בדרך בה נעברו העבירות</w:t>
      </w:r>
      <w:r w:rsidRPr="00BF5A21">
        <w:rPr>
          <w:rFonts w:ascii="Arial" w:hAnsi="Arial" w:hint="cs"/>
          <w:rtl/>
        </w:rPr>
        <w:t xml:space="preserve">; הנאשם נעדר עבר פלילי </w:t>
      </w:r>
      <w:r>
        <w:rPr>
          <w:rFonts w:ascii="Arial" w:hAnsi="Arial" w:hint="cs"/>
          <w:rtl/>
        </w:rPr>
        <w:t xml:space="preserve">(אם כי יש לזכור, כי מדובר בתושב זר) </w:t>
      </w:r>
      <w:r w:rsidRPr="00BF5A21">
        <w:rPr>
          <w:rFonts w:ascii="Arial" w:hAnsi="Arial" w:hint="cs"/>
          <w:rtl/>
        </w:rPr>
        <w:t xml:space="preserve">ובית המשפט התרשם, כי עורך מאמצים </w:t>
      </w:r>
      <w:r>
        <w:rPr>
          <w:rFonts w:ascii="Arial" w:hAnsi="Arial" w:hint="cs"/>
          <w:rtl/>
        </w:rPr>
        <w:t>לנהל אורח חיים עמלני;</w:t>
      </w:r>
      <w:r w:rsidRPr="00BF5A21">
        <w:rPr>
          <w:rFonts w:ascii="Arial" w:hAnsi="Arial" w:hint="cs"/>
          <w:rtl/>
        </w:rPr>
        <w:t xml:space="preserve"> </w:t>
      </w:r>
      <w:r>
        <w:rPr>
          <w:rFonts w:ascii="Arial" w:hAnsi="Arial" w:hint="cs"/>
          <w:rtl/>
        </w:rPr>
        <w:t>הנאשם הודה באשמה בהזדמנות הראשונה; שיקולים אלה</w:t>
      </w:r>
      <w:r w:rsidRPr="00BF5A21">
        <w:rPr>
          <w:rFonts w:ascii="Arial" w:hAnsi="Arial" w:hint="cs"/>
          <w:rtl/>
        </w:rPr>
        <w:t xml:space="preserve"> </w:t>
      </w:r>
      <w:r>
        <w:rPr>
          <w:rFonts w:ascii="Arial" w:hAnsi="Arial" w:hint="cs"/>
          <w:rtl/>
        </w:rPr>
        <w:t>מטים הכף לכיוון הקלה במסגרת המתחם</w:t>
      </w:r>
      <w:r w:rsidRPr="00BF5A21">
        <w:rPr>
          <w:rFonts w:ascii="Arial" w:hAnsi="Arial" w:hint="cs"/>
          <w:rtl/>
        </w:rPr>
        <w:t>.</w:t>
      </w:r>
    </w:p>
    <w:p w14:paraId="64AD77AA" w14:textId="77777777" w:rsidR="00CC53A3" w:rsidRDefault="00CC53A3" w:rsidP="00CC53A3">
      <w:pPr>
        <w:spacing w:line="360" w:lineRule="auto"/>
        <w:jc w:val="both"/>
        <w:rPr>
          <w:rFonts w:ascii="Arial" w:hAnsi="Arial"/>
          <w:rtl/>
        </w:rPr>
      </w:pPr>
    </w:p>
    <w:p w14:paraId="6DD49377" w14:textId="77777777" w:rsidR="00CC53A3" w:rsidRDefault="00CC53A3" w:rsidP="00CC53A3">
      <w:pPr>
        <w:spacing w:line="360" w:lineRule="auto"/>
        <w:jc w:val="both"/>
        <w:rPr>
          <w:rFonts w:ascii="Arial" w:hAnsi="Arial"/>
          <w:rtl/>
        </w:rPr>
      </w:pPr>
      <w:r>
        <w:rPr>
          <w:rFonts w:ascii="Arial" w:hAnsi="Arial" w:hint="cs"/>
          <w:rtl/>
        </w:rPr>
        <w:t xml:space="preserve">כאן המקום לציין, כי עתירת ההגנה, המבוססת על המלצתו העיקרית של שירות המבחן, חורגת לקולא ממתחם הענישה. חריגה שכזו אינה אפשרית, אלא משיקולי שיקום. במקרה דנן, לא הצביעה ההגנה על מצוקה מיוחדת ממנה סובל הנאשם. העבירות אף לא נעברו כתוצאה ממצוקה, אלא, כאמור, במסגרת מערכת יחסים של הנאשם עם זוגתו לשעבר ובן זוגה החדש. שירות המבחן אף אינו בא בהמלצה טיפולית, אלא המליץ על צו מבחן מעקבי בלבד. שיקום איננו בגדר מילת קסם, המכשירה, בכל עת, סטיה ממתחם הענישה. בית המשפט, לא פעם, כי לצורך סטיה מהמתחם בשל שיקולי השיקום, יש להצביע על מצוקה מיוחדת ממנה סובל הנאשם, וכן על תכנית שיקומית </w:t>
      </w:r>
      <w:r>
        <w:rPr>
          <w:rFonts w:ascii="Arial" w:hAnsi="Arial"/>
          <w:rtl/>
        </w:rPr>
        <w:t>–</w:t>
      </w:r>
      <w:r>
        <w:rPr>
          <w:rFonts w:ascii="Arial" w:hAnsi="Arial" w:hint="cs"/>
          <w:rtl/>
        </w:rPr>
        <w:t xml:space="preserve"> טיפולית מקיפה, העשויה לשפר מצבו. אלו הנסיבות בהן עשוי האינטרס האישי של שיקום העברין להשתלב עם האינטרס הציבורי, ולהצדיק נקיטה בצעדים מתוקף סמכותו של בית המשפט בהתאם להוראות </w:t>
      </w:r>
      <w:hyperlink r:id="rId29" w:history="1">
        <w:r w:rsidR="00646494" w:rsidRPr="00646494">
          <w:rPr>
            <w:rFonts w:ascii="Arial" w:hAnsi="Arial"/>
            <w:color w:val="0000FF"/>
            <w:u w:val="single"/>
            <w:rtl/>
          </w:rPr>
          <w:t>סעיף 40ד'</w:t>
        </w:r>
      </w:hyperlink>
      <w:r>
        <w:rPr>
          <w:rFonts w:ascii="Arial" w:hAnsi="Arial" w:hint="cs"/>
          <w:rtl/>
        </w:rPr>
        <w:t xml:space="preserve"> ל</w:t>
      </w:r>
      <w:hyperlink r:id="rId30" w:history="1">
        <w:r w:rsidR="001E0932" w:rsidRPr="001E0932">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w:t>
      </w:r>
    </w:p>
    <w:p w14:paraId="0F2A2CDA" w14:textId="77777777" w:rsidR="00CC53A3" w:rsidRDefault="00CC53A3" w:rsidP="00CC53A3">
      <w:pPr>
        <w:spacing w:line="360" w:lineRule="auto"/>
        <w:jc w:val="both"/>
        <w:rPr>
          <w:rFonts w:ascii="Arial" w:hAnsi="Arial"/>
          <w:rtl/>
        </w:rPr>
      </w:pPr>
    </w:p>
    <w:p w14:paraId="60075AF8" w14:textId="77777777" w:rsidR="00CC53A3" w:rsidRDefault="00CC53A3" w:rsidP="00CC53A3">
      <w:pPr>
        <w:spacing w:line="360" w:lineRule="auto"/>
        <w:jc w:val="both"/>
        <w:rPr>
          <w:rFonts w:ascii="Arial" w:hAnsi="Arial"/>
          <w:rtl/>
        </w:rPr>
      </w:pPr>
      <w:r>
        <w:rPr>
          <w:rFonts w:ascii="Arial" w:hAnsi="Arial" w:hint="cs"/>
          <w:rtl/>
        </w:rPr>
        <w:t xml:space="preserve">איזון השיקולים השונים </w:t>
      </w:r>
      <w:r>
        <w:rPr>
          <w:rFonts w:ascii="Arial" w:hAnsi="Arial"/>
          <w:rtl/>
        </w:rPr>
        <w:t>–</w:t>
      </w:r>
      <w:r>
        <w:rPr>
          <w:rFonts w:ascii="Arial" w:hAnsi="Arial" w:hint="cs"/>
          <w:rtl/>
        </w:rPr>
        <w:t xml:space="preserve"> העובדה, כי המדובר בהתפרצות מתוכננת במסגרתה נגנב רכוש בשווי רב, מחד, והנסיבות לקולא מאידך </w:t>
      </w:r>
      <w:r>
        <w:rPr>
          <w:rFonts w:ascii="Arial" w:hAnsi="Arial"/>
          <w:rtl/>
        </w:rPr>
        <w:t>–</w:t>
      </w:r>
      <w:r>
        <w:rPr>
          <w:rFonts w:ascii="Arial" w:hAnsi="Arial" w:hint="cs"/>
          <w:rtl/>
        </w:rPr>
        <w:t xml:space="preserve"> מצביע, איפוא, לכיוון ענישה במאסר בפועל בכליאה ממשית, על הצד הבינוני של המתחם.</w:t>
      </w:r>
    </w:p>
    <w:p w14:paraId="1539C9A4" w14:textId="77777777" w:rsidR="00CC53A3" w:rsidRDefault="00CC53A3" w:rsidP="00CC53A3">
      <w:pPr>
        <w:spacing w:line="360" w:lineRule="auto"/>
        <w:jc w:val="both"/>
        <w:rPr>
          <w:rFonts w:ascii="Arial" w:hAnsi="Arial"/>
          <w:rtl/>
        </w:rPr>
      </w:pPr>
    </w:p>
    <w:p w14:paraId="64F9617B" w14:textId="77777777" w:rsidR="00CC53A3" w:rsidRDefault="00CC53A3" w:rsidP="00CC53A3">
      <w:pPr>
        <w:spacing w:line="360" w:lineRule="auto"/>
        <w:jc w:val="both"/>
        <w:rPr>
          <w:rFonts w:ascii="Arial" w:hAnsi="Arial"/>
          <w:rtl/>
        </w:rPr>
      </w:pPr>
      <w:r>
        <w:rPr>
          <w:rFonts w:ascii="Arial" w:hAnsi="Arial" w:hint="cs"/>
          <w:rtl/>
        </w:rPr>
        <w:t>אלא, שהנאשם הפקיד כספים בסכום משמעותי בקופת בית המשפט, שיש בהם כדי לפצות את נפגע העבירה לכל הפחות בגין הנזק הממוני שנגרם לו.</w:t>
      </w:r>
    </w:p>
    <w:p w14:paraId="4E1DA1C5" w14:textId="77777777" w:rsidR="00CC53A3" w:rsidRDefault="00CC53A3" w:rsidP="00CC53A3">
      <w:pPr>
        <w:spacing w:line="360" w:lineRule="auto"/>
        <w:jc w:val="both"/>
        <w:rPr>
          <w:rFonts w:ascii="Arial" w:hAnsi="Arial"/>
          <w:rtl/>
        </w:rPr>
      </w:pPr>
    </w:p>
    <w:p w14:paraId="61D3E698" w14:textId="77777777" w:rsidR="00CC53A3" w:rsidRDefault="00CC53A3" w:rsidP="00CC53A3">
      <w:pPr>
        <w:spacing w:line="360" w:lineRule="auto"/>
        <w:jc w:val="both"/>
        <w:rPr>
          <w:rFonts w:ascii="Arial" w:hAnsi="Arial"/>
          <w:rtl/>
        </w:rPr>
      </w:pPr>
      <w:r>
        <w:rPr>
          <w:rFonts w:ascii="Arial" w:hAnsi="Arial" w:hint="cs"/>
          <w:rtl/>
        </w:rPr>
        <w:t xml:space="preserve">בית המשפט רואה חשיבות ממשית לפעולה, </w:t>
      </w:r>
      <w:r w:rsidRPr="002A59F0">
        <w:rPr>
          <w:rFonts w:ascii="Arial" w:hAnsi="Arial" w:hint="cs"/>
          <w:u w:val="single"/>
          <w:rtl/>
        </w:rPr>
        <w:t>במישור המעשה</w:t>
      </w:r>
      <w:r>
        <w:rPr>
          <w:rFonts w:ascii="Arial" w:hAnsi="Arial" w:hint="cs"/>
          <w:rtl/>
        </w:rPr>
        <w:t>, להטבת הנזקים שנגרמו כתוצאה מהעבירות. פעולה שכזו מהווה גם נטילת אחריות אמיתית, ולא במישור הרטורי בלבד, מצדו של הנאשם. אך מעבר לכך, משדרת היא לנפגע העבירה הכרה בפגיעה שחווה, ומגבירה האמון ברשויות אכיפת החוק, לאחר שנפגע העבירה רואה לנגד עיניו, כי התלונה שמסר למשטרת ישראל הביאה לא רק לאיתור העברין אלא גם לפיצויו על הנזקים שנגרמו לו.</w:t>
      </w:r>
    </w:p>
    <w:p w14:paraId="194241DE" w14:textId="77777777" w:rsidR="00CC53A3" w:rsidRDefault="00CC53A3" w:rsidP="00CC53A3">
      <w:pPr>
        <w:spacing w:line="360" w:lineRule="auto"/>
        <w:jc w:val="both"/>
        <w:rPr>
          <w:rFonts w:ascii="Arial" w:hAnsi="Arial"/>
          <w:rtl/>
        </w:rPr>
      </w:pPr>
    </w:p>
    <w:p w14:paraId="1DE5A3AA" w14:textId="77777777" w:rsidR="00CC53A3" w:rsidRPr="00BF5A21" w:rsidRDefault="00CC53A3" w:rsidP="00CC53A3">
      <w:pPr>
        <w:spacing w:line="360" w:lineRule="auto"/>
        <w:jc w:val="both"/>
        <w:rPr>
          <w:rFonts w:ascii="Arial" w:hAnsi="Arial"/>
          <w:rtl/>
        </w:rPr>
      </w:pPr>
      <w:r>
        <w:rPr>
          <w:rFonts w:ascii="Arial" w:hAnsi="Arial" w:hint="cs"/>
          <w:rtl/>
        </w:rPr>
        <w:t>נסיבה חשובה זו מטה הכף, במקרה דנן, לכיוון הקלה משמעותית, אשר תבוא ידי ביטויה בענישה על הצד הנמוך של מתחם הענישה, חלף על הצד הבינוני, וכן תאפשר לשקול המרת המאסר בכזה שירוצה בדרך של עבודות שירות.</w:t>
      </w:r>
    </w:p>
    <w:p w14:paraId="0DC46536" w14:textId="77777777" w:rsidR="00CC53A3" w:rsidRPr="00BF5A21" w:rsidRDefault="00CC53A3" w:rsidP="00CC53A3">
      <w:pPr>
        <w:spacing w:line="360" w:lineRule="auto"/>
        <w:jc w:val="both"/>
        <w:rPr>
          <w:rFonts w:ascii="Arial" w:hAnsi="Arial"/>
          <w:rtl/>
        </w:rPr>
      </w:pPr>
    </w:p>
    <w:p w14:paraId="426B81CA" w14:textId="77777777" w:rsidR="00CC53A3" w:rsidRPr="00BF5A21" w:rsidRDefault="00CC53A3" w:rsidP="00CC53A3">
      <w:pPr>
        <w:spacing w:line="360" w:lineRule="auto"/>
        <w:jc w:val="both"/>
        <w:rPr>
          <w:rFonts w:ascii="Arial" w:hAnsi="Arial"/>
          <w:rtl/>
        </w:rPr>
      </w:pPr>
      <w:r>
        <w:rPr>
          <w:rFonts w:ascii="Arial" w:hAnsi="Arial" w:hint="cs"/>
          <w:rtl/>
        </w:rPr>
        <w:t>לאור האמור, ולאחר שהנאשם בחר להשיב כספי הגזילה,</w:t>
      </w:r>
      <w:r w:rsidRPr="00BF5A21">
        <w:rPr>
          <w:rFonts w:ascii="Arial" w:hAnsi="Arial" w:hint="cs"/>
          <w:rtl/>
        </w:rPr>
        <w:t xml:space="preserve"> מוצא בית המשפט לאמץ </w:t>
      </w:r>
      <w:r w:rsidRPr="002A59F0">
        <w:rPr>
          <w:rFonts w:ascii="Arial" w:hAnsi="Arial" w:hint="cs"/>
          <w:u w:val="single"/>
          <w:rtl/>
        </w:rPr>
        <w:t>המלצתו החלופית</w:t>
      </w:r>
      <w:r>
        <w:rPr>
          <w:rFonts w:ascii="Arial" w:hAnsi="Arial" w:hint="cs"/>
          <w:rtl/>
        </w:rPr>
        <w:t xml:space="preserve"> של</w:t>
      </w:r>
      <w:r w:rsidRPr="00BF5A21">
        <w:rPr>
          <w:rFonts w:ascii="Arial" w:hAnsi="Arial" w:hint="cs"/>
          <w:rtl/>
        </w:rPr>
        <w:t xml:space="preserve"> שירות המבחן בענינו של הנאשם, ולהסתפק, זו הפעם, בהטלת מאסר לריצוי בדרך של עבודות שירות, בצירוף מאסר מותנה ארוך ומרתיע.</w:t>
      </w:r>
    </w:p>
    <w:p w14:paraId="315EEC90" w14:textId="77777777" w:rsidR="00CC53A3" w:rsidRPr="00BF5A21" w:rsidRDefault="00CC53A3" w:rsidP="00CC53A3">
      <w:pPr>
        <w:spacing w:line="360" w:lineRule="auto"/>
        <w:jc w:val="both"/>
        <w:rPr>
          <w:rFonts w:ascii="Arial" w:hAnsi="Arial"/>
          <w:rtl/>
        </w:rPr>
      </w:pPr>
    </w:p>
    <w:p w14:paraId="21A62369" w14:textId="77777777" w:rsidR="00CC53A3" w:rsidRDefault="00CC53A3" w:rsidP="00CC53A3">
      <w:pPr>
        <w:spacing w:line="360" w:lineRule="auto"/>
        <w:jc w:val="both"/>
        <w:rPr>
          <w:rFonts w:ascii="Arial" w:hAnsi="Arial"/>
          <w:rtl/>
        </w:rPr>
      </w:pPr>
      <w:r w:rsidRPr="00BF5A21">
        <w:rPr>
          <w:rFonts w:ascii="Arial" w:hAnsi="Arial" w:hint="cs"/>
          <w:rtl/>
        </w:rPr>
        <w:t>עוד רואה בית המשפט להשית על הנאשם עיצומים כספיים, חלקם – כקנס וחלקם – כפיצוי לנפגע העבירה, כאשר במסגרת קביעת גובה הפיצוי יש לקחת בחשבון, בין הית</w:t>
      </w:r>
      <w:r>
        <w:rPr>
          <w:rFonts w:ascii="Arial" w:hAnsi="Arial" w:hint="cs"/>
          <w:rtl/>
        </w:rPr>
        <w:t>ר, גם הנזק הבלתי ממוני שנגרם לנפגע</w:t>
      </w:r>
      <w:r w:rsidRPr="00BF5A21">
        <w:rPr>
          <w:rFonts w:ascii="Arial" w:hAnsi="Arial" w:hint="cs"/>
          <w:rtl/>
        </w:rPr>
        <w:t xml:space="preserve"> העבירה, לרבות הפגיע</w:t>
      </w:r>
      <w:r>
        <w:rPr>
          <w:rFonts w:ascii="Arial" w:hAnsi="Arial" w:hint="cs"/>
          <w:rtl/>
        </w:rPr>
        <w:t>ה בתחושת הביטחון האישי ובפרטיותו</w:t>
      </w:r>
      <w:r w:rsidRPr="00BF5A21">
        <w:rPr>
          <w:rFonts w:ascii="Arial" w:hAnsi="Arial" w:hint="cs"/>
          <w:rtl/>
        </w:rPr>
        <w:t>.</w:t>
      </w:r>
      <w:r>
        <w:rPr>
          <w:rFonts w:ascii="Arial" w:hAnsi="Arial" w:hint="cs"/>
          <w:rtl/>
        </w:rPr>
        <w:t xml:space="preserve"> בנסיבות הענין, מוצא בית המשפט את הסכום שהופקד מטעם ההגנה, כהולם ככל שמדובר בהשתת פיצוי במסגרת ההליך הפלילי דנן.</w:t>
      </w:r>
    </w:p>
    <w:p w14:paraId="7DA9377A" w14:textId="77777777" w:rsidR="00CC53A3" w:rsidRDefault="00CC53A3" w:rsidP="00CC53A3">
      <w:pPr>
        <w:spacing w:line="360" w:lineRule="auto"/>
        <w:jc w:val="both"/>
        <w:rPr>
          <w:rFonts w:ascii="Arial" w:hAnsi="Arial"/>
          <w:rtl/>
        </w:rPr>
      </w:pPr>
    </w:p>
    <w:p w14:paraId="5FC23655" w14:textId="77777777" w:rsidR="00CC53A3" w:rsidRDefault="00CC53A3" w:rsidP="00CC53A3">
      <w:pPr>
        <w:spacing w:line="360" w:lineRule="auto"/>
        <w:jc w:val="both"/>
        <w:rPr>
          <w:rFonts w:ascii="Arial" w:hAnsi="Arial"/>
          <w:rtl/>
        </w:rPr>
      </w:pPr>
      <w:r>
        <w:rPr>
          <w:rFonts w:ascii="Arial" w:hAnsi="Arial" w:hint="cs"/>
          <w:rtl/>
        </w:rPr>
        <w:t xml:space="preserve">התביעה לא עתרה לפסילת רשיון הנהיגה של הנאשם, בפועל או על תנאי, על אף שהיה מקום לעתירה שכזו, לאור הרשעתו של הנאשם בעבירה שענינה אחזקה ושימוש בסמים מסוכנים. משאין בית המשפט משים עצמו קטיגור </w:t>
      </w:r>
      <w:r>
        <w:rPr>
          <w:rFonts w:ascii="Arial" w:hAnsi="Arial"/>
          <w:rtl/>
        </w:rPr>
        <w:t>–</w:t>
      </w:r>
      <w:r>
        <w:rPr>
          <w:rFonts w:ascii="Arial" w:hAnsi="Arial" w:hint="cs"/>
          <w:rtl/>
        </w:rPr>
        <w:t xml:space="preserve"> לא יושתו רכיבים אלה.</w:t>
      </w:r>
    </w:p>
    <w:p w14:paraId="38AB5430" w14:textId="77777777" w:rsidR="00CC53A3" w:rsidRDefault="00CC53A3" w:rsidP="00CC53A3">
      <w:pPr>
        <w:spacing w:line="360" w:lineRule="auto"/>
        <w:jc w:val="both"/>
        <w:rPr>
          <w:rFonts w:ascii="Arial" w:hAnsi="Arial"/>
          <w:rtl/>
        </w:rPr>
      </w:pPr>
    </w:p>
    <w:p w14:paraId="1FC99233" w14:textId="77777777" w:rsidR="00CC53A3" w:rsidRPr="00BF5A21" w:rsidRDefault="00CC53A3" w:rsidP="00CC53A3">
      <w:pPr>
        <w:spacing w:line="360" w:lineRule="auto"/>
        <w:jc w:val="both"/>
        <w:rPr>
          <w:rFonts w:ascii="Arial" w:hAnsi="Arial"/>
          <w:rtl/>
        </w:rPr>
      </w:pPr>
      <w:r>
        <w:rPr>
          <w:rFonts w:ascii="Arial" w:hAnsi="Arial" w:hint="cs"/>
          <w:rtl/>
        </w:rPr>
        <w:t>בהתאם להמלצת שירות המבחן, יועמד הנאשם במבחן למשך שנה.</w:t>
      </w:r>
    </w:p>
    <w:p w14:paraId="12FA836D" w14:textId="77777777" w:rsidR="00CC53A3" w:rsidRPr="00BF5A21" w:rsidRDefault="00CC53A3" w:rsidP="00CC53A3">
      <w:pPr>
        <w:spacing w:line="360" w:lineRule="auto"/>
        <w:jc w:val="both"/>
        <w:rPr>
          <w:rFonts w:ascii="Arial" w:hAnsi="Arial"/>
          <w:rtl/>
        </w:rPr>
      </w:pPr>
    </w:p>
    <w:p w14:paraId="2F90985B"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לאחר שבית המשפט שמע את טענות הצדדים; עיין בטענות התביעה </w:t>
      </w:r>
      <w:r>
        <w:rPr>
          <w:rFonts w:ascii="Arial" w:hAnsi="Arial" w:hint="cs"/>
          <w:rtl/>
        </w:rPr>
        <w:t xml:space="preserve">לעונש, ובין היתר, שמע את נפגע העבירה; </w:t>
      </w:r>
      <w:r w:rsidRPr="00BF5A21">
        <w:rPr>
          <w:rFonts w:ascii="Arial" w:hAnsi="Arial" w:hint="cs"/>
          <w:rtl/>
        </w:rPr>
        <w:t>עיין בתסקירי שירות המבחן; שמע דברו האחרון של הנאשם – דן את הנאשם לענשים הבאים:</w:t>
      </w:r>
    </w:p>
    <w:p w14:paraId="5931B7E5" w14:textId="77777777" w:rsidR="00CC53A3" w:rsidRPr="00BF5A21" w:rsidRDefault="00CC53A3" w:rsidP="00CC53A3">
      <w:pPr>
        <w:spacing w:line="360" w:lineRule="auto"/>
        <w:jc w:val="both"/>
        <w:rPr>
          <w:rFonts w:ascii="Arial" w:hAnsi="Arial"/>
          <w:rtl/>
        </w:rPr>
      </w:pPr>
    </w:p>
    <w:p w14:paraId="6368A80D" w14:textId="77777777" w:rsidR="00CC53A3" w:rsidRPr="00BF5A21" w:rsidRDefault="00CC53A3" w:rsidP="00CC53A3">
      <w:pPr>
        <w:numPr>
          <w:ilvl w:val="0"/>
          <w:numId w:val="4"/>
        </w:numPr>
        <w:spacing w:after="160" w:line="360" w:lineRule="auto"/>
        <w:contextualSpacing/>
        <w:jc w:val="both"/>
        <w:rPr>
          <w:rFonts w:ascii="Arial" w:hAnsi="Arial"/>
          <w:rtl/>
        </w:rPr>
      </w:pPr>
      <w:r>
        <w:rPr>
          <w:rFonts w:ascii="Arial" w:hAnsi="Arial" w:hint="cs"/>
          <w:rtl/>
        </w:rPr>
        <w:t>6</w:t>
      </w:r>
      <w:r w:rsidRPr="00BF5A21">
        <w:rPr>
          <w:rFonts w:ascii="Arial" w:hAnsi="Arial" w:hint="cs"/>
          <w:rtl/>
        </w:rPr>
        <w:t xml:space="preserve"> חדשי מאסר לריצוי בעבודות שירות</w:t>
      </w:r>
      <w:r>
        <w:rPr>
          <w:rFonts w:ascii="Arial" w:hAnsi="Arial" w:hint="cs"/>
          <w:rtl/>
        </w:rPr>
        <w:t>. משנמצא הנאשם מתאים לריצוי מאסר בדרך של עבודות שירות, אך חלף המועד אשר נקבע בחוות הדעת שהוגשה, יועבר עותק גזר הדין לממונה על עבודות השירות, אשר, בתוך 21 יום מהיום, יגיש חוות דעת עדכנית לתיק בית המשפט, ואז תנתנה הוראות בהתאם. המזכירות תעקוב</w:t>
      </w:r>
      <w:r w:rsidRPr="00BF5A21">
        <w:rPr>
          <w:rFonts w:ascii="Arial" w:hAnsi="Arial" w:hint="cs"/>
          <w:rtl/>
        </w:rPr>
        <w:t>;</w:t>
      </w:r>
    </w:p>
    <w:p w14:paraId="4103EF16" w14:textId="77777777" w:rsidR="00CC53A3" w:rsidRPr="00BF5A21" w:rsidRDefault="00CC53A3" w:rsidP="00CC53A3">
      <w:pPr>
        <w:numPr>
          <w:ilvl w:val="0"/>
          <w:numId w:val="4"/>
        </w:numPr>
        <w:spacing w:after="160" w:line="360" w:lineRule="auto"/>
        <w:contextualSpacing/>
        <w:jc w:val="both"/>
        <w:rPr>
          <w:rFonts w:ascii="Arial" w:hAnsi="Arial"/>
        </w:rPr>
      </w:pPr>
      <w:r w:rsidRPr="00BF5A21">
        <w:rPr>
          <w:rFonts w:ascii="Calibri" w:hAnsi="Calibri" w:hint="cs"/>
          <w:rtl/>
        </w:rPr>
        <w:t>12 חדשים מאסר על תנאי למשך שלוש שנים מהיום, והתנאי – שהנאשם לא יעבור עבירה מסוג פשע בניגוד ל</w:t>
      </w:r>
      <w:hyperlink r:id="rId31" w:history="1">
        <w:r w:rsidR="001E0932" w:rsidRPr="001E0932">
          <w:rPr>
            <w:rFonts w:ascii="Calibri" w:hAnsi="Calibri" w:hint="eastAsia"/>
            <w:color w:val="0000FF"/>
            <w:u w:val="single"/>
            <w:rtl/>
          </w:rPr>
          <w:t>חוק</w:t>
        </w:r>
        <w:r w:rsidR="001E0932" w:rsidRPr="001E0932">
          <w:rPr>
            <w:rFonts w:ascii="Calibri" w:hAnsi="Calibri"/>
            <w:color w:val="0000FF"/>
            <w:u w:val="single"/>
            <w:rtl/>
          </w:rPr>
          <w:t xml:space="preserve"> </w:t>
        </w:r>
        <w:r w:rsidR="001E0932" w:rsidRPr="001E0932">
          <w:rPr>
            <w:rFonts w:ascii="Calibri" w:hAnsi="Calibri" w:hint="eastAsia"/>
            <w:color w:val="0000FF"/>
            <w:u w:val="single"/>
            <w:rtl/>
          </w:rPr>
          <w:t>העונשין</w:t>
        </w:r>
      </w:hyperlink>
      <w:r w:rsidRPr="00BF5A21">
        <w:rPr>
          <w:rFonts w:ascii="Calibri" w:hAnsi="Calibri" w:hint="cs"/>
          <w:rtl/>
        </w:rPr>
        <w:t xml:space="preserve"> תשל"ז – 1977, </w:t>
      </w:r>
      <w:hyperlink r:id="rId32" w:history="1">
        <w:r w:rsidR="00646494" w:rsidRPr="00646494">
          <w:rPr>
            <w:rFonts w:ascii="Calibri" w:hAnsi="Calibri" w:hint="eastAsia"/>
            <w:color w:val="0000FF"/>
            <w:u w:val="single"/>
            <w:rtl/>
          </w:rPr>
          <w:t>פרק</w:t>
        </w:r>
        <w:r w:rsidR="00646494" w:rsidRPr="00646494">
          <w:rPr>
            <w:rFonts w:ascii="Calibri" w:hAnsi="Calibri"/>
            <w:color w:val="0000FF"/>
            <w:u w:val="single"/>
            <w:rtl/>
          </w:rPr>
          <w:t xml:space="preserve"> </w:t>
        </w:r>
        <w:r w:rsidR="00646494" w:rsidRPr="00646494">
          <w:rPr>
            <w:rFonts w:ascii="Calibri" w:hAnsi="Calibri" w:hint="eastAsia"/>
            <w:color w:val="0000FF"/>
            <w:u w:val="single"/>
            <w:rtl/>
          </w:rPr>
          <w:t>י</w:t>
        </w:r>
        <w:r w:rsidR="00646494" w:rsidRPr="00646494">
          <w:rPr>
            <w:rFonts w:ascii="Calibri" w:hAnsi="Calibri"/>
            <w:color w:val="0000FF"/>
            <w:u w:val="single"/>
            <w:rtl/>
          </w:rPr>
          <w:t>"</w:t>
        </w:r>
        <w:r w:rsidR="00646494" w:rsidRPr="00646494">
          <w:rPr>
            <w:rFonts w:ascii="Calibri" w:hAnsi="Calibri" w:hint="eastAsia"/>
            <w:color w:val="0000FF"/>
            <w:u w:val="single"/>
            <w:rtl/>
          </w:rPr>
          <w:t>א</w:t>
        </w:r>
      </w:hyperlink>
      <w:r w:rsidRPr="000223AD">
        <w:rPr>
          <w:rFonts w:ascii="Calibri" w:hAnsi="Calibri" w:hint="cs"/>
          <w:rtl/>
        </w:rPr>
        <w:t>;</w:t>
      </w:r>
      <w:r w:rsidRPr="00BF5A21">
        <w:rPr>
          <w:rFonts w:ascii="Calibri" w:hAnsi="Calibri" w:hint="cs"/>
          <w:rtl/>
        </w:rPr>
        <w:t xml:space="preserve"> </w:t>
      </w:r>
      <w:r>
        <w:rPr>
          <w:rFonts w:ascii="Calibri" w:hAnsi="Calibri" w:hint="cs"/>
          <w:rtl/>
        </w:rPr>
        <w:t xml:space="preserve">או עבירה </w:t>
      </w:r>
      <w:r>
        <w:rPr>
          <w:rFonts w:ascii="Arial" w:hAnsi="Arial" w:hint="cs"/>
          <w:rtl/>
        </w:rPr>
        <w:t>מסוג פשע בניגוד ל</w:t>
      </w:r>
      <w:hyperlink r:id="rId33" w:history="1">
        <w:r w:rsidR="001E0932" w:rsidRPr="001E0932">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w:t>
      </w:r>
    </w:p>
    <w:p w14:paraId="4EF7FC34" w14:textId="77777777" w:rsidR="00CC53A3" w:rsidRPr="00BF5A21" w:rsidRDefault="00CC53A3" w:rsidP="00CC53A3">
      <w:pPr>
        <w:numPr>
          <w:ilvl w:val="0"/>
          <w:numId w:val="4"/>
        </w:numPr>
        <w:spacing w:after="160" w:line="360" w:lineRule="auto"/>
        <w:contextualSpacing/>
        <w:jc w:val="both"/>
        <w:rPr>
          <w:rFonts w:ascii="Arial" w:hAnsi="Arial"/>
        </w:rPr>
      </w:pPr>
      <w:r w:rsidRPr="00BF5A21">
        <w:rPr>
          <w:rFonts w:ascii="Calibri" w:hAnsi="Calibri" w:hint="cs"/>
          <w:rtl/>
        </w:rPr>
        <w:t xml:space="preserve">6 חדשים מאסר על תנאי למשך שלוש שנים מהיום, והתנאי – שהנאשם לא יעבור עבירה מסוג עוון בניגוד </w:t>
      </w:r>
      <w:r w:rsidRPr="000223AD">
        <w:rPr>
          <w:rFonts w:ascii="Calibri" w:hAnsi="Calibri" w:hint="cs"/>
          <w:rtl/>
        </w:rPr>
        <w:t>ל</w:t>
      </w:r>
      <w:hyperlink r:id="rId34" w:history="1">
        <w:r w:rsidR="001E0932" w:rsidRPr="001E0932">
          <w:rPr>
            <w:rFonts w:ascii="Calibri" w:hAnsi="Calibri" w:hint="eastAsia"/>
            <w:color w:val="0000FF"/>
            <w:u w:val="single"/>
            <w:rtl/>
          </w:rPr>
          <w:t>חוק</w:t>
        </w:r>
        <w:r w:rsidR="001E0932" w:rsidRPr="001E0932">
          <w:rPr>
            <w:rFonts w:ascii="Calibri" w:hAnsi="Calibri"/>
            <w:color w:val="0000FF"/>
            <w:u w:val="single"/>
            <w:rtl/>
          </w:rPr>
          <w:t xml:space="preserve"> </w:t>
        </w:r>
        <w:r w:rsidR="001E0932" w:rsidRPr="001E0932">
          <w:rPr>
            <w:rFonts w:ascii="Calibri" w:hAnsi="Calibri" w:hint="eastAsia"/>
            <w:color w:val="0000FF"/>
            <w:u w:val="single"/>
            <w:rtl/>
          </w:rPr>
          <w:t>העונשין</w:t>
        </w:r>
      </w:hyperlink>
      <w:r w:rsidRPr="00BF5A21">
        <w:rPr>
          <w:rFonts w:ascii="Calibri" w:hAnsi="Calibri" w:hint="cs"/>
          <w:rtl/>
        </w:rPr>
        <w:t xml:space="preserve"> תשל"ז – 1977, </w:t>
      </w:r>
      <w:hyperlink r:id="rId35" w:history="1">
        <w:r w:rsidR="00646494" w:rsidRPr="00646494">
          <w:rPr>
            <w:rFonts w:ascii="Calibri" w:hAnsi="Calibri" w:hint="eastAsia"/>
            <w:color w:val="0000FF"/>
            <w:u w:val="single"/>
            <w:rtl/>
          </w:rPr>
          <w:t>פרק</w:t>
        </w:r>
        <w:r w:rsidR="00646494" w:rsidRPr="00646494">
          <w:rPr>
            <w:rFonts w:ascii="Calibri" w:hAnsi="Calibri"/>
            <w:color w:val="0000FF"/>
            <w:u w:val="single"/>
            <w:rtl/>
          </w:rPr>
          <w:t xml:space="preserve"> </w:t>
        </w:r>
        <w:r w:rsidR="00646494" w:rsidRPr="00646494">
          <w:rPr>
            <w:rFonts w:ascii="Calibri" w:hAnsi="Calibri" w:hint="eastAsia"/>
            <w:color w:val="0000FF"/>
            <w:u w:val="single"/>
            <w:rtl/>
          </w:rPr>
          <w:t>י</w:t>
        </w:r>
        <w:r w:rsidR="00646494" w:rsidRPr="00646494">
          <w:rPr>
            <w:rFonts w:ascii="Calibri" w:hAnsi="Calibri"/>
            <w:color w:val="0000FF"/>
            <w:u w:val="single"/>
            <w:rtl/>
          </w:rPr>
          <w:t>"</w:t>
        </w:r>
        <w:r w:rsidR="00646494" w:rsidRPr="00646494">
          <w:rPr>
            <w:rFonts w:ascii="Calibri" w:hAnsi="Calibri" w:hint="eastAsia"/>
            <w:color w:val="0000FF"/>
            <w:u w:val="single"/>
            <w:rtl/>
          </w:rPr>
          <w:t>א</w:t>
        </w:r>
      </w:hyperlink>
      <w:r>
        <w:rPr>
          <w:rFonts w:ascii="Calibri" w:hAnsi="Calibri" w:hint="cs"/>
          <w:rtl/>
        </w:rPr>
        <w:t xml:space="preserve">; או עבירה </w:t>
      </w:r>
      <w:r>
        <w:rPr>
          <w:rFonts w:ascii="Arial" w:hAnsi="Arial" w:hint="cs"/>
          <w:rtl/>
        </w:rPr>
        <w:t>מסוג עוון בניגוד ל</w:t>
      </w:r>
      <w:hyperlink r:id="rId36" w:history="1">
        <w:r w:rsidR="001E0932" w:rsidRPr="001E0932">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או עבירה כלשהי בניגוד לחוק המאבק בתופעת השימוש בחומרים מסוכנים, תשע"ג </w:t>
      </w:r>
      <w:r>
        <w:rPr>
          <w:rFonts w:ascii="Arial" w:hAnsi="Arial"/>
          <w:rtl/>
        </w:rPr>
        <w:t>–</w:t>
      </w:r>
      <w:r>
        <w:rPr>
          <w:rFonts w:ascii="Arial" w:hAnsi="Arial" w:hint="cs"/>
          <w:rtl/>
        </w:rPr>
        <w:t xml:space="preserve"> 2013;</w:t>
      </w:r>
    </w:p>
    <w:p w14:paraId="1A932F3C" w14:textId="77777777" w:rsidR="00CC53A3" w:rsidRPr="00BF5A21" w:rsidRDefault="00CC53A3" w:rsidP="00CC53A3">
      <w:pPr>
        <w:numPr>
          <w:ilvl w:val="0"/>
          <w:numId w:val="4"/>
        </w:numPr>
        <w:spacing w:after="160" w:line="360" w:lineRule="auto"/>
        <w:contextualSpacing/>
        <w:jc w:val="both"/>
        <w:rPr>
          <w:rFonts w:ascii="Arial" w:hAnsi="Arial"/>
        </w:rPr>
      </w:pPr>
      <w:r w:rsidRPr="00BF5A21">
        <w:rPr>
          <w:rFonts w:ascii="Arial" w:hAnsi="Arial" w:hint="cs"/>
          <w:rtl/>
        </w:rPr>
        <w:t xml:space="preserve">קנס בסך </w:t>
      </w:r>
      <w:r>
        <w:rPr>
          <w:rFonts w:ascii="Arial" w:hAnsi="Arial" w:hint="cs"/>
          <w:rtl/>
        </w:rPr>
        <w:t>5</w:t>
      </w:r>
      <w:r w:rsidRPr="00BF5A21">
        <w:rPr>
          <w:rFonts w:ascii="Arial" w:hAnsi="Arial" w:hint="cs"/>
          <w:rtl/>
        </w:rPr>
        <w:t xml:space="preserve">,000 ₪  או </w:t>
      </w:r>
      <w:r>
        <w:rPr>
          <w:rFonts w:ascii="Arial" w:hAnsi="Arial" w:hint="cs"/>
          <w:rtl/>
        </w:rPr>
        <w:t>60</w:t>
      </w:r>
      <w:r w:rsidRPr="00BF5A21">
        <w:rPr>
          <w:rFonts w:ascii="Arial" w:hAnsi="Arial" w:hint="cs"/>
          <w:rtl/>
        </w:rPr>
        <w:t xml:space="preserve"> ימי מאסר תמורתו. הקנס ישולם </w:t>
      </w:r>
      <w:r>
        <w:rPr>
          <w:rFonts w:ascii="Arial" w:hAnsi="Arial" w:hint="cs"/>
          <w:rtl/>
        </w:rPr>
        <w:t>בעשרה</w:t>
      </w:r>
      <w:r w:rsidRPr="00BF5A21">
        <w:rPr>
          <w:rFonts w:ascii="Arial" w:hAnsi="Arial" w:hint="cs"/>
          <w:rtl/>
        </w:rPr>
        <w:t xml:space="preserve"> שיעורים שווים ורצופים החל מיום </w:t>
      </w:r>
      <w:r>
        <w:rPr>
          <w:rFonts w:ascii="Arial" w:hAnsi="Arial" w:hint="cs"/>
          <w:rtl/>
        </w:rPr>
        <w:t>15</w:t>
      </w:r>
      <w:r w:rsidRPr="00BF5A21">
        <w:rPr>
          <w:rFonts w:ascii="Arial" w:hAnsi="Arial" w:hint="cs"/>
          <w:rtl/>
        </w:rPr>
        <w:t>.</w:t>
      </w:r>
      <w:r>
        <w:rPr>
          <w:rFonts w:ascii="Arial" w:hAnsi="Arial" w:hint="cs"/>
          <w:rtl/>
        </w:rPr>
        <w:t>07</w:t>
      </w:r>
      <w:r w:rsidRPr="00BF5A21">
        <w:rPr>
          <w:rFonts w:ascii="Arial" w:hAnsi="Arial" w:hint="cs"/>
          <w:rtl/>
        </w:rPr>
        <w:t xml:space="preserve">.16 ובכל </w:t>
      </w:r>
      <w:r>
        <w:rPr>
          <w:rFonts w:ascii="Arial" w:hAnsi="Arial" w:hint="cs"/>
          <w:rtl/>
        </w:rPr>
        <w:t>15</w:t>
      </w:r>
      <w:r w:rsidRPr="00BF5A21">
        <w:rPr>
          <w:rFonts w:ascii="Arial" w:hAnsi="Arial" w:hint="cs"/>
          <w:rtl/>
        </w:rPr>
        <w:t xml:space="preserve"> לחדש שלאחר מכן;</w:t>
      </w:r>
    </w:p>
    <w:p w14:paraId="1B87CA32" w14:textId="77777777" w:rsidR="00CC53A3" w:rsidRDefault="00CC53A3" w:rsidP="00CC53A3">
      <w:pPr>
        <w:numPr>
          <w:ilvl w:val="0"/>
          <w:numId w:val="4"/>
        </w:numPr>
        <w:spacing w:after="160" w:line="360" w:lineRule="auto"/>
        <w:contextualSpacing/>
        <w:jc w:val="both"/>
        <w:rPr>
          <w:rFonts w:ascii="Arial" w:hAnsi="Arial"/>
        </w:rPr>
      </w:pPr>
      <w:r w:rsidRPr="00BF5A21">
        <w:rPr>
          <w:rFonts w:ascii="Arial" w:hAnsi="Arial" w:hint="cs"/>
          <w:rtl/>
        </w:rPr>
        <w:t xml:space="preserve">פיצוי לנפגע העבירה, בסך  </w:t>
      </w:r>
      <w:r>
        <w:rPr>
          <w:rFonts w:ascii="Arial" w:hAnsi="Arial" w:hint="cs"/>
          <w:rtl/>
        </w:rPr>
        <w:t>30</w:t>
      </w:r>
      <w:r w:rsidRPr="00BF5A21">
        <w:rPr>
          <w:rFonts w:ascii="Arial" w:hAnsi="Arial" w:hint="cs"/>
          <w:rtl/>
        </w:rPr>
        <w:t xml:space="preserve">,000 ₪. </w:t>
      </w:r>
      <w:r>
        <w:rPr>
          <w:rFonts w:ascii="Arial" w:hAnsi="Arial" w:hint="cs"/>
          <w:rtl/>
        </w:rPr>
        <w:t>הסכום שהופקד על ידי הנאשם, על פירותיו, יועבר לזכות נפגע העבירה. על התביעה להגיש פרטי נפגע העבירה למזכירות בית המשפט, בתוך 14 יום מהיום;</w:t>
      </w:r>
    </w:p>
    <w:p w14:paraId="436498E3" w14:textId="77777777" w:rsidR="00CC53A3" w:rsidRPr="004F3620" w:rsidRDefault="00CC53A3" w:rsidP="00CC53A3">
      <w:pPr>
        <w:numPr>
          <w:ilvl w:val="0"/>
          <w:numId w:val="4"/>
        </w:numPr>
        <w:spacing w:after="160" w:line="360" w:lineRule="auto"/>
        <w:contextualSpacing/>
        <w:jc w:val="both"/>
        <w:rPr>
          <w:rFonts w:ascii="Arial" w:hAnsi="Arial"/>
        </w:rPr>
      </w:pPr>
      <w:r w:rsidRPr="004F3620">
        <w:rPr>
          <w:rFonts w:ascii="Calibri" w:hAnsi="Calibri" w:hint="eastAsia"/>
          <w:rtl/>
        </w:rPr>
        <w:t>הנאשם</w:t>
      </w:r>
      <w:r w:rsidRPr="004F3620">
        <w:rPr>
          <w:rFonts w:ascii="Calibri" w:hAnsi="Calibri"/>
          <w:rtl/>
        </w:rPr>
        <w:t xml:space="preserve"> </w:t>
      </w:r>
      <w:r w:rsidRPr="004F3620">
        <w:rPr>
          <w:rFonts w:ascii="Calibri" w:hAnsi="Calibri" w:hint="eastAsia"/>
          <w:rtl/>
        </w:rPr>
        <w:t>יעמוד</w:t>
      </w:r>
      <w:r w:rsidRPr="004F3620">
        <w:rPr>
          <w:rFonts w:ascii="Calibri" w:hAnsi="Calibri"/>
          <w:rtl/>
        </w:rPr>
        <w:t xml:space="preserve"> </w:t>
      </w:r>
      <w:r w:rsidRPr="004F3620">
        <w:rPr>
          <w:rFonts w:ascii="Calibri" w:hAnsi="Calibri" w:hint="eastAsia"/>
          <w:rtl/>
        </w:rPr>
        <w:t>במבחן</w:t>
      </w:r>
      <w:r w:rsidRPr="004F3620">
        <w:rPr>
          <w:rFonts w:ascii="Calibri" w:hAnsi="Calibri"/>
          <w:rtl/>
        </w:rPr>
        <w:t xml:space="preserve"> </w:t>
      </w:r>
      <w:r w:rsidRPr="004F3620">
        <w:rPr>
          <w:rFonts w:ascii="Calibri" w:hAnsi="Calibri" w:hint="eastAsia"/>
          <w:rtl/>
        </w:rPr>
        <w:t>למשך</w:t>
      </w:r>
      <w:r w:rsidRPr="004F3620">
        <w:rPr>
          <w:rFonts w:ascii="Calibri" w:hAnsi="Calibri"/>
          <w:rtl/>
        </w:rPr>
        <w:t xml:space="preserve"> </w:t>
      </w:r>
      <w:r w:rsidRPr="004F3620">
        <w:rPr>
          <w:rFonts w:ascii="Calibri" w:hAnsi="Calibri" w:hint="eastAsia"/>
          <w:rtl/>
        </w:rPr>
        <w:t>שנה</w:t>
      </w:r>
      <w:r w:rsidRPr="004F3620">
        <w:rPr>
          <w:rFonts w:ascii="Calibri" w:hAnsi="Calibri"/>
          <w:rtl/>
        </w:rPr>
        <w:t xml:space="preserve"> </w:t>
      </w:r>
      <w:r w:rsidRPr="004F3620">
        <w:rPr>
          <w:rFonts w:ascii="Calibri" w:hAnsi="Calibri" w:hint="eastAsia"/>
          <w:rtl/>
        </w:rPr>
        <w:t>מהיום</w:t>
      </w:r>
      <w:r w:rsidRPr="004F3620">
        <w:rPr>
          <w:rFonts w:ascii="Calibri" w:hAnsi="Calibri"/>
          <w:rtl/>
        </w:rPr>
        <w:t xml:space="preserve">. </w:t>
      </w:r>
      <w:r w:rsidRPr="004F3620">
        <w:rPr>
          <w:rFonts w:ascii="Calibri" w:hAnsi="Calibri" w:hint="eastAsia"/>
          <w:rtl/>
        </w:rPr>
        <w:t>במסגרת</w:t>
      </w:r>
      <w:r w:rsidRPr="004F3620">
        <w:rPr>
          <w:rFonts w:ascii="Calibri" w:hAnsi="Calibri"/>
          <w:rtl/>
        </w:rPr>
        <w:t xml:space="preserve"> </w:t>
      </w:r>
      <w:r w:rsidRPr="004F3620">
        <w:rPr>
          <w:rFonts w:ascii="Calibri" w:hAnsi="Calibri" w:hint="eastAsia"/>
          <w:rtl/>
        </w:rPr>
        <w:t>צו</w:t>
      </w:r>
      <w:r w:rsidRPr="004F3620">
        <w:rPr>
          <w:rFonts w:ascii="Calibri" w:hAnsi="Calibri"/>
          <w:rtl/>
        </w:rPr>
        <w:t xml:space="preserve"> </w:t>
      </w:r>
      <w:r w:rsidRPr="004F3620">
        <w:rPr>
          <w:rFonts w:ascii="Calibri" w:hAnsi="Calibri" w:hint="eastAsia"/>
          <w:rtl/>
        </w:rPr>
        <w:t>המבחן</w:t>
      </w:r>
      <w:r w:rsidRPr="004F3620">
        <w:rPr>
          <w:rFonts w:ascii="Calibri" w:hAnsi="Calibri"/>
          <w:rtl/>
        </w:rPr>
        <w:t xml:space="preserve">, </w:t>
      </w:r>
      <w:r w:rsidRPr="004F3620">
        <w:rPr>
          <w:rFonts w:ascii="Calibri" w:hAnsi="Calibri" w:hint="eastAsia"/>
          <w:rtl/>
        </w:rPr>
        <w:t>יהיה</w:t>
      </w:r>
      <w:r w:rsidRPr="004F3620">
        <w:rPr>
          <w:rFonts w:ascii="Calibri" w:hAnsi="Calibri"/>
          <w:rtl/>
        </w:rPr>
        <w:t xml:space="preserve"> </w:t>
      </w:r>
      <w:r w:rsidRPr="004F3620">
        <w:rPr>
          <w:rFonts w:ascii="Calibri" w:hAnsi="Calibri" w:hint="eastAsia"/>
          <w:rtl/>
        </w:rPr>
        <w:t>עליו</w:t>
      </w:r>
      <w:r w:rsidRPr="004F3620">
        <w:rPr>
          <w:rFonts w:ascii="Calibri" w:hAnsi="Calibri"/>
          <w:rtl/>
        </w:rPr>
        <w:t xml:space="preserve"> </w:t>
      </w:r>
      <w:r w:rsidRPr="004F3620">
        <w:rPr>
          <w:rFonts w:ascii="Calibri" w:hAnsi="Calibri" w:hint="eastAsia"/>
          <w:rtl/>
        </w:rPr>
        <w:t>להשתתף</w:t>
      </w:r>
      <w:r w:rsidRPr="004F3620">
        <w:rPr>
          <w:rFonts w:ascii="Calibri" w:hAnsi="Calibri"/>
          <w:rtl/>
        </w:rPr>
        <w:t xml:space="preserve"> </w:t>
      </w:r>
      <w:r w:rsidRPr="004F3620">
        <w:rPr>
          <w:rFonts w:ascii="Calibri" w:hAnsi="Calibri" w:hint="eastAsia"/>
          <w:rtl/>
        </w:rPr>
        <w:t>בכל</w:t>
      </w:r>
      <w:r w:rsidRPr="004F3620">
        <w:rPr>
          <w:rFonts w:ascii="Calibri" w:hAnsi="Calibri"/>
          <w:rtl/>
        </w:rPr>
        <w:t xml:space="preserve"> </w:t>
      </w:r>
      <w:r w:rsidRPr="004F3620">
        <w:rPr>
          <w:rFonts w:ascii="Calibri" w:hAnsi="Calibri" w:hint="eastAsia"/>
          <w:rtl/>
        </w:rPr>
        <w:t>הליך</w:t>
      </w:r>
      <w:r w:rsidRPr="004F3620">
        <w:rPr>
          <w:rFonts w:ascii="Calibri" w:hAnsi="Calibri"/>
          <w:rtl/>
        </w:rPr>
        <w:t xml:space="preserve"> </w:t>
      </w:r>
      <w:r w:rsidRPr="004F3620">
        <w:rPr>
          <w:rFonts w:ascii="Calibri" w:hAnsi="Calibri" w:hint="eastAsia"/>
          <w:rtl/>
        </w:rPr>
        <w:t>טיפולי</w:t>
      </w:r>
      <w:r w:rsidRPr="004F3620">
        <w:rPr>
          <w:rFonts w:ascii="Calibri" w:hAnsi="Calibri"/>
          <w:rtl/>
        </w:rPr>
        <w:t xml:space="preserve"> </w:t>
      </w:r>
      <w:r w:rsidRPr="004F3620">
        <w:rPr>
          <w:rFonts w:ascii="Calibri" w:hAnsi="Calibri" w:hint="eastAsia"/>
          <w:rtl/>
        </w:rPr>
        <w:t>או</w:t>
      </w:r>
      <w:r w:rsidRPr="004F3620">
        <w:rPr>
          <w:rFonts w:ascii="Calibri" w:hAnsi="Calibri"/>
          <w:rtl/>
        </w:rPr>
        <w:t xml:space="preserve"> </w:t>
      </w:r>
      <w:r w:rsidRPr="004F3620">
        <w:rPr>
          <w:rFonts w:ascii="Calibri" w:hAnsi="Calibri" w:hint="eastAsia"/>
          <w:rtl/>
        </w:rPr>
        <w:t>מעקבי</w:t>
      </w:r>
      <w:r w:rsidRPr="004F3620">
        <w:rPr>
          <w:rFonts w:ascii="Calibri" w:hAnsi="Calibri"/>
          <w:rtl/>
        </w:rPr>
        <w:t xml:space="preserve"> </w:t>
      </w:r>
      <w:r w:rsidRPr="004F3620">
        <w:rPr>
          <w:rFonts w:ascii="Calibri" w:hAnsi="Calibri" w:hint="eastAsia"/>
          <w:rtl/>
        </w:rPr>
        <w:t>כפי</w:t>
      </w:r>
      <w:r w:rsidRPr="004F3620">
        <w:rPr>
          <w:rFonts w:ascii="Calibri" w:hAnsi="Calibri"/>
          <w:rtl/>
        </w:rPr>
        <w:t xml:space="preserve"> </w:t>
      </w:r>
      <w:r w:rsidRPr="004F3620">
        <w:rPr>
          <w:rFonts w:ascii="Calibri" w:hAnsi="Calibri" w:hint="eastAsia"/>
          <w:rtl/>
        </w:rPr>
        <w:t>שיומלץ</w:t>
      </w:r>
      <w:r w:rsidRPr="004F3620">
        <w:rPr>
          <w:rFonts w:ascii="Calibri" w:hAnsi="Calibri"/>
          <w:rtl/>
        </w:rPr>
        <w:t xml:space="preserve"> </w:t>
      </w:r>
      <w:r w:rsidRPr="004F3620">
        <w:rPr>
          <w:rFonts w:ascii="Calibri" w:hAnsi="Calibri" w:hint="eastAsia"/>
          <w:rtl/>
        </w:rPr>
        <w:t>ע</w:t>
      </w:r>
      <w:r w:rsidRPr="004F3620">
        <w:rPr>
          <w:rFonts w:ascii="Calibri" w:hAnsi="Calibri"/>
          <w:rtl/>
        </w:rPr>
        <w:t>"</w:t>
      </w:r>
      <w:r w:rsidRPr="004F3620">
        <w:rPr>
          <w:rFonts w:ascii="Calibri" w:hAnsi="Calibri" w:hint="eastAsia"/>
          <w:rtl/>
        </w:rPr>
        <w:t>י</w:t>
      </w:r>
      <w:r w:rsidRPr="004F3620">
        <w:rPr>
          <w:rFonts w:ascii="Calibri" w:hAnsi="Calibri"/>
          <w:rtl/>
        </w:rPr>
        <w:t xml:space="preserve"> </w:t>
      </w:r>
      <w:r w:rsidRPr="004F3620">
        <w:rPr>
          <w:rFonts w:ascii="Calibri" w:hAnsi="Calibri" w:hint="eastAsia"/>
          <w:rtl/>
        </w:rPr>
        <w:t>שירות</w:t>
      </w:r>
      <w:r w:rsidRPr="004F3620">
        <w:rPr>
          <w:rFonts w:ascii="Calibri" w:hAnsi="Calibri"/>
          <w:rtl/>
        </w:rPr>
        <w:t xml:space="preserve"> </w:t>
      </w:r>
      <w:r w:rsidRPr="004F3620">
        <w:rPr>
          <w:rFonts w:ascii="Calibri" w:hAnsi="Calibri" w:hint="eastAsia"/>
          <w:rtl/>
        </w:rPr>
        <w:t>המבחן</w:t>
      </w:r>
      <w:r w:rsidRPr="004F3620">
        <w:rPr>
          <w:rFonts w:ascii="Calibri" w:hAnsi="Calibri"/>
          <w:rtl/>
        </w:rPr>
        <w:t xml:space="preserve">. </w:t>
      </w:r>
      <w:r w:rsidRPr="004F3620">
        <w:rPr>
          <w:rFonts w:ascii="Calibri" w:hAnsi="Calibri" w:hint="eastAsia"/>
          <w:rtl/>
        </w:rPr>
        <w:t>על</w:t>
      </w:r>
      <w:r w:rsidRPr="004F3620">
        <w:rPr>
          <w:rFonts w:ascii="Calibri" w:hAnsi="Calibri"/>
          <w:rtl/>
        </w:rPr>
        <w:t xml:space="preserve"> </w:t>
      </w:r>
      <w:r w:rsidRPr="004F3620">
        <w:rPr>
          <w:rFonts w:ascii="Calibri" w:hAnsi="Calibri" w:hint="eastAsia"/>
          <w:rtl/>
        </w:rPr>
        <w:t>הנאשם</w:t>
      </w:r>
      <w:r w:rsidRPr="004F3620">
        <w:rPr>
          <w:rFonts w:ascii="Calibri" w:hAnsi="Calibri"/>
          <w:rtl/>
        </w:rPr>
        <w:t xml:space="preserve"> </w:t>
      </w:r>
      <w:r w:rsidRPr="004F3620">
        <w:rPr>
          <w:rFonts w:ascii="Calibri" w:hAnsi="Calibri" w:hint="eastAsia"/>
          <w:rtl/>
        </w:rPr>
        <w:t>להתיצב</w:t>
      </w:r>
      <w:r w:rsidRPr="004F3620">
        <w:rPr>
          <w:rFonts w:ascii="Calibri" w:hAnsi="Calibri"/>
          <w:rtl/>
        </w:rPr>
        <w:t xml:space="preserve">, </w:t>
      </w:r>
      <w:r w:rsidRPr="004F3620">
        <w:rPr>
          <w:rFonts w:ascii="Calibri" w:hAnsi="Calibri" w:hint="eastAsia"/>
          <w:rtl/>
        </w:rPr>
        <w:t>בתוך</w:t>
      </w:r>
      <w:r w:rsidRPr="004F3620">
        <w:rPr>
          <w:rFonts w:ascii="Calibri" w:hAnsi="Calibri"/>
          <w:rtl/>
        </w:rPr>
        <w:t xml:space="preserve"> 7 </w:t>
      </w:r>
      <w:r w:rsidRPr="004F3620">
        <w:rPr>
          <w:rFonts w:ascii="Calibri" w:hAnsi="Calibri" w:hint="eastAsia"/>
          <w:rtl/>
        </w:rPr>
        <w:t>ימים</w:t>
      </w:r>
      <w:r w:rsidRPr="004F3620">
        <w:rPr>
          <w:rFonts w:ascii="Calibri" w:hAnsi="Calibri"/>
          <w:rtl/>
        </w:rPr>
        <w:t xml:space="preserve"> </w:t>
      </w:r>
      <w:r w:rsidRPr="004F3620">
        <w:rPr>
          <w:rFonts w:ascii="Calibri" w:hAnsi="Calibri" w:hint="eastAsia"/>
          <w:rtl/>
        </w:rPr>
        <w:t>מהיום</w:t>
      </w:r>
      <w:r w:rsidRPr="004F3620">
        <w:rPr>
          <w:rFonts w:ascii="Calibri" w:hAnsi="Calibri"/>
          <w:rtl/>
        </w:rPr>
        <w:t xml:space="preserve">, </w:t>
      </w:r>
      <w:r w:rsidRPr="004F3620">
        <w:rPr>
          <w:rFonts w:ascii="Calibri" w:hAnsi="Calibri" w:hint="eastAsia"/>
          <w:rtl/>
        </w:rPr>
        <w:t>בשירות</w:t>
      </w:r>
      <w:r w:rsidRPr="004F3620">
        <w:rPr>
          <w:rFonts w:ascii="Calibri" w:hAnsi="Calibri"/>
          <w:rtl/>
        </w:rPr>
        <w:t xml:space="preserve"> </w:t>
      </w:r>
      <w:r w:rsidRPr="004F3620">
        <w:rPr>
          <w:rFonts w:ascii="Calibri" w:hAnsi="Calibri" w:hint="eastAsia"/>
          <w:rtl/>
        </w:rPr>
        <w:t>המבחן</w:t>
      </w:r>
      <w:r w:rsidRPr="004F3620">
        <w:rPr>
          <w:rFonts w:ascii="Calibri" w:hAnsi="Calibri"/>
          <w:rtl/>
        </w:rPr>
        <w:t xml:space="preserve"> </w:t>
      </w:r>
      <w:r w:rsidRPr="004F3620">
        <w:rPr>
          <w:rFonts w:ascii="Calibri" w:hAnsi="Calibri" w:hint="eastAsia"/>
          <w:rtl/>
        </w:rPr>
        <w:t>לקבלת</w:t>
      </w:r>
      <w:r w:rsidRPr="004F3620">
        <w:rPr>
          <w:rFonts w:ascii="Calibri" w:hAnsi="Calibri"/>
          <w:rtl/>
        </w:rPr>
        <w:t xml:space="preserve"> </w:t>
      </w:r>
      <w:r w:rsidRPr="004F3620">
        <w:rPr>
          <w:rFonts w:ascii="Calibri" w:hAnsi="Calibri" w:hint="eastAsia"/>
          <w:rtl/>
        </w:rPr>
        <w:t>הוראות</w:t>
      </w:r>
      <w:r w:rsidRPr="004F3620">
        <w:rPr>
          <w:rFonts w:ascii="Calibri" w:hAnsi="Calibri"/>
          <w:rtl/>
        </w:rPr>
        <w:t xml:space="preserve"> </w:t>
      </w:r>
      <w:r w:rsidRPr="004F3620">
        <w:rPr>
          <w:rFonts w:ascii="Calibri" w:hAnsi="Calibri" w:hint="eastAsia"/>
          <w:rtl/>
        </w:rPr>
        <w:t>מתאימות</w:t>
      </w:r>
      <w:r w:rsidRPr="004F3620">
        <w:rPr>
          <w:rFonts w:ascii="Calibri" w:hAnsi="Calibri"/>
          <w:rtl/>
        </w:rPr>
        <w:t xml:space="preserve">. </w:t>
      </w:r>
      <w:r w:rsidRPr="004F3620">
        <w:rPr>
          <w:rFonts w:ascii="Calibri" w:hAnsi="Calibri" w:hint="eastAsia"/>
          <w:rtl/>
        </w:rPr>
        <w:t>הנאשם</w:t>
      </w:r>
      <w:r w:rsidRPr="004F3620">
        <w:rPr>
          <w:rFonts w:ascii="Calibri" w:hAnsi="Calibri"/>
          <w:rtl/>
        </w:rPr>
        <w:t xml:space="preserve"> </w:t>
      </w:r>
      <w:r w:rsidRPr="004F3620">
        <w:rPr>
          <w:rFonts w:ascii="Calibri" w:hAnsi="Calibri" w:hint="eastAsia"/>
          <w:rtl/>
        </w:rPr>
        <w:t>מוזהר</w:t>
      </w:r>
      <w:r w:rsidRPr="004F3620">
        <w:rPr>
          <w:rFonts w:ascii="Calibri" w:hAnsi="Calibri"/>
          <w:rtl/>
        </w:rPr>
        <w:t xml:space="preserve">, </w:t>
      </w:r>
      <w:r w:rsidRPr="004F3620">
        <w:rPr>
          <w:rFonts w:ascii="Calibri" w:hAnsi="Calibri" w:hint="eastAsia"/>
          <w:rtl/>
        </w:rPr>
        <w:t>כי</w:t>
      </w:r>
      <w:r w:rsidRPr="004F3620">
        <w:rPr>
          <w:rFonts w:ascii="Calibri" w:hAnsi="Calibri"/>
          <w:rtl/>
        </w:rPr>
        <w:t xml:space="preserve"> </w:t>
      </w:r>
      <w:r w:rsidRPr="004F3620">
        <w:rPr>
          <w:rFonts w:ascii="Calibri" w:hAnsi="Calibri" w:hint="eastAsia"/>
          <w:rtl/>
        </w:rPr>
        <w:t>אי</w:t>
      </w:r>
      <w:r w:rsidRPr="004F3620">
        <w:rPr>
          <w:rFonts w:ascii="Calibri" w:hAnsi="Calibri"/>
          <w:rtl/>
        </w:rPr>
        <w:t xml:space="preserve"> </w:t>
      </w:r>
      <w:r w:rsidRPr="004F3620">
        <w:rPr>
          <w:rFonts w:ascii="Calibri" w:hAnsi="Calibri" w:hint="eastAsia"/>
          <w:rtl/>
        </w:rPr>
        <w:t>שיתוף</w:t>
      </w:r>
      <w:r w:rsidRPr="004F3620">
        <w:rPr>
          <w:rFonts w:ascii="Calibri" w:hAnsi="Calibri"/>
          <w:rtl/>
        </w:rPr>
        <w:t xml:space="preserve"> </w:t>
      </w:r>
      <w:r w:rsidRPr="004F3620">
        <w:rPr>
          <w:rFonts w:ascii="Calibri" w:hAnsi="Calibri" w:hint="eastAsia"/>
          <w:rtl/>
        </w:rPr>
        <w:t>פעולה</w:t>
      </w:r>
      <w:r w:rsidRPr="004F3620">
        <w:rPr>
          <w:rFonts w:ascii="Calibri" w:hAnsi="Calibri"/>
          <w:rtl/>
        </w:rPr>
        <w:t xml:space="preserve"> </w:t>
      </w:r>
      <w:r w:rsidRPr="004F3620">
        <w:rPr>
          <w:rFonts w:ascii="Calibri" w:hAnsi="Calibri" w:hint="eastAsia"/>
          <w:rtl/>
        </w:rPr>
        <w:t>במסגרת</w:t>
      </w:r>
      <w:r w:rsidRPr="004F3620">
        <w:rPr>
          <w:rFonts w:ascii="Calibri" w:hAnsi="Calibri"/>
          <w:rtl/>
        </w:rPr>
        <w:t xml:space="preserve"> </w:t>
      </w:r>
      <w:r w:rsidRPr="004F3620">
        <w:rPr>
          <w:rFonts w:ascii="Calibri" w:hAnsi="Calibri" w:hint="eastAsia"/>
          <w:rtl/>
        </w:rPr>
        <w:t>צו</w:t>
      </w:r>
      <w:r w:rsidRPr="004F3620">
        <w:rPr>
          <w:rFonts w:ascii="Calibri" w:hAnsi="Calibri"/>
          <w:rtl/>
        </w:rPr>
        <w:t xml:space="preserve"> </w:t>
      </w:r>
      <w:r w:rsidRPr="004F3620">
        <w:rPr>
          <w:rFonts w:ascii="Calibri" w:hAnsi="Calibri" w:hint="eastAsia"/>
          <w:rtl/>
        </w:rPr>
        <w:t>המבחן</w:t>
      </w:r>
      <w:r w:rsidRPr="004F3620">
        <w:rPr>
          <w:rFonts w:ascii="Calibri" w:hAnsi="Calibri"/>
          <w:rtl/>
        </w:rPr>
        <w:t xml:space="preserve"> </w:t>
      </w:r>
      <w:r w:rsidRPr="004F3620">
        <w:rPr>
          <w:rFonts w:ascii="Calibri" w:hAnsi="Calibri" w:hint="eastAsia"/>
          <w:rtl/>
        </w:rPr>
        <w:t>עלול</w:t>
      </w:r>
      <w:r w:rsidRPr="004F3620">
        <w:rPr>
          <w:rFonts w:ascii="Calibri" w:hAnsi="Calibri"/>
          <w:rtl/>
        </w:rPr>
        <w:t xml:space="preserve"> </w:t>
      </w:r>
      <w:r w:rsidRPr="004F3620">
        <w:rPr>
          <w:rFonts w:ascii="Calibri" w:hAnsi="Calibri" w:hint="eastAsia"/>
          <w:rtl/>
        </w:rPr>
        <w:t>להביא</w:t>
      </w:r>
      <w:r w:rsidRPr="004F3620">
        <w:rPr>
          <w:rFonts w:ascii="Calibri" w:hAnsi="Calibri"/>
          <w:rtl/>
        </w:rPr>
        <w:t xml:space="preserve"> </w:t>
      </w:r>
      <w:r w:rsidRPr="004F3620">
        <w:rPr>
          <w:rFonts w:ascii="Calibri" w:hAnsi="Calibri" w:hint="eastAsia"/>
          <w:rtl/>
        </w:rPr>
        <w:t>להפקעתו</w:t>
      </w:r>
      <w:r w:rsidRPr="004F3620">
        <w:rPr>
          <w:rFonts w:ascii="Calibri" w:hAnsi="Calibri"/>
          <w:rtl/>
        </w:rPr>
        <w:t xml:space="preserve"> </w:t>
      </w:r>
      <w:r w:rsidRPr="004F3620">
        <w:rPr>
          <w:rFonts w:ascii="Calibri" w:hAnsi="Calibri" w:hint="eastAsia"/>
          <w:rtl/>
        </w:rPr>
        <w:t>ולדיון</w:t>
      </w:r>
      <w:r w:rsidRPr="004F3620">
        <w:rPr>
          <w:rFonts w:ascii="Calibri" w:hAnsi="Calibri"/>
          <w:rtl/>
        </w:rPr>
        <w:t xml:space="preserve"> </w:t>
      </w:r>
      <w:r w:rsidRPr="004F3620">
        <w:rPr>
          <w:rFonts w:ascii="Calibri" w:hAnsi="Calibri" w:hint="eastAsia"/>
          <w:rtl/>
        </w:rPr>
        <w:t>מחדש</w:t>
      </w:r>
      <w:r w:rsidRPr="004F3620">
        <w:rPr>
          <w:rFonts w:ascii="Calibri" w:hAnsi="Calibri"/>
          <w:rtl/>
        </w:rPr>
        <w:t xml:space="preserve"> </w:t>
      </w:r>
      <w:r w:rsidRPr="004F3620">
        <w:rPr>
          <w:rFonts w:ascii="Calibri" w:hAnsi="Calibri" w:hint="eastAsia"/>
          <w:rtl/>
        </w:rPr>
        <w:t>בשאלת</w:t>
      </w:r>
      <w:r w:rsidRPr="004F3620">
        <w:rPr>
          <w:rFonts w:ascii="Calibri" w:hAnsi="Calibri"/>
          <w:rtl/>
        </w:rPr>
        <w:t xml:space="preserve"> </w:t>
      </w:r>
      <w:r w:rsidRPr="004F3620">
        <w:rPr>
          <w:rFonts w:ascii="Calibri" w:hAnsi="Calibri" w:hint="eastAsia"/>
          <w:rtl/>
        </w:rPr>
        <w:t>העונש</w:t>
      </w:r>
      <w:r w:rsidRPr="004F3620">
        <w:rPr>
          <w:rFonts w:ascii="Calibri" w:hAnsi="Calibri"/>
          <w:rtl/>
        </w:rPr>
        <w:t xml:space="preserve"> </w:t>
      </w:r>
      <w:r w:rsidRPr="004F3620">
        <w:rPr>
          <w:rFonts w:ascii="Calibri" w:hAnsi="Calibri" w:hint="eastAsia"/>
          <w:rtl/>
        </w:rPr>
        <w:t>בתיק</w:t>
      </w:r>
      <w:r w:rsidRPr="004F3620">
        <w:rPr>
          <w:rFonts w:ascii="Calibri" w:hAnsi="Calibri"/>
          <w:rtl/>
        </w:rPr>
        <w:t xml:space="preserve"> </w:t>
      </w:r>
      <w:r w:rsidRPr="004F3620">
        <w:rPr>
          <w:rFonts w:ascii="Calibri" w:hAnsi="Calibri" w:hint="eastAsia"/>
          <w:rtl/>
        </w:rPr>
        <w:t>זה</w:t>
      </w:r>
      <w:r w:rsidRPr="004F3620">
        <w:rPr>
          <w:rFonts w:ascii="Calibri" w:hAnsi="Calibri"/>
          <w:rtl/>
        </w:rPr>
        <w:t xml:space="preserve">, </w:t>
      </w:r>
      <w:r w:rsidRPr="004F3620">
        <w:rPr>
          <w:rFonts w:ascii="Calibri" w:hAnsi="Calibri" w:hint="eastAsia"/>
          <w:rtl/>
        </w:rPr>
        <w:t>על</w:t>
      </w:r>
      <w:r w:rsidRPr="004F3620">
        <w:rPr>
          <w:rFonts w:ascii="Calibri" w:hAnsi="Calibri"/>
          <w:rtl/>
        </w:rPr>
        <w:t xml:space="preserve"> </w:t>
      </w:r>
      <w:r w:rsidRPr="004F3620">
        <w:rPr>
          <w:rFonts w:ascii="Calibri" w:hAnsi="Calibri" w:hint="eastAsia"/>
          <w:rtl/>
        </w:rPr>
        <w:t>כל</w:t>
      </w:r>
      <w:r w:rsidRPr="004F3620">
        <w:rPr>
          <w:rFonts w:ascii="Calibri" w:hAnsi="Calibri"/>
          <w:rtl/>
        </w:rPr>
        <w:t xml:space="preserve"> </w:t>
      </w:r>
      <w:r w:rsidRPr="004F3620">
        <w:rPr>
          <w:rFonts w:ascii="Calibri" w:hAnsi="Calibri" w:hint="eastAsia"/>
          <w:rtl/>
        </w:rPr>
        <w:t>המשתמע</w:t>
      </w:r>
      <w:r w:rsidRPr="004F3620">
        <w:rPr>
          <w:rFonts w:ascii="Calibri" w:hAnsi="Calibri"/>
          <w:rtl/>
        </w:rPr>
        <w:t xml:space="preserve"> </w:t>
      </w:r>
      <w:r w:rsidRPr="004F3620">
        <w:rPr>
          <w:rFonts w:ascii="Calibri" w:hAnsi="Calibri" w:hint="eastAsia"/>
          <w:rtl/>
        </w:rPr>
        <w:t>מכך</w:t>
      </w:r>
      <w:r>
        <w:rPr>
          <w:rFonts w:ascii="Calibri" w:hAnsi="Calibri" w:hint="cs"/>
          <w:rtl/>
        </w:rPr>
        <w:t>.</w:t>
      </w:r>
    </w:p>
    <w:p w14:paraId="054A0333" w14:textId="77777777" w:rsidR="00CC53A3" w:rsidRPr="00BF5A21" w:rsidRDefault="00CC53A3" w:rsidP="00CC53A3">
      <w:pPr>
        <w:spacing w:line="360" w:lineRule="auto"/>
        <w:jc w:val="both"/>
        <w:rPr>
          <w:rFonts w:ascii="Arial" w:hAnsi="Arial"/>
        </w:rPr>
      </w:pPr>
    </w:p>
    <w:p w14:paraId="036980FD" w14:textId="77777777" w:rsidR="00CC53A3" w:rsidRPr="00BF5A21" w:rsidRDefault="00CC53A3" w:rsidP="00CC53A3">
      <w:pPr>
        <w:spacing w:line="360" w:lineRule="auto"/>
        <w:jc w:val="both"/>
        <w:rPr>
          <w:rFonts w:ascii="Arial" w:hAnsi="Arial"/>
          <w:rtl/>
        </w:rPr>
      </w:pPr>
      <w:r w:rsidRPr="00BF5A21">
        <w:rPr>
          <w:rFonts w:ascii="Arial" w:hAnsi="Arial" w:hint="cs"/>
          <w:rtl/>
        </w:rPr>
        <w:t xml:space="preserve">הסמים </w:t>
      </w:r>
      <w:r>
        <w:rPr>
          <w:rFonts w:ascii="Arial" w:hAnsi="Arial" w:hint="cs"/>
          <w:rtl/>
        </w:rPr>
        <w:t xml:space="preserve">המסוכנים </w:t>
      </w:r>
      <w:r>
        <w:rPr>
          <w:rFonts w:ascii="Arial" w:hAnsi="Arial"/>
          <w:rtl/>
        </w:rPr>
        <w:t>–</w:t>
      </w:r>
      <w:r>
        <w:rPr>
          <w:rFonts w:ascii="Arial" w:hAnsi="Arial" w:hint="cs"/>
          <w:rtl/>
        </w:rPr>
        <w:t xml:space="preserve"> </w:t>
      </w:r>
      <w:r w:rsidRPr="00BF5A21">
        <w:rPr>
          <w:rFonts w:ascii="Arial" w:hAnsi="Arial" w:hint="cs"/>
          <w:rtl/>
        </w:rPr>
        <w:t>יושמדו</w:t>
      </w:r>
      <w:r>
        <w:rPr>
          <w:rFonts w:ascii="Arial" w:hAnsi="Arial" w:hint="cs"/>
          <w:rtl/>
        </w:rPr>
        <w:t xml:space="preserve">, בחלוף תקופת הערעור, ואם יוגש </w:t>
      </w:r>
      <w:r>
        <w:rPr>
          <w:rFonts w:ascii="Arial" w:hAnsi="Arial"/>
          <w:rtl/>
        </w:rPr>
        <w:t>–</w:t>
      </w:r>
      <w:r>
        <w:rPr>
          <w:rFonts w:ascii="Arial" w:hAnsi="Arial" w:hint="cs"/>
          <w:rtl/>
        </w:rPr>
        <w:t xml:space="preserve"> בהתאם להחלטה בו</w:t>
      </w:r>
      <w:r w:rsidRPr="00BF5A21">
        <w:rPr>
          <w:rFonts w:ascii="Arial" w:hAnsi="Arial" w:hint="cs"/>
          <w:rtl/>
        </w:rPr>
        <w:t>.</w:t>
      </w:r>
    </w:p>
    <w:p w14:paraId="01862C00" w14:textId="77777777" w:rsidR="00CC53A3" w:rsidRPr="00BF5A21" w:rsidRDefault="00CC53A3" w:rsidP="00CC53A3">
      <w:pPr>
        <w:spacing w:line="360" w:lineRule="auto"/>
        <w:jc w:val="both"/>
        <w:rPr>
          <w:rFonts w:ascii="Arial" w:hAnsi="Arial"/>
          <w:rtl/>
        </w:rPr>
      </w:pPr>
    </w:p>
    <w:p w14:paraId="1352B76C" w14:textId="77777777" w:rsidR="00CC53A3" w:rsidRPr="00FD0AD8" w:rsidRDefault="00CC53A3" w:rsidP="00CC53A3">
      <w:pPr>
        <w:spacing w:after="160" w:line="276" w:lineRule="auto"/>
        <w:rPr>
          <w:rFonts w:ascii="Calibri" w:hAnsi="Calibri"/>
          <w:rtl/>
        </w:rPr>
      </w:pPr>
      <w:r w:rsidRPr="00FD0AD8">
        <w:rPr>
          <w:rFonts w:ascii="Calibri" w:hAnsi="Calibri" w:hint="eastAsia"/>
          <w:rtl/>
        </w:rPr>
        <w:t>עותק</w:t>
      </w:r>
      <w:r w:rsidRPr="00FD0AD8">
        <w:rPr>
          <w:rFonts w:ascii="Calibri" w:hAnsi="Calibri"/>
          <w:rtl/>
        </w:rPr>
        <w:t xml:space="preserve"> </w:t>
      </w:r>
      <w:r w:rsidRPr="00FD0AD8">
        <w:rPr>
          <w:rFonts w:ascii="Calibri" w:hAnsi="Calibri" w:hint="eastAsia"/>
          <w:rtl/>
        </w:rPr>
        <w:t>גזר</w:t>
      </w:r>
      <w:r w:rsidRPr="00FD0AD8">
        <w:rPr>
          <w:rFonts w:ascii="Calibri" w:hAnsi="Calibri"/>
          <w:rtl/>
        </w:rPr>
        <w:t xml:space="preserve"> </w:t>
      </w:r>
      <w:r w:rsidRPr="00FD0AD8">
        <w:rPr>
          <w:rFonts w:ascii="Calibri" w:hAnsi="Calibri" w:hint="eastAsia"/>
          <w:rtl/>
        </w:rPr>
        <w:t>הדין</w:t>
      </w:r>
      <w:r w:rsidRPr="00FD0AD8">
        <w:rPr>
          <w:rFonts w:ascii="Calibri" w:hAnsi="Calibri"/>
          <w:rtl/>
        </w:rPr>
        <w:t xml:space="preserve"> </w:t>
      </w:r>
      <w:r w:rsidRPr="00FD0AD8">
        <w:rPr>
          <w:rFonts w:ascii="Calibri" w:hAnsi="Calibri" w:hint="eastAsia"/>
          <w:rtl/>
        </w:rPr>
        <w:t>יועבר</w:t>
      </w:r>
      <w:r w:rsidRPr="00FD0AD8">
        <w:rPr>
          <w:rFonts w:ascii="Calibri" w:hAnsi="Calibri"/>
          <w:rtl/>
        </w:rPr>
        <w:t xml:space="preserve"> </w:t>
      </w:r>
      <w:r w:rsidRPr="00FD0AD8">
        <w:rPr>
          <w:rFonts w:ascii="Calibri" w:hAnsi="Calibri" w:hint="eastAsia"/>
          <w:rtl/>
        </w:rPr>
        <w:t>לשירות</w:t>
      </w:r>
      <w:r w:rsidRPr="00FD0AD8">
        <w:rPr>
          <w:rFonts w:ascii="Calibri" w:hAnsi="Calibri"/>
          <w:rtl/>
        </w:rPr>
        <w:t xml:space="preserve"> </w:t>
      </w:r>
      <w:r w:rsidRPr="00FD0AD8">
        <w:rPr>
          <w:rFonts w:ascii="Calibri" w:hAnsi="Calibri" w:hint="eastAsia"/>
          <w:rtl/>
        </w:rPr>
        <w:t>המבחן</w:t>
      </w:r>
      <w:r w:rsidRPr="00FD0AD8">
        <w:rPr>
          <w:rFonts w:ascii="Calibri" w:hAnsi="Calibri"/>
          <w:rtl/>
        </w:rPr>
        <w:t xml:space="preserve"> </w:t>
      </w:r>
      <w:r w:rsidRPr="00FD0AD8">
        <w:rPr>
          <w:rFonts w:ascii="Calibri" w:hAnsi="Calibri" w:hint="eastAsia"/>
          <w:rtl/>
        </w:rPr>
        <w:t>למבוגרים</w:t>
      </w:r>
      <w:r>
        <w:rPr>
          <w:rFonts w:ascii="Calibri" w:hAnsi="Calibri" w:hint="cs"/>
          <w:rtl/>
        </w:rPr>
        <w:t xml:space="preserve"> ו</w:t>
      </w:r>
      <w:r w:rsidRPr="00FD0AD8">
        <w:rPr>
          <w:rFonts w:ascii="Calibri" w:hAnsi="Calibri" w:hint="eastAsia"/>
          <w:rtl/>
        </w:rPr>
        <w:t>לממונה</w:t>
      </w:r>
      <w:r w:rsidRPr="00FD0AD8">
        <w:rPr>
          <w:rFonts w:ascii="Calibri" w:hAnsi="Calibri"/>
          <w:rtl/>
        </w:rPr>
        <w:t xml:space="preserve"> </w:t>
      </w:r>
      <w:r w:rsidRPr="00FD0AD8">
        <w:rPr>
          <w:rFonts w:ascii="Calibri" w:hAnsi="Calibri" w:hint="eastAsia"/>
          <w:rtl/>
        </w:rPr>
        <w:t>על</w:t>
      </w:r>
      <w:r w:rsidRPr="00FD0AD8">
        <w:rPr>
          <w:rFonts w:ascii="Calibri" w:hAnsi="Calibri"/>
          <w:rtl/>
        </w:rPr>
        <w:t xml:space="preserve"> </w:t>
      </w:r>
      <w:r w:rsidRPr="00FD0AD8">
        <w:rPr>
          <w:rFonts w:ascii="Calibri" w:hAnsi="Calibri" w:hint="eastAsia"/>
          <w:rtl/>
        </w:rPr>
        <w:t>עבודות</w:t>
      </w:r>
      <w:r w:rsidRPr="00FD0AD8">
        <w:rPr>
          <w:rFonts w:ascii="Calibri" w:hAnsi="Calibri"/>
          <w:rtl/>
        </w:rPr>
        <w:t xml:space="preserve"> </w:t>
      </w:r>
      <w:r w:rsidRPr="00FD0AD8">
        <w:rPr>
          <w:rFonts w:ascii="Calibri" w:hAnsi="Calibri" w:hint="eastAsia"/>
          <w:rtl/>
        </w:rPr>
        <w:t>השירות</w:t>
      </w:r>
      <w:r w:rsidRPr="00FD0AD8">
        <w:rPr>
          <w:rFonts w:ascii="Calibri" w:hAnsi="Calibri"/>
          <w:rtl/>
        </w:rPr>
        <w:t xml:space="preserve"> </w:t>
      </w:r>
      <w:r w:rsidRPr="00FD0AD8">
        <w:rPr>
          <w:rFonts w:ascii="Calibri" w:hAnsi="Calibri" w:hint="eastAsia"/>
          <w:rtl/>
        </w:rPr>
        <w:t>בשב</w:t>
      </w:r>
      <w:r w:rsidRPr="00FD0AD8">
        <w:rPr>
          <w:rFonts w:ascii="Calibri" w:hAnsi="Calibri"/>
          <w:rtl/>
        </w:rPr>
        <w:t>"</w:t>
      </w:r>
      <w:r w:rsidRPr="00FD0AD8">
        <w:rPr>
          <w:rFonts w:ascii="Calibri" w:hAnsi="Calibri" w:hint="eastAsia"/>
          <w:rtl/>
        </w:rPr>
        <w:t>ס</w:t>
      </w:r>
      <w:r w:rsidRPr="00FD0AD8">
        <w:rPr>
          <w:rFonts w:ascii="Calibri" w:hAnsi="Calibri"/>
          <w:rtl/>
        </w:rPr>
        <w:t>.</w:t>
      </w:r>
    </w:p>
    <w:p w14:paraId="67535F48" w14:textId="77777777" w:rsidR="00CC53A3" w:rsidRPr="00FD0AD8" w:rsidRDefault="00CC53A3" w:rsidP="00CC53A3">
      <w:pPr>
        <w:spacing w:after="160" w:line="276" w:lineRule="auto"/>
        <w:rPr>
          <w:rFonts w:ascii="Calibri" w:hAnsi="Calibri"/>
          <w:rtl/>
        </w:rPr>
      </w:pPr>
      <w:r w:rsidRPr="00FD0AD8">
        <w:rPr>
          <w:rFonts w:ascii="Calibri" w:hAnsi="Calibri" w:hint="eastAsia"/>
          <w:rtl/>
        </w:rPr>
        <w:t>צו</w:t>
      </w:r>
      <w:r w:rsidRPr="00FD0AD8">
        <w:rPr>
          <w:rFonts w:ascii="Calibri" w:hAnsi="Calibri"/>
          <w:rtl/>
        </w:rPr>
        <w:t xml:space="preserve"> </w:t>
      </w:r>
      <w:r w:rsidRPr="00FD0AD8">
        <w:rPr>
          <w:rFonts w:ascii="Calibri" w:hAnsi="Calibri" w:hint="eastAsia"/>
          <w:rtl/>
        </w:rPr>
        <w:t>מבחן</w:t>
      </w:r>
      <w:r w:rsidRPr="00FD0AD8">
        <w:rPr>
          <w:rFonts w:ascii="Calibri" w:hAnsi="Calibri"/>
          <w:rtl/>
        </w:rPr>
        <w:t xml:space="preserve"> </w:t>
      </w:r>
      <w:r w:rsidRPr="00FD0AD8">
        <w:rPr>
          <w:rFonts w:ascii="Calibri" w:hAnsi="Calibri" w:hint="eastAsia"/>
          <w:rtl/>
        </w:rPr>
        <w:t>יוגש</w:t>
      </w:r>
      <w:r w:rsidRPr="00FD0AD8">
        <w:rPr>
          <w:rFonts w:ascii="Calibri" w:hAnsi="Calibri"/>
          <w:rtl/>
        </w:rPr>
        <w:t xml:space="preserve"> </w:t>
      </w:r>
      <w:r w:rsidRPr="00FD0AD8">
        <w:rPr>
          <w:rFonts w:ascii="Calibri" w:hAnsi="Calibri" w:hint="eastAsia"/>
          <w:rtl/>
        </w:rPr>
        <w:t>לחתימה</w:t>
      </w:r>
      <w:r w:rsidRPr="00FD0AD8">
        <w:rPr>
          <w:rFonts w:ascii="Calibri" w:hAnsi="Calibri"/>
          <w:rtl/>
        </w:rPr>
        <w:t xml:space="preserve"> </w:t>
      </w:r>
      <w:r w:rsidRPr="00FD0AD8">
        <w:rPr>
          <w:rFonts w:ascii="Calibri" w:hAnsi="Calibri" w:hint="eastAsia"/>
          <w:rtl/>
        </w:rPr>
        <w:t>בתוך</w:t>
      </w:r>
      <w:r w:rsidRPr="00FD0AD8">
        <w:rPr>
          <w:rFonts w:ascii="Calibri" w:hAnsi="Calibri"/>
          <w:rtl/>
        </w:rPr>
        <w:t xml:space="preserve"> 30 </w:t>
      </w:r>
      <w:r w:rsidRPr="00FD0AD8">
        <w:rPr>
          <w:rFonts w:ascii="Calibri" w:hAnsi="Calibri" w:hint="eastAsia"/>
          <w:rtl/>
        </w:rPr>
        <w:t>יום</w:t>
      </w:r>
      <w:r w:rsidRPr="00FD0AD8">
        <w:rPr>
          <w:rFonts w:ascii="Calibri" w:hAnsi="Calibri"/>
          <w:rtl/>
        </w:rPr>
        <w:t xml:space="preserve"> </w:t>
      </w:r>
      <w:r w:rsidRPr="00FD0AD8">
        <w:rPr>
          <w:rFonts w:ascii="Calibri" w:hAnsi="Calibri" w:hint="eastAsia"/>
          <w:rtl/>
        </w:rPr>
        <w:t>מהיום</w:t>
      </w:r>
      <w:r w:rsidRPr="00FD0AD8">
        <w:rPr>
          <w:rFonts w:ascii="Calibri" w:hAnsi="Calibri"/>
          <w:rtl/>
        </w:rPr>
        <w:t xml:space="preserve">. </w:t>
      </w:r>
    </w:p>
    <w:p w14:paraId="047B4994" w14:textId="77777777" w:rsidR="00CC53A3" w:rsidRPr="00FD0AD8" w:rsidRDefault="00CC53A3" w:rsidP="00CC53A3">
      <w:pPr>
        <w:spacing w:after="160" w:line="276" w:lineRule="auto"/>
        <w:rPr>
          <w:rFonts w:ascii="Calibri" w:hAnsi="Calibri"/>
          <w:rtl/>
        </w:rPr>
      </w:pPr>
      <w:r w:rsidRPr="00FD0AD8">
        <w:rPr>
          <w:rFonts w:ascii="Calibri" w:hAnsi="Calibri" w:hint="eastAsia"/>
          <w:rtl/>
        </w:rPr>
        <w:t>הודעה</w:t>
      </w:r>
      <w:r w:rsidRPr="00FD0AD8">
        <w:rPr>
          <w:rFonts w:ascii="Calibri" w:hAnsi="Calibri"/>
          <w:rtl/>
        </w:rPr>
        <w:t xml:space="preserve"> </w:t>
      </w:r>
      <w:r w:rsidRPr="00FD0AD8">
        <w:rPr>
          <w:rFonts w:ascii="Calibri" w:hAnsi="Calibri" w:hint="eastAsia"/>
          <w:rtl/>
        </w:rPr>
        <w:t>זכות</w:t>
      </w:r>
      <w:r w:rsidRPr="00FD0AD8">
        <w:rPr>
          <w:rFonts w:ascii="Calibri" w:hAnsi="Calibri"/>
          <w:rtl/>
        </w:rPr>
        <w:t xml:space="preserve"> </w:t>
      </w:r>
      <w:r w:rsidRPr="00FD0AD8">
        <w:rPr>
          <w:rFonts w:ascii="Calibri" w:hAnsi="Calibri" w:hint="eastAsia"/>
          <w:rtl/>
        </w:rPr>
        <w:t>הערעור</w:t>
      </w:r>
      <w:r w:rsidRPr="00FD0AD8">
        <w:rPr>
          <w:rFonts w:ascii="Calibri" w:hAnsi="Calibri"/>
          <w:rtl/>
        </w:rPr>
        <w:t>.</w:t>
      </w:r>
    </w:p>
    <w:p w14:paraId="08C26AAA" w14:textId="77777777" w:rsidR="00CC53A3" w:rsidRPr="001E0932" w:rsidRDefault="001E0932" w:rsidP="00CC53A3">
      <w:pPr>
        <w:rPr>
          <w:color w:val="FFFFFF"/>
          <w:sz w:val="2"/>
          <w:szCs w:val="2"/>
        </w:rPr>
      </w:pPr>
      <w:r w:rsidRPr="001E0932">
        <w:rPr>
          <w:color w:val="FFFFFF"/>
          <w:sz w:val="2"/>
          <w:szCs w:val="2"/>
          <w:rtl/>
        </w:rPr>
        <w:t>5129371</w:t>
      </w:r>
    </w:p>
    <w:p w14:paraId="2582C291" w14:textId="77777777" w:rsidR="00CC53A3" w:rsidRPr="001E0932" w:rsidRDefault="001E0932" w:rsidP="00CC53A3">
      <w:pPr>
        <w:spacing w:line="360" w:lineRule="auto"/>
        <w:jc w:val="both"/>
        <w:rPr>
          <w:rFonts w:ascii="Arial" w:hAnsi="Arial"/>
          <w:color w:val="FFFFFF"/>
          <w:sz w:val="2"/>
          <w:szCs w:val="2"/>
          <w:rtl/>
        </w:rPr>
      </w:pPr>
      <w:r w:rsidRPr="001E0932">
        <w:rPr>
          <w:rFonts w:ascii="Arial" w:hAnsi="Arial"/>
          <w:color w:val="FFFFFF"/>
          <w:sz w:val="2"/>
          <w:szCs w:val="2"/>
          <w:rtl/>
        </w:rPr>
        <w:t>54678313</w:t>
      </w:r>
    </w:p>
    <w:p w14:paraId="246F011B" w14:textId="77777777" w:rsidR="00CC53A3" w:rsidRDefault="001E0932" w:rsidP="00CC53A3">
      <w:pPr>
        <w:spacing w:line="360" w:lineRule="auto"/>
        <w:jc w:val="both"/>
        <w:rPr>
          <w:rFonts w:ascii="Arial" w:hAnsi="Arial"/>
          <w:rtl/>
        </w:rPr>
      </w:pPr>
      <w:r>
        <w:rPr>
          <w:rFonts w:ascii="Arial" w:hAnsi="Arial"/>
          <w:rtl/>
        </w:rPr>
        <w:t xml:space="preserve">ניתנה היום, כ"ח אייר תשע"ו, 05 יוני 2016, בהעדר הצדדים. </w:t>
      </w:r>
    </w:p>
    <w:p w14:paraId="518A26C6" w14:textId="77777777" w:rsidR="001E0932" w:rsidRPr="001E0932" w:rsidRDefault="001E0932" w:rsidP="001E0932">
      <w:pPr>
        <w:keepNext/>
        <w:rPr>
          <w:rFonts w:ascii="David" w:hAnsi="David"/>
          <w:color w:val="000000"/>
          <w:sz w:val="22"/>
          <w:szCs w:val="22"/>
          <w:rtl/>
        </w:rPr>
      </w:pPr>
      <w:r w:rsidRPr="001E0932">
        <w:rPr>
          <w:rFonts w:ascii="David" w:hAnsi="David"/>
          <w:color w:val="000000"/>
          <w:sz w:val="22"/>
          <w:szCs w:val="22"/>
          <w:rtl/>
        </w:rPr>
        <w:t>רון סולקין 54678313</w:t>
      </w:r>
    </w:p>
    <w:p w14:paraId="3BFE5C16" w14:textId="77777777" w:rsidR="001E0932" w:rsidRDefault="001E0932" w:rsidP="001E0932">
      <w:r w:rsidRPr="001E0932">
        <w:rPr>
          <w:color w:val="000000"/>
          <w:rtl/>
        </w:rPr>
        <w:t>נוסח מסמך זה כפוף לשינויי ניסוח ועריכה</w:t>
      </w:r>
    </w:p>
    <w:p w14:paraId="281F8FE3" w14:textId="77777777" w:rsidR="001E0932" w:rsidRDefault="001E0932" w:rsidP="001E0932">
      <w:pPr>
        <w:rPr>
          <w:rtl/>
        </w:rPr>
      </w:pPr>
    </w:p>
    <w:p w14:paraId="5DDFAD69" w14:textId="77777777" w:rsidR="001E0932" w:rsidRDefault="001E0932" w:rsidP="001E093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90C8CF4" w14:textId="77777777" w:rsidR="00B1215F" w:rsidRPr="001E0932" w:rsidRDefault="00B1215F" w:rsidP="001E0932">
      <w:pPr>
        <w:jc w:val="center"/>
        <w:rPr>
          <w:color w:val="0000FF"/>
          <w:u w:val="single"/>
        </w:rPr>
      </w:pPr>
    </w:p>
    <w:sectPr w:rsidR="00B1215F" w:rsidRPr="001E0932" w:rsidSect="001E0932">
      <w:headerReference w:type="even" r:id="rId38"/>
      <w:headerReference w:type="default" r:id="rId39"/>
      <w:footerReference w:type="even" r:id="rId40"/>
      <w:footerReference w:type="default" r:id="rId41"/>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8EDCA3" w14:textId="77777777" w:rsidR="005857B6" w:rsidRDefault="005857B6">
      <w:r>
        <w:separator/>
      </w:r>
    </w:p>
  </w:endnote>
  <w:endnote w:type="continuationSeparator" w:id="0">
    <w:p w14:paraId="2744400B" w14:textId="77777777" w:rsidR="005857B6" w:rsidRDefault="00585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9C67D" w14:textId="77777777" w:rsidR="004C7335" w:rsidRDefault="004C7335" w:rsidP="001E09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8073AA" w14:textId="77777777" w:rsidR="004C7335" w:rsidRPr="001E0932" w:rsidRDefault="004C7335" w:rsidP="001E0932">
    <w:pPr>
      <w:pStyle w:val="a5"/>
      <w:pBdr>
        <w:top w:val="single" w:sz="4" w:space="1" w:color="auto"/>
        <w:between w:val="single" w:sz="4" w:space="0" w:color="auto"/>
      </w:pBdr>
      <w:spacing w:after="60"/>
      <w:jc w:val="center"/>
      <w:rPr>
        <w:rFonts w:ascii="FrankRuehl" w:hAnsi="FrankRuehl" w:cs="FrankRuehl"/>
        <w:color w:val="000000"/>
      </w:rPr>
    </w:pPr>
    <w:r w:rsidRPr="001E09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BD0DE" w14:textId="77777777" w:rsidR="004C7335" w:rsidRDefault="004C7335" w:rsidP="001E0932">
    <w:pPr>
      <w:pStyle w:val="a5"/>
      <w:jc w:val="center"/>
      <w:rPr>
        <w:rStyle w:val="a6"/>
        <w:rFonts w:ascii="FrankRuehl" w:hAnsi="FrankRuehl" w:cs="FrankRueh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EF15D9">
      <w:rPr>
        <w:rStyle w:val="a6"/>
        <w:rFonts w:ascii="FrankRuehl" w:hAnsi="FrankRuehl" w:cs="FrankRuehl"/>
        <w:noProof/>
        <w:rtl/>
      </w:rPr>
      <w:t>2</w:t>
    </w:r>
    <w:r>
      <w:rPr>
        <w:rStyle w:val="a6"/>
        <w:rFonts w:ascii="FrankRuehl" w:hAnsi="FrankRuehl" w:cs="FrankRuehl"/>
        <w:rtl/>
      </w:rPr>
      <w:fldChar w:fldCharType="end"/>
    </w:r>
  </w:p>
  <w:p w14:paraId="62F8A1AC" w14:textId="77777777" w:rsidR="004C7335" w:rsidRPr="001E0932" w:rsidRDefault="004C7335" w:rsidP="001E0932">
    <w:pPr>
      <w:pStyle w:val="a5"/>
      <w:pBdr>
        <w:top w:val="single" w:sz="4" w:space="1" w:color="auto"/>
        <w:between w:val="single" w:sz="4" w:space="0" w:color="auto"/>
      </w:pBdr>
      <w:spacing w:after="60"/>
      <w:jc w:val="center"/>
      <w:rPr>
        <w:rStyle w:val="a6"/>
        <w:rFonts w:ascii="FrankRuehl" w:hAnsi="FrankRuehl" w:cs="FrankRuehl" w:hint="cs"/>
        <w:color w:val="000000"/>
      </w:rPr>
    </w:pPr>
    <w:r w:rsidRPr="001E0932">
      <w:rPr>
        <w:rStyle w:val="a6"/>
        <w:rFonts w:ascii="FrankRuehl" w:hAnsi="FrankRuehl" w:cs="FrankRuehl" w:hint="cs"/>
        <w:color w:val="000000"/>
      </w:rPr>
      <w:pict w14:anchorId="0667B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913101" w14:textId="77777777" w:rsidR="005857B6" w:rsidRDefault="005857B6">
      <w:r>
        <w:separator/>
      </w:r>
    </w:p>
  </w:footnote>
  <w:footnote w:type="continuationSeparator" w:id="0">
    <w:p w14:paraId="3CF2D208" w14:textId="77777777" w:rsidR="005857B6" w:rsidRDefault="0058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3F687" w14:textId="77777777" w:rsidR="004C7335" w:rsidRPr="001E0932" w:rsidRDefault="004C7335" w:rsidP="001E093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41072-03-14</w:t>
    </w:r>
    <w:r>
      <w:rPr>
        <w:rFonts w:ascii="David" w:hAnsi="David"/>
        <w:color w:val="000000"/>
        <w:sz w:val="22"/>
        <w:szCs w:val="22"/>
        <w:rtl/>
      </w:rPr>
      <w:tab/>
      <w:t xml:space="preserve"> מדינת ישראל תביעות נגב נ' הנרי אוסה בן אנדרו מטקה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AADBA" w14:textId="77777777" w:rsidR="004C7335" w:rsidRPr="001E0932" w:rsidRDefault="004C7335" w:rsidP="001E0932">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41072-03-14</w:t>
    </w:r>
    <w:r>
      <w:rPr>
        <w:rFonts w:ascii="David" w:hAnsi="David"/>
        <w:color w:val="000000"/>
        <w:sz w:val="22"/>
        <w:szCs w:val="22"/>
        <w:rtl/>
      </w:rPr>
      <w:tab/>
      <w:t xml:space="preserve"> מדינת ישראל תביעות נגב נ' הנרי אוסה בן אנדרו מטקה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B0A2C"/>
    <w:multiLevelType w:val="hybridMultilevel"/>
    <w:tmpl w:val="27543042"/>
    <w:lvl w:ilvl="0" w:tplc="E4202BBC">
      <w:start w:val="1"/>
      <w:numFmt w:val="hebrew1"/>
      <w:lvlText w:val="%1."/>
      <w:lvlJc w:val="left"/>
      <w:pPr>
        <w:ind w:left="870" w:hanging="510"/>
      </w:pPr>
      <w:rPr>
        <w:rFonts w:cs="David"/>
        <w:lang w:val="en-U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6E3B0E6C"/>
    <w:multiLevelType w:val="hybridMultilevel"/>
    <w:tmpl w:val="052C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4007657"/>
    <w:multiLevelType w:val="hybridMultilevel"/>
    <w:tmpl w:val="ADDC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8703993"/>
    <w:multiLevelType w:val="hybridMultilevel"/>
    <w:tmpl w:val="DEAAC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542837935">
    <w:abstractNumId w:val="1"/>
  </w:num>
  <w:num w:numId="2" w16cid:durableId="1061362942">
    <w:abstractNumId w:val="3"/>
  </w:num>
  <w:num w:numId="3" w16cid:durableId="45758932">
    <w:abstractNumId w:val="2"/>
  </w:num>
  <w:num w:numId="4" w16cid:durableId="12187361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53A3"/>
    <w:rsid w:val="00042A5F"/>
    <w:rsid w:val="001076D1"/>
    <w:rsid w:val="00174FB2"/>
    <w:rsid w:val="001E0932"/>
    <w:rsid w:val="003C36F2"/>
    <w:rsid w:val="003D3723"/>
    <w:rsid w:val="003E3D9B"/>
    <w:rsid w:val="004C7335"/>
    <w:rsid w:val="005857B6"/>
    <w:rsid w:val="00646494"/>
    <w:rsid w:val="008D6FB2"/>
    <w:rsid w:val="00B1215F"/>
    <w:rsid w:val="00CC53A3"/>
    <w:rsid w:val="00D226F1"/>
    <w:rsid w:val="00EF15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ED6D81"/>
  <w15:chartTrackingRefBased/>
  <w15:docId w15:val="{C7099FCB-5E4D-4C21-A794-E32BC66E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53A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CC53A3"/>
  </w:style>
  <w:style w:type="paragraph" w:styleId="a4">
    <w:name w:val="header"/>
    <w:basedOn w:val="a"/>
    <w:rsid w:val="00CC53A3"/>
    <w:pPr>
      <w:tabs>
        <w:tab w:val="center" w:pos="4153"/>
        <w:tab w:val="right" w:pos="8306"/>
      </w:tabs>
    </w:pPr>
  </w:style>
  <w:style w:type="paragraph" w:styleId="a5">
    <w:name w:val="footer"/>
    <w:basedOn w:val="a"/>
    <w:rsid w:val="00CC53A3"/>
    <w:pPr>
      <w:tabs>
        <w:tab w:val="center" w:pos="4153"/>
        <w:tab w:val="right" w:pos="8306"/>
      </w:tabs>
    </w:pPr>
  </w:style>
  <w:style w:type="character" w:styleId="a6">
    <w:name w:val="page number"/>
    <w:rsid w:val="00CC53A3"/>
    <w:rPr>
      <w:noProof w:val="0"/>
    </w:rPr>
  </w:style>
  <w:style w:type="character" w:styleId="Hyperlink">
    <w:name w:val="Hyperlink"/>
    <w:rsid w:val="001E09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384" TargetMode="External"/><Relationship Id="rId26" Type="http://schemas.openxmlformats.org/officeDocument/2006/relationships/hyperlink" Target="http://www.nevo.co.il/case/5681787" TargetMode="External"/><Relationship Id="rId39" Type="http://schemas.openxmlformats.org/officeDocument/2006/relationships/header" Target="header2.xml"/><Relationship Id="rId21" Type="http://schemas.openxmlformats.org/officeDocument/2006/relationships/hyperlink" Target="http://www.nevo.co.il/law/4216"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case/13069457" TargetMode="External"/><Relationship Id="rId2" Type="http://schemas.openxmlformats.org/officeDocument/2006/relationships/styles" Target="styles.xml"/><Relationship Id="rId16" Type="http://schemas.openxmlformats.org/officeDocument/2006/relationships/hyperlink" Target="http://www.nevo.co.il/law/70301/406.b" TargetMode="External"/><Relationship Id="rId20" Type="http://schemas.openxmlformats.org/officeDocument/2006/relationships/hyperlink" Target="http://www.nevo.co.il/law/4216/7.c" TargetMode="External"/><Relationship Id="rId29" Type="http://schemas.openxmlformats.org/officeDocument/2006/relationships/hyperlink" Target="http://www.nevo.co.il/law/70301/40d"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6.b" TargetMode="External"/><Relationship Id="rId24" Type="http://schemas.openxmlformats.org/officeDocument/2006/relationships/hyperlink" Target="http://www.nevo.co.il/case/%201526301" TargetMode="External"/><Relationship Id="rId32" Type="http://schemas.openxmlformats.org/officeDocument/2006/relationships/hyperlink" Target="http://www.nevo.co.il/law/70301/jaC"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574126" TargetMode="External"/><Relationship Id="rId28" Type="http://schemas.openxmlformats.org/officeDocument/2006/relationships/hyperlink" Target="http://www.nevo.co.il/case/4914678" TargetMode="External"/><Relationship Id="rId36" Type="http://schemas.openxmlformats.org/officeDocument/2006/relationships/hyperlink" Target="http://www.nevo.co.il/law/4216" TargetMode="External"/><Relationship Id="rId10" Type="http://schemas.openxmlformats.org/officeDocument/2006/relationships/hyperlink" Target="http://www.nevo.co.il/law/70301/384" TargetMode="External"/><Relationship Id="rId19" Type="http://schemas.openxmlformats.org/officeDocument/2006/relationships/hyperlink" Target="http://www.nevo.co.il/law/4216/7.a"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5887572" TargetMode="External"/><Relationship Id="rId27" Type="http://schemas.openxmlformats.org/officeDocument/2006/relationships/hyperlink" Target="http://www.nevo.co.il/case/6051623"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jaC" TargetMode="External"/><Relationship Id="rId43" Type="http://schemas.openxmlformats.org/officeDocument/2006/relationships/theme" Target="theme/theme1.xml"/><Relationship Id="rId8"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ja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4642750" TargetMode="External"/><Relationship Id="rId33" Type="http://schemas.openxmlformats.org/officeDocument/2006/relationships/hyperlink" Target="http://www.nevo.co.il/law/4216"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2962</Words>
  <Characters>14814</Characters>
  <Application>Microsoft Office Word</Application>
  <DocSecurity>0</DocSecurity>
  <Lines>123</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17741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8257637</vt:i4>
      </vt:variant>
      <vt:variant>
        <vt:i4>87</vt:i4>
      </vt:variant>
      <vt:variant>
        <vt:i4>0</vt:i4>
      </vt:variant>
      <vt:variant>
        <vt:i4>5</vt:i4>
      </vt:variant>
      <vt:variant>
        <vt:lpwstr>http://www.nevo.co.il/law/4216</vt:lpwstr>
      </vt:variant>
      <vt:variant>
        <vt:lpwstr/>
      </vt:variant>
      <vt:variant>
        <vt:i4>3407935</vt:i4>
      </vt:variant>
      <vt:variant>
        <vt:i4>84</vt:i4>
      </vt:variant>
      <vt:variant>
        <vt:i4>0</vt:i4>
      </vt:variant>
      <vt:variant>
        <vt:i4>5</vt:i4>
      </vt:variant>
      <vt:variant>
        <vt:lpwstr>http://www.nevo.co.il/law/70301/jaC</vt:lpwstr>
      </vt:variant>
      <vt:variant>
        <vt:lpwstr/>
      </vt:variant>
      <vt:variant>
        <vt:i4>7995492</vt:i4>
      </vt:variant>
      <vt:variant>
        <vt:i4>81</vt:i4>
      </vt:variant>
      <vt:variant>
        <vt:i4>0</vt:i4>
      </vt:variant>
      <vt:variant>
        <vt:i4>5</vt:i4>
      </vt:variant>
      <vt:variant>
        <vt:lpwstr>http://www.nevo.co.il/law/70301</vt:lpwstr>
      </vt:variant>
      <vt:variant>
        <vt:lpwstr/>
      </vt:variant>
      <vt:variant>
        <vt:i4>8257637</vt:i4>
      </vt:variant>
      <vt:variant>
        <vt:i4>78</vt:i4>
      </vt:variant>
      <vt:variant>
        <vt:i4>0</vt:i4>
      </vt:variant>
      <vt:variant>
        <vt:i4>5</vt:i4>
      </vt:variant>
      <vt:variant>
        <vt:lpwstr>http://www.nevo.co.il/law/4216</vt:lpwstr>
      </vt:variant>
      <vt:variant>
        <vt:lpwstr/>
      </vt:variant>
      <vt:variant>
        <vt:i4>3407935</vt:i4>
      </vt:variant>
      <vt:variant>
        <vt:i4>75</vt:i4>
      </vt:variant>
      <vt:variant>
        <vt:i4>0</vt:i4>
      </vt:variant>
      <vt:variant>
        <vt:i4>5</vt:i4>
      </vt:variant>
      <vt:variant>
        <vt:lpwstr>http://www.nevo.co.il/law/70301/jaC</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http://www.nevo.co.il/law/70301/40d</vt:lpwstr>
      </vt:variant>
      <vt:variant>
        <vt:lpwstr/>
      </vt:variant>
      <vt:variant>
        <vt:i4>3866750</vt:i4>
      </vt:variant>
      <vt:variant>
        <vt:i4>63</vt:i4>
      </vt:variant>
      <vt:variant>
        <vt:i4>0</vt:i4>
      </vt:variant>
      <vt:variant>
        <vt:i4>5</vt:i4>
      </vt:variant>
      <vt:variant>
        <vt:lpwstr>http://www.nevo.co.il/case/4914678</vt:lpwstr>
      </vt:variant>
      <vt:variant>
        <vt:lpwstr/>
      </vt:variant>
      <vt:variant>
        <vt:i4>3539063</vt:i4>
      </vt:variant>
      <vt:variant>
        <vt:i4>60</vt:i4>
      </vt:variant>
      <vt:variant>
        <vt:i4>0</vt:i4>
      </vt:variant>
      <vt:variant>
        <vt:i4>5</vt:i4>
      </vt:variant>
      <vt:variant>
        <vt:lpwstr>http://www.nevo.co.il/case/6051623</vt:lpwstr>
      </vt:variant>
      <vt:variant>
        <vt:lpwstr/>
      </vt:variant>
      <vt:variant>
        <vt:i4>3997819</vt:i4>
      </vt:variant>
      <vt:variant>
        <vt:i4>57</vt:i4>
      </vt:variant>
      <vt:variant>
        <vt:i4>0</vt:i4>
      </vt:variant>
      <vt:variant>
        <vt:i4>5</vt:i4>
      </vt:variant>
      <vt:variant>
        <vt:lpwstr>http://www.nevo.co.il/case/5681787</vt:lpwstr>
      </vt:variant>
      <vt:variant>
        <vt:lpwstr/>
      </vt:variant>
      <vt:variant>
        <vt:i4>3604597</vt:i4>
      </vt:variant>
      <vt:variant>
        <vt:i4>54</vt:i4>
      </vt:variant>
      <vt:variant>
        <vt:i4>0</vt:i4>
      </vt:variant>
      <vt:variant>
        <vt:i4>5</vt:i4>
      </vt:variant>
      <vt:variant>
        <vt:lpwstr>http://www.nevo.co.il/case/4642750</vt:lpwstr>
      </vt:variant>
      <vt:variant>
        <vt:lpwstr/>
      </vt:variant>
      <vt:variant>
        <vt:i4>2293876</vt:i4>
      </vt:variant>
      <vt:variant>
        <vt:i4>51</vt:i4>
      </vt:variant>
      <vt:variant>
        <vt:i4>0</vt:i4>
      </vt:variant>
      <vt:variant>
        <vt:i4>5</vt:i4>
      </vt:variant>
      <vt:variant>
        <vt:lpwstr>http://www.nevo.co.il/case/ 1526301</vt:lpwstr>
      </vt:variant>
      <vt:variant>
        <vt:lpwstr/>
      </vt:variant>
      <vt:variant>
        <vt:i4>3276919</vt:i4>
      </vt:variant>
      <vt:variant>
        <vt:i4>48</vt:i4>
      </vt:variant>
      <vt:variant>
        <vt:i4>0</vt:i4>
      </vt:variant>
      <vt:variant>
        <vt:i4>5</vt:i4>
      </vt:variant>
      <vt:variant>
        <vt:lpwstr>http://www.nevo.co.il/case/2574126</vt:lpwstr>
      </vt:variant>
      <vt:variant>
        <vt:lpwstr/>
      </vt:variant>
      <vt:variant>
        <vt:i4>3801212</vt:i4>
      </vt:variant>
      <vt:variant>
        <vt:i4>45</vt:i4>
      </vt:variant>
      <vt:variant>
        <vt:i4>0</vt:i4>
      </vt:variant>
      <vt:variant>
        <vt:i4>5</vt:i4>
      </vt:variant>
      <vt:variant>
        <vt:lpwstr>http://www.nevo.co.il/case/5887572</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7143526</vt:i4>
      </vt:variant>
      <vt:variant>
        <vt:i4>33</vt:i4>
      </vt:variant>
      <vt:variant>
        <vt:i4>0</vt:i4>
      </vt:variant>
      <vt:variant>
        <vt:i4>5</vt:i4>
      </vt:variant>
      <vt:variant>
        <vt:lpwstr>http://www.nevo.co.il/law/70301/384</vt:lpwstr>
      </vt:variant>
      <vt:variant>
        <vt:lpwstr/>
      </vt:variant>
      <vt:variant>
        <vt:i4>7995492</vt:i4>
      </vt:variant>
      <vt:variant>
        <vt:i4>30</vt:i4>
      </vt:variant>
      <vt:variant>
        <vt:i4>0</vt:i4>
      </vt:variant>
      <vt:variant>
        <vt:i4>5</vt:i4>
      </vt:variant>
      <vt:variant>
        <vt:lpwstr>http://www.nevo.co.il/law/70301</vt:lpwstr>
      </vt:variant>
      <vt:variant>
        <vt:lpwstr/>
      </vt:variant>
      <vt:variant>
        <vt:i4>4915287</vt:i4>
      </vt:variant>
      <vt:variant>
        <vt:i4>27</vt:i4>
      </vt:variant>
      <vt:variant>
        <vt:i4>0</vt:i4>
      </vt:variant>
      <vt:variant>
        <vt:i4>5</vt:i4>
      </vt:variant>
      <vt:variant>
        <vt:lpwstr>http://www.nevo.co.il/law/70301/406.b</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3407935</vt:i4>
      </vt:variant>
      <vt:variant>
        <vt:i4>15</vt:i4>
      </vt:variant>
      <vt:variant>
        <vt:i4>0</vt:i4>
      </vt:variant>
      <vt:variant>
        <vt:i4>5</vt:i4>
      </vt:variant>
      <vt:variant>
        <vt:lpwstr>http://www.nevo.co.il/law/70301/jaC</vt:lpwstr>
      </vt:variant>
      <vt:variant>
        <vt:lpwstr/>
      </vt:variant>
      <vt:variant>
        <vt:i4>4915287</vt:i4>
      </vt:variant>
      <vt:variant>
        <vt:i4>12</vt:i4>
      </vt:variant>
      <vt:variant>
        <vt:i4>0</vt:i4>
      </vt:variant>
      <vt:variant>
        <vt:i4>5</vt:i4>
      </vt:variant>
      <vt:variant>
        <vt:lpwstr>http://www.nevo.co.il/law/70301/406.b</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7995492</vt:i4>
      </vt:variant>
      <vt:variant>
        <vt:i4>3</vt:i4>
      </vt:variant>
      <vt:variant>
        <vt:i4>0</vt:i4>
      </vt:variant>
      <vt:variant>
        <vt:i4>5</vt:i4>
      </vt:variant>
      <vt:variant>
        <vt:lpwstr>http://www.nevo.co.il/law/70301</vt:lpwstr>
      </vt:variant>
      <vt:variant>
        <vt:lpwstr/>
      </vt:variant>
      <vt:variant>
        <vt:i4>3997813</vt:i4>
      </vt:variant>
      <vt:variant>
        <vt:i4>0</vt:i4>
      </vt:variant>
      <vt:variant>
        <vt:i4>0</vt:i4>
      </vt:variant>
      <vt:variant>
        <vt:i4>5</vt:i4>
      </vt:variant>
      <vt:variant>
        <vt:lpwstr>http://www.nevo.co.il/case/13069457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41072</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 תביעות נגב</vt:lpwstr>
  </property>
  <property fmtid="{D5CDD505-2E9C-101B-9397-08002B2CF9AE}" pid="9" name="APPELLEE">
    <vt:lpwstr>הנרי אוסה בן אנדרו מטקה</vt:lpwstr>
  </property>
  <property fmtid="{D5CDD505-2E9C-101B-9397-08002B2CF9AE}" pid="10" name="LAWYER">
    <vt:lpwstr>הילה אליהוא;דמיטרי ורניצקי</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20160605</vt:lpwstr>
  </property>
  <property fmtid="{D5CDD505-2E9C-101B-9397-08002B2CF9AE}" pid="14" name="TYPE_N_DATE">
    <vt:lpwstr>38020160605</vt:lpwstr>
  </property>
  <property fmtid="{D5CDD505-2E9C-101B-9397-08002B2CF9AE}" pid="15" name="WORDNUMPAGES">
    <vt:lpwstr>10</vt:lpwstr>
  </property>
  <property fmtid="{D5CDD505-2E9C-101B-9397-08002B2CF9AE}" pid="16" name="TYPE_ABS_DATE">
    <vt:lpwstr>380020160605</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13069457;5887572;2574126;1526301;4642750;5681787;6051623;4914678</vt:lpwstr>
  </property>
  <property fmtid="{D5CDD505-2E9C-101B-9397-08002B2CF9AE}" pid="36" name="LAWLISTTMP1">
    <vt:lpwstr>70301/406.b;384;040d;jaC:2</vt:lpwstr>
  </property>
  <property fmtid="{D5CDD505-2E9C-101B-9397-08002B2CF9AE}" pid="37" name="LAWLISTTMP2">
    <vt:lpwstr>4216/007.a;007.c</vt:lpwstr>
  </property>
</Properties>
</file>