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E16DE" w:rsidRPr="00282E99" w14:paraId="4193426F" w14:textId="77777777">
        <w:trPr>
          <w:trHeight w:hRule="exact" w:val="418"/>
          <w:jc w:val="center"/>
        </w:trPr>
        <w:tc>
          <w:tcPr>
            <w:tcW w:w="8721" w:type="dxa"/>
            <w:gridSpan w:val="2"/>
          </w:tcPr>
          <w:p w14:paraId="3B6F8D7A" w14:textId="77777777" w:rsidR="001E16DE" w:rsidRPr="00282E99" w:rsidRDefault="00282E99">
            <w:pPr>
              <w:pStyle w:val="a3"/>
              <w:jc w:val="center"/>
              <w:rPr>
                <w:rFonts w:ascii="Tahoma" w:hAnsi="Tahoma" w:cs="Tahoma"/>
                <w:color w:val="000080"/>
                <w:rtl/>
              </w:rPr>
            </w:pPr>
            <w:bookmarkStart w:id="0" w:name="LastJudge"/>
            <w:r w:rsidRPr="00282E99">
              <w:rPr>
                <w:rFonts w:ascii="Tahoma" w:hAnsi="Tahoma"/>
                <w:b/>
                <w:bCs/>
                <w:color w:val="000080"/>
                <w:sz w:val="28"/>
                <w:szCs w:val="28"/>
                <w:rtl/>
              </w:rPr>
              <w:t>בית משפט השלום בכפר סבא</w:t>
            </w:r>
          </w:p>
        </w:tc>
      </w:tr>
      <w:tr w:rsidR="001E16DE" w:rsidRPr="00282E99" w14:paraId="39999A67" w14:textId="77777777">
        <w:trPr>
          <w:trHeight w:val="337"/>
          <w:jc w:val="center"/>
        </w:trPr>
        <w:tc>
          <w:tcPr>
            <w:tcW w:w="5054" w:type="dxa"/>
          </w:tcPr>
          <w:p w14:paraId="4968703E" w14:textId="77777777" w:rsidR="001E16DE" w:rsidRPr="00282E99" w:rsidRDefault="00282E99">
            <w:pPr>
              <w:rPr>
                <w:rFonts w:cs="FrankRuehl"/>
                <w:sz w:val="28"/>
                <w:szCs w:val="28"/>
                <w:rtl/>
              </w:rPr>
            </w:pPr>
            <w:r w:rsidRPr="00282E99">
              <w:rPr>
                <w:rFonts w:cs="FrankRuehl"/>
                <w:sz w:val="28"/>
                <w:szCs w:val="28"/>
                <w:rtl/>
              </w:rPr>
              <w:t>ת"פ</w:t>
            </w:r>
            <w:r w:rsidRPr="00282E99">
              <w:rPr>
                <w:rFonts w:cs="FrankRuehl" w:hint="cs"/>
                <w:sz w:val="28"/>
                <w:szCs w:val="28"/>
                <w:rtl/>
              </w:rPr>
              <w:t xml:space="preserve"> </w:t>
            </w:r>
            <w:r w:rsidRPr="00282E99">
              <w:rPr>
                <w:rFonts w:cs="FrankRuehl"/>
                <w:sz w:val="28"/>
                <w:szCs w:val="28"/>
                <w:rtl/>
              </w:rPr>
              <w:t>43556-03-14</w:t>
            </w:r>
            <w:r w:rsidRPr="00282E99">
              <w:rPr>
                <w:rFonts w:cs="FrankRuehl" w:hint="cs"/>
                <w:sz w:val="28"/>
                <w:szCs w:val="28"/>
                <w:rtl/>
              </w:rPr>
              <w:t xml:space="preserve"> </w:t>
            </w:r>
            <w:r w:rsidRPr="00282E99">
              <w:rPr>
                <w:rFonts w:cs="FrankRuehl"/>
                <w:sz w:val="28"/>
                <w:szCs w:val="28"/>
                <w:rtl/>
              </w:rPr>
              <w:t>מדינת ישראל נ' גאבר</w:t>
            </w:r>
          </w:p>
          <w:p w14:paraId="46A6E525" w14:textId="77777777" w:rsidR="001E16DE" w:rsidRPr="00282E99" w:rsidRDefault="001E16DE">
            <w:pPr>
              <w:pStyle w:val="a3"/>
              <w:rPr>
                <w:rFonts w:cs="FrankRuehl"/>
                <w:sz w:val="28"/>
                <w:szCs w:val="28"/>
                <w:rtl/>
              </w:rPr>
            </w:pPr>
          </w:p>
        </w:tc>
        <w:tc>
          <w:tcPr>
            <w:tcW w:w="3667" w:type="dxa"/>
          </w:tcPr>
          <w:p w14:paraId="0BB1A87E" w14:textId="77777777" w:rsidR="001E16DE" w:rsidRPr="00282E99" w:rsidRDefault="001E16DE">
            <w:pPr>
              <w:pStyle w:val="a3"/>
              <w:jc w:val="right"/>
              <w:rPr>
                <w:rFonts w:cs="FrankRuehl"/>
                <w:sz w:val="28"/>
                <w:szCs w:val="28"/>
                <w:rtl/>
              </w:rPr>
            </w:pPr>
          </w:p>
        </w:tc>
      </w:tr>
    </w:tbl>
    <w:p w14:paraId="54C536D6" w14:textId="77777777" w:rsidR="001E16DE" w:rsidRPr="00282E99" w:rsidRDefault="00282E99">
      <w:pPr>
        <w:pStyle w:val="a3"/>
        <w:rPr>
          <w:rtl/>
        </w:rPr>
      </w:pPr>
      <w:r w:rsidRPr="00282E99">
        <w:rPr>
          <w:rFonts w:hint="cs"/>
          <w:rtl/>
        </w:rPr>
        <w:t xml:space="preserve"> </w:t>
      </w:r>
    </w:p>
    <w:p w14:paraId="2CD58C48" w14:textId="77777777" w:rsidR="001E16DE" w:rsidRPr="00282E99" w:rsidRDefault="001E16DE">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E16DE" w:rsidRPr="00282E99" w14:paraId="08C2DDA1" w14:textId="77777777">
        <w:trPr>
          <w:trHeight w:val="295"/>
          <w:jc w:val="center"/>
        </w:trPr>
        <w:tc>
          <w:tcPr>
            <w:tcW w:w="923" w:type="dxa"/>
            <w:tcBorders>
              <w:top w:val="nil"/>
              <w:left w:val="nil"/>
              <w:bottom w:val="nil"/>
              <w:right w:val="nil"/>
            </w:tcBorders>
          </w:tcPr>
          <w:p w14:paraId="17736626" w14:textId="77777777" w:rsidR="001E16DE" w:rsidRPr="00282E99" w:rsidRDefault="00282E99">
            <w:pPr>
              <w:spacing w:line="360" w:lineRule="auto"/>
              <w:jc w:val="both"/>
              <w:rPr>
                <w:rFonts w:ascii="Arial" w:hAnsi="Arial"/>
                <w:b/>
                <w:bCs/>
                <w:sz w:val="28"/>
                <w:szCs w:val="28"/>
              </w:rPr>
            </w:pPr>
            <w:bookmarkStart w:id="1" w:name="_GoBack"/>
            <w:bookmarkEnd w:id="1"/>
            <w:r w:rsidRPr="00282E99">
              <w:rPr>
                <w:rFonts w:ascii="Arial" w:hAnsi="Arial" w:hint="cs"/>
                <w:b/>
                <w:bCs/>
                <w:sz w:val="28"/>
                <w:szCs w:val="28"/>
                <w:rtl/>
              </w:rPr>
              <w:t>ב</w:t>
            </w:r>
            <w:r w:rsidRPr="00282E99">
              <w:rPr>
                <w:rFonts w:ascii="Arial" w:hAnsi="Arial"/>
                <w:b/>
                <w:bCs/>
                <w:sz w:val="28"/>
                <w:szCs w:val="28"/>
                <w:rtl/>
              </w:rPr>
              <w:t>פני</w:t>
            </w:r>
          </w:p>
        </w:tc>
        <w:tc>
          <w:tcPr>
            <w:tcW w:w="7897" w:type="dxa"/>
            <w:gridSpan w:val="2"/>
            <w:tcBorders>
              <w:top w:val="nil"/>
              <w:left w:val="nil"/>
              <w:bottom w:val="nil"/>
              <w:right w:val="nil"/>
            </w:tcBorders>
          </w:tcPr>
          <w:p w14:paraId="412277ED" w14:textId="77777777" w:rsidR="001E16DE" w:rsidRPr="00282E99" w:rsidRDefault="00282E99">
            <w:pPr>
              <w:spacing w:line="360" w:lineRule="auto"/>
              <w:rPr>
                <w:rFonts w:ascii="Arial" w:hAnsi="Arial"/>
                <w:b/>
                <w:bCs/>
                <w:sz w:val="28"/>
                <w:szCs w:val="28"/>
                <w:rtl/>
              </w:rPr>
            </w:pPr>
            <w:r w:rsidRPr="00282E99">
              <w:rPr>
                <w:rFonts w:ascii="Arial" w:hAnsi="Arial" w:hint="cs"/>
                <w:b/>
                <w:bCs/>
                <w:sz w:val="28"/>
                <w:szCs w:val="28"/>
                <w:rtl/>
              </w:rPr>
              <w:t>כב' ה</w:t>
            </w:r>
            <w:r w:rsidRPr="00282E99">
              <w:rPr>
                <w:rFonts w:hint="cs"/>
                <w:b/>
                <w:bCs/>
                <w:sz w:val="28"/>
                <w:szCs w:val="28"/>
                <w:rtl/>
              </w:rPr>
              <w:t>שופט</w:t>
            </w:r>
            <w:r w:rsidRPr="00282E99">
              <w:rPr>
                <w:rFonts w:ascii="Arial" w:hAnsi="Arial" w:hint="cs"/>
                <w:b/>
                <w:bCs/>
                <w:sz w:val="28"/>
                <w:szCs w:val="28"/>
                <w:rtl/>
              </w:rPr>
              <w:t xml:space="preserve"> </w:t>
            </w:r>
            <w:r w:rsidRPr="00282E99">
              <w:rPr>
                <w:rFonts w:hint="cs"/>
                <w:b/>
                <w:bCs/>
                <w:sz w:val="28"/>
                <w:szCs w:val="28"/>
                <w:rtl/>
              </w:rPr>
              <w:t>אביב שרון</w:t>
            </w:r>
          </w:p>
          <w:p w14:paraId="625F9ACF" w14:textId="77777777" w:rsidR="001E16DE" w:rsidRPr="00282E99" w:rsidRDefault="001E16DE">
            <w:pPr>
              <w:spacing w:line="360" w:lineRule="auto"/>
              <w:jc w:val="both"/>
              <w:rPr>
                <w:rFonts w:ascii="Arial" w:hAnsi="Arial"/>
                <w:b/>
                <w:bCs/>
                <w:sz w:val="28"/>
                <w:szCs w:val="28"/>
              </w:rPr>
            </w:pPr>
          </w:p>
        </w:tc>
      </w:tr>
      <w:tr w:rsidR="001E16DE" w:rsidRPr="00282E99" w14:paraId="194953DB" w14:textId="77777777">
        <w:trPr>
          <w:trHeight w:val="355"/>
          <w:jc w:val="center"/>
        </w:trPr>
        <w:tc>
          <w:tcPr>
            <w:tcW w:w="923" w:type="dxa"/>
            <w:tcBorders>
              <w:top w:val="nil"/>
              <w:left w:val="nil"/>
              <w:bottom w:val="nil"/>
              <w:right w:val="nil"/>
            </w:tcBorders>
          </w:tcPr>
          <w:p w14:paraId="36BD2894" w14:textId="77777777" w:rsidR="001E16DE" w:rsidRPr="00282E99" w:rsidRDefault="00282E99">
            <w:pPr>
              <w:spacing w:line="360" w:lineRule="auto"/>
              <w:jc w:val="both"/>
              <w:rPr>
                <w:rFonts w:ascii="Arial" w:hAnsi="Arial"/>
                <w:b/>
                <w:bCs/>
              </w:rPr>
            </w:pPr>
            <w:bookmarkStart w:id="2" w:name="FirstAppellant"/>
            <w:r w:rsidRPr="00282E99">
              <w:rPr>
                <w:rFonts w:ascii="Arial" w:hAnsi="Arial" w:hint="cs"/>
                <w:b/>
                <w:bCs/>
                <w:rtl/>
              </w:rPr>
              <w:t>בעניין:</w:t>
            </w:r>
          </w:p>
        </w:tc>
        <w:tc>
          <w:tcPr>
            <w:tcW w:w="4126" w:type="dxa"/>
            <w:tcBorders>
              <w:top w:val="nil"/>
              <w:left w:val="nil"/>
              <w:bottom w:val="nil"/>
              <w:right w:val="nil"/>
            </w:tcBorders>
          </w:tcPr>
          <w:p w14:paraId="11CA8D5C" w14:textId="77777777" w:rsidR="001E16DE" w:rsidRPr="00282E99" w:rsidRDefault="00282E99">
            <w:pPr>
              <w:spacing w:line="360" w:lineRule="auto"/>
              <w:rPr>
                <w:b/>
                <w:bCs/>
              </w:rPr>
            </w:pPr>
            <w:r w:rsidRPr="00282E99">
              <w:rPr>
                <w:rFonts w:hint="cs"/>
                <w:b/>
                <w:bCs/>
                <w:rtl/>
              </w:rPr>
              <w:t>מדינת ישראל – שלוחת תביעות כפר-סבא</w:t>
            </w:r>
          </w:p>
        </w:tc>
        <w:tc>
          <w:tcPr>
            <w:tcW w:w="3771" w:type="dxa"/>
            <w:tcBorders>
              <w:top w:val="nil"/>
              <w:left w:val="nil"/>
              <w:bottom w:val="nil"/>
              <w:right w:val="nil"/>
            </w:tcBorders>
          </w:tcPr>
          <w:p w14:paraId="229DC2DD" w14:textId="77777777" w:rsidR="001E16DE" w:rsidRPr="00282E99" w:rsidRDefault="001E16DE">
            <w:pPr>
              <w:spacing w:line="360" w:lineRule="auto"/>
              <w:jc w:val="both"/>
              <w:rPr>
                <w:rFonts w:ascii="Arial" w:hAnsi="Arial"/>
              </w:rPr>
            </w:pPr>
          </w:p>
        </w:tc>
      </w:tr>
      <w:tr w:rsidR="001E16DE" w:rsidRPr="00282E99" w14:paraId="5E99EEF8" w14:textId="77777777">
        <w:trPr>
          <w:trHeight w:val="355"/>
          <w:jc w:val="center"/>
        </w:trPr>
        <w:tc>
          <w:tcPr>
            <w:tcW w:w="923" w:type="dxa"/>
            <w:tcBorders>
              <w:top w:val="nil"/>
              <w:left w:val="nil"/>
              <w:bottom w:val="nil"/>
              <w:right w:val="nil"/>
            </w:tcBorders>
          </w:tcPr>
          <w:p w14:paraId="2D22BB8C" w14:textId="77777777" w:rsidR="001E16DE" w:rsidRPr="00282E99" w:rsidRDefault="001E16DE">
            <w:pPr>
              <w:spacing w:line="360" w:lineRule="auto"/>
              <w:jc w:val="both"/>
              <w:rPr>
                <w:rFonts w:ascii="Arial" w:hAnsi="Arial"/>
                <w:rtl/>
              </w:rPr>
            </w:pPr>
            <w:bookmarkStart w:id="3" w:name="FirstLawyer"/>
            <w:bookmarkEnd w:id="2"/>
          </w:p>
        </w:tc>
        <w:tc>
          <w:tcPr>
            <w:tcW w:w="7897" w:type="dxa"/>
            <w:gridSpan w:val="2"/>
            <w:tcBorders>
              <w:top w:val="nil"/>
              <w:left w:val="nil"/>
              <w:bottom w:val="nil"/>
              <w:right w:val="nil"/>
            </w:tcBorders>
          </w:tcPr>
          <w:p w14:paraId="2881AC2C" w14:textId="77777777" w:rsidR="001E16DE" w:rsidRPr="00282E99" w:rsidRDefault="00282E99">
            <w:pPr>
              <w:spacing w:line="360" w:lineRule="auto"/>
              <w:rPr>
                <w:rFonts w:ascii="Arial" w:hAnsi="Arial"/>
                <w:rtl/>
              </w:rPr>
            </w:pPr>
            <w:r w:rsidRPr="00282E99">
              <w:rPr>
                <w:rFonts w:ascii="Arial" w:hAnsi="Arial" w:hint="cs"/>
                <w:rtl/>
              </w:rPr>
              <w:t>ע"י ב"כ עו"ד אריאל אודרברג</w:t>
            </w:r>
          </w:p>
          <w:p w14:paraId="11B6E450" w14:textId="77777777" w:rsidR="001E16DE" w:rsidRPr="00282E99" w:rsidRDefault="001E16DE">
            <w:pPr>
              <w:spacing w:line="360" w:lineRule="auto"/>
              <w:rPr>
                <w:rFonts w:ascii="Arial" w:hAnsi="Arial"/>
                <w:b/>
                <w:bCs/>
                <w:rtl/>
              </w:rPr>
            </w:pPr>
          </w:p>
          <w:p w14:paraId="306179C0" w14:textId="77777777" w:rsidR="001E16DE" w:rsidRPr="00282E99" w:rsidRDefault="00282E99">
            <w:pPr>
              <w:spacing w:line="360" w:lineRule="auto"/>
              <w:rPr>
                <w:rFonts w:ascii="Arial" w:hAnsi="Arial"/>
                <w:b/>
                <w:bCs/>
                <w:rtl/>
              </w:rPr>
            </w:pPr>
            <w:r w:rsidRPr="00282E99">
              <w:rPr>
                <w:rFonts w:ascii="Arial" w:hAnsi="Arial"/>
                <w:b/>
                <w:bCs/>
                <w:rtl/>
              </w:rPr>
              <w:t>נ</w:t>
            </w:r>
            <w:r w:rsidRPr="00282E99">
              <w:rPr>
                <w:rFonts w:ascii="Arial" w:hAnsi="Arial" w:hint="cs"/>
                <w:b/>
                <w:bCs/>
                <w:rtl/>
              </w:rPr>
              <w:t xml:space="preserve"> </w:t>
            </w:r>
            <w:r w:rsidRPr="00282E99">
              <w:rPr>
                <w:rFonts w:ascii="Arial" w:hAnsi="Arial"/>
                <w:b/>
                <w:bCs/>
                <w:rtl/>
              </w:rPr>
              <w:t>ג</w:t>
            </w:r>
            <w:r w:rsidRPr="00282E99">
              <w:rPr>
                <w:rFonts w:ascii="Arial" w:hAnsi="Arial" w:hint="cs"/>
                <w:b/>
                <w:bCs/>
                <w:rtl/>
              </w:rPr>
              <w:t xml:space="preserve"> </w:t>
            </w:r>
            <w:r w:rsidRPr="00282E99">
              <w:rPr>
                <w:rFonts w:ascii="Arial" w:hAnsi="Arial"/>
                <w:b/>
                <w:bCs/>
                <w:rtl/>
              </w:rPr>
              <w:t>ד</w:t>
            </w:r>
          </w:p>
          <w:p w14:paraId="2688866E" w14:textId="77777777" w:rsidR="001E16DE" w:rsidRPr="00282E99" w:rsidRDefault="001E16DE">
            <w:pPr>
              <w:spacing w:line="360" w:lineRule="auto"/>
              <w:jc w:val="both"/>
              <w:rPr>
                <w:rFonts w:ascii="Arial" w:hAnsi="Arial"/>
              </w:rPr>
            </w:pPr>
          </w:p>
        </w:tc>
      </w:tr>
      <w:bookmarkEnd w:id="3"/>
      <w:tr w:rsidR="001E16DE" w:rsidRPr="00282E99" w14:paraId="390F037B" w14:textId="77777777">
        <w:trPr>
          <w:trHeight w:val="355"/>
          <w:jc w:val="center"/>
        </w:trPr>
        <w:tc>
          <w:tcPr>
            <w:tcW w:w="923" w:type="dxa"/>
            <w:tcBorders>
              <w:top w:val="nil"/>
              <w:left w:val="nil"/>
              <w:bottom w:val="nil"/>
              <w:right w:val="nil"/>
            </w:tcBorders>
          </w:tcPr>
          <w:p w14:paraId="52718519" w14:textId="77777777" w:rsidR="001E16DE" w:rsidRPr="00282E99" w:rsidRDefault="001E16DE">
            <w:pPr>
              <w:spacing w:line="360" w:lineRule="auto"/>
              <w:rPr>
                <w:rFonts w:ascii="Arial" w:hAnsi="Arial"/>
                <w:rtl/>
              </w:rPr>
            </w:pPr>
          </w:p>
        </w:tc>
        <w:tc>
          <w:tcPr>
            <w:tcW w:w="4126" w:type="dxa"/>
            <w:tcBorders>
              <w:top w:val="nil"/>
              <w:left w:val="nil"/>
              <w:bottom w:val="nil"/>
              <w:right w:val="nil"/>
            </w:tcBorders>
          </w:tcPr>
          <w:p w14:paraId="680BE439" w14:textId="77777777" w:rsidR="001E16DE" w:rsidRPr="00282E99" w:rsidRDefault="00282E99">
            <w:pPr>
              <w:spacing w:line="360" w:lineRule="auto"/>
              <w:rPr>
                <w:rtl/>
              </w:rPr>
            </w:pPr>
            <w:r w:rsidRPr="00282E99">
              <w:rPr>
                <w:rFonts w:hint="cs"/>
                <w:b/>
                <w:bCs/>
                <w:rtl/>
              </w:rPr>
              <w:t>בסאם גאבר</w:t>
            </w:r>
          </w:p>
        </w:tc>
        <w:tc>
          <w:tcPr>
            <w:tcW w:w="3771" w:type="dxa"/>
            <w:tcBorders>
              <w:top w:val="nil"/>
              <w:left w:val="nil"/>
              <w:bottom w:val="nil"/>
              <w:right w:val="nil"/>
            </w:tcBorders>
          </w:tcPr>
          <w:p w14:paraId="2B3F5E3D" w14:textId="77777777" w:rsidR="001E16DE" w:rsidRPr="00282E99" w:rsidRDefault="001E16DE">
            <w:pPr>
              <w:spacing w:line="360" w:lineRule="auto"/>
              <w:jc w:val="right"/>
              <w:rPr>
                <w:rFonts w:ascii="Arial" w:hAnsi="Arial"/>
              </w:rPr>
            </w:pPr>
          </w:p>
        </w:tc>
      </w:tr>
    </w:tbl>
    <w:p w14:paraId="10055DCD" w14:textId="77777777" w:rsidR="007E41F9" w:rsidRDefault="00282E99" w:rsidP="00EF2FB3">
      <w:pPr>
        <w:spacing w:after="120" w:line="240" w:lineRule="exact"/>
        <w:ind w:left="283" w:hanging="283"/>
        <w:jc w:val="both"/>
        <w:rPr>
          <w:rtl/>
        </w:rPr>
      </w:pPr>
      <w:r w:rsidRPr="00282E99">
        <w:rPr>
          <w:rFonts w:hint="cs"/>
          <w:rtl/>
        </w:rPr>
        <w:tab/>
        <w:t xml:space="preserve">  ע"י ב"כ עו"ד שי טובי</w:t>
      </w:r>
      <w:bookmarkStart w:id="4" w:name="LawTable"/>
      <w:bookmarkEnd w:id="4"/>
    </w:p>
    <w:p w14:paraId="38EC4C54" w14:textId="77777777" w:rsidR="007E41F9" w:rsidRPr="007E41F9" w:rsidRDefault="007E41F9" w:rsidP="007E41F9">
      <w:pPr>
        <w:spacing w:after="120" w:line="240" w:lineRule="exact"/>
        <w:ind w:left="283" w:hanging="283"/>
        <w:jc w:val="both"/>
        <w:rPr>
          <w:rFonts w:ascii="FrankRuehl" w:hAnsi="FrankRuehl" w:cs="FrankRuehl"/>
          <w:rtl/>
        </w:rPr>
      </w:pPr>
    </w:p>
    <w:p w14:paraId="5C38F799" w14:textId="77777777" w:rsidR="007E41F9" w:rsidRPr="007E41F9" w:rsidRDefault="007E41F9" w:rsidP="007E41F9">
      <w:pPr>
        <w:spacing w:after="120" w:line="240" w:lineRule="exact"/>
        <w:ind w:left="283" w:hanging="283"/>
        <w:jc w:val="both"/>
        <w:rPr>
          <w:rFonts w:ascii="FrankRuehl" w:hAnsi="FrankRuehl" w:cs="FrankRuehl"/>
          <w:rtl/>
        </w:rPr>
      </w:pPr>
      <w:r w:rsidRPr="007E41F9">
        <w:rPr>
          <w:rFonts w:ascii="FrankRuehl" w:hAnsi="FrankRuehl" w:cs="FrankRuehl"/>
          <w:rtl/>
        </w:rPr>
        <w:t xml:space="preserve">חקיקה שאוזכרה: </w:t>
      </w:r>
    </w:p>
    <w:p w14:paraId="107F948F" w14:textId="77777777" w:rsidR="007E41F9" w:rsidRPr="007E41F9" w:rsidRDefault="007E41F9" w:rsidP="007E41F9">
      <w:pPr>
        <w:spacing w:after="120" w:line="240" w:lineRule="exact"/>
        <w:ind w:left="283" w:hanging="283"/>
        <w:jc w:val="both"/>
        <w:rPr>
          <w:rFonts w:ascii="FrankRuehl" w:hAnsi="FrankRuehl" w:cs="FrankRuehl"/>
          <w:color w:val="0000FF"/>
          <w:u w:val="single"/>
          <w:rtl/>
        </w:rPr>
      </w:pPr>
      <w:hyperlink r:id="rId6" w:history="1">
        <w:r w:rsidRPr="007E41F9">
          <w:rPr>
            <w:rStyle w:val="Hyperlink"/>
            <w:rFonts w:ascii="FrankRuehl" w:hAnsi="FrankRuehl" w:cs="FrankRuehl"/>
            <w:rtl/>
          </w:rPr>
          <w:t>פקודת הסמים המסוכנים [נוסח חדש], תשל"ג-1973</w:t>
        </w:r>
      </w:hyperlink>
      <w:r w:rsidRPr="007E41F9">
        <w:rPr>
          <w:rFonts w:ascii="FrankRuehl" w:hAnsi="FrankRuehl" w:cs="FrankRuehl"/>
          <w:color w:val="0000FF"/>
          <w:u w:val="single"/>
          <w:rtl/>
        </w:rPr>
        <w:t xml:space="preserve">: סע'  </w:t>
      </w:r>
      <w:hyperlink r:id="rId7" w:history="1">
        <w:r w:rsidRPr="007E41F9">
          <w:rPr>
            <w:rStyle w:val="Hyperlink"/>
            <w:rFonts w:ascii="FrankRuehl" w:hAnsi="FrankRuehl" w:cs="FrankRuehl"/>
          </w:rPr>
          <w:t>14</w:t>
        </w:r>
      </w:hyperlink>
      <w:r w:rsidRPr="007E41F9">
        <w:rPr>
          <w:rFonts w:ascii="FrankRuehl" w:hAnsi="FrankRuehl" w:cs="FrankRuehl"/>
          <w:color w:val="0000FF"/>
          <w:u w:val="single"/>
          <w:rtl/>
        </w:rPr>
        <w:t xml:space="preserve">, </w:t>
      </w:r>
      <w:hyperlink r:id="rId8" w:history="1">
        <w:r w:rsidRPr="007E41F9">
          <w:rPr>
            <w:rStyle w:val="Hyperlink"/>
            <w:rFonts w:ascii="FrankRuehl" w:hAnsi="FrankRuehl" w:cs="FrankRuehl"/>
          </w:rPr>
          <w:t>19</w:t>
        </w:r>
        <w:r w:rsidRPr="007E41F9">
          <w:rPr>
            <w:rStyle w:val="Hyperlink"/>
            <w:rFonts w:ascii="FrankRuehl" w:hAnsi="FrankRuehl" w:cs="FrankRuehl"/>
            <w:rtl/>
          </w:rPr>
          <w:t>א</w:t>
        </w:r>
        <w:r w:rsidRPr="007E41F9">
          <w:rPr>
            <w:rStyle w:val="Hyperlink"/>
            <w:rFonts w:ascii="FrankRuehl" w:hAnsi="FrankRuehl" w:cs="FrankRuehl"/>
          </w:rPr>
          <w:t>.</w:t>
        </w:r>
      </w:hyperlink>
      <w:r w:rsidRPr="007E41F9">
        <w:rPr>
          <w:rFonts w:ascii="FrankRuehl" w:hAnsi="FrankRuehl" w:cs="FrankRuehl"/>
          <w:color w:val="0000FF"/>
          <w:u w:val="single"/>
          <w:rtl/>
        </w:rPr>
        <w:t xml:space="preserve">, </w:t>
      </w:r>
      <w:hyperlink r:id="rId9" w:history="1">
        <w:r w:rsidRPr="007E41F9">
          <w:rPr>
            <w:rStyle w:val="Hyperlink"/>
            <w:rFonts w:ascii="FrankRuehl" w:hAnsi="FrankRuehl" w:cs="FrankRuehl"/>
          </w:rPr>
          <w:t>36</w:t>
        </w:r>
        <w:r w:rsidRPr="007E41F9">
          <w:rPr>
            <w:rStyle w:val="Hyperlink"/>
            <w:rFonts w:ascii="FrankRuehl" w:hAnsi="FrankRuehl" w:cs="FrankRuehl"/>
            <w:rtl/>
          </w:rPr>
          <w:t>א(ב</w:t>
        </w:r>
        <w:r w:rsidRPr="007E41F9">
          <w:rPr>
            <w:rStyle w:val="Hyperlink"/>
            <w:rFonts w:ascii="FrankRuehl" w:hAnsi="FrankRuehl" w:cs="FrankRuehl"/>
          </w:rPr>
          <w:t>)</w:t>
        </w:r>
      </w:hyperlink>
    </w:p>
    <w:p w14:paraId="0972DB9D" w14:textId="77777777" w:rsidR="007E41F9" w:rsidRPr="007E41F9" w:rsidRDefault="007E41F9" w:rsidP="007E41F9">
      <w:pPr>
        <w:spacing w:after="120" w:line="240" w:lineRule="exact"/>
        <w:ind w:left="283" w:hanging="283"/>
        <w:jc w:val="both"/>
        <w:rPr>
          <w:rFonts w:ascii="FrankRuehl" w:hAnsi="FrankRuehl" w:cs="FrankRuehl"/>
          <w:rtl/>
        </w:rPr>
      </w:pPr>
    </w:p>
    <w:p w14:paraId="165FC937" w14:textId="77777777" w:rsidR="007E41F9" w:rsidRPr="007E41F9" w:rsidRDefault="007E41F9" w:rsidP="00EF2FB3">
      <w:pPr>
        <w:spacing w:after="120" w:line="240" w:lineRule="exact"/>
        <w:ind w:left="283" w:hanging="283"/>
        <w:jc w:val="both"/>
        <w:rPr>
          <w:rtl/>
        </w:rPr>
      </w:pPr>
      <w:bookmarkStart w:id="5" w:name="LawTable_End"/>
      <w:bookmarkEnd w:id="5"/>
    </w:p>
    <w:p w14:paraId="73B6F8C7" w14:textId="77777777" w:rsidR="007E41F9" w:rsidRPr="007E41F9" w:rsidRDefault="007E41F9" w:rsidP="00EF2FB3">
      <w:pPr>
        <w:spacing w:after="120" w:line="240" w:lineRule="exact"/>
        <w:ind w:left="283" w:hanging="283"/>
        <w:jc w:val="both"/>
        <w:rPr>
          <w:rtl/>
        </w:rPr>
      </w:pPr>
    </w:p>
    <w:p w14:paraId="4D72D42B" w14:textId="77777777" w:rsidR="00EF2FB3" w:rsidRPr="00EF2FB3" w:rsidRDefault="00282E99" w:rsidP="00EF2FB3">
      <w:pPr>
        <w:spacing w:after="120" w:line="240" w:lineRule="exact"/>
        <w:ind w:left="283" w:hanging="283"/>
        <w:jc w:val="both"/>
        <w:rPr>
          <w:rFonts w:ascii="FrankRuehl" w:hAnsi="FrankRuehl" w:cs="FrankRuehl"/>
          <w:rtl/>
        </w:rPr>
      </w:pPr>
      <w:r w:rsidRPr="007E41F9">
        <w:rPr>
          <w:rFonts w:hint="cs"/>
          <w:rtl/>
        </w:rPr>
        <w:t>ם</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E16DE" w14:paraId="0DFB0A0C" w14:textId="77777777">
        <w:trPr>
          <w:trHeight w:val="355"/>
          <w:jc w:val="center"/>
        </w:trPr>
        <w:tc>
          <w:tcPr>
            <w:tcW w:w="8820" w:type="dxa"/>
            <w:tcBorders>
              <w:top w:val="nil"/>
              <w:left w:val="nil"/>
              <w:bottom w:val="nil"/>
              <w:right w:val="nil"/>
            </w:tcBorders>
          </w:tcPr>
          <w:p w14:paraId="4942426C" w14:textId="77777777" w:rsidR="001E16DE" w:rsidRPr="00282E99" w:rsidRDefault="00282E99" w:rsidP="00282E99">
            <w:pPr>
              <w:spacing w:line="360" w:lineRule="auto"/>
              <w:jc w:val="center"/>
              <w:rPr>
                <w:rFonts w:ascii="Arial" w:hAnsi="Arial"/>
                <w:bCs/>
                <w:sz w:val="28"/>
                <w:szCs w:val="28"/>
                <w:u w:val="single"/>
                <w:rtl/>
              </w:rPr>
            </w:pPr>
            <w:bookmarkStart w:id="6" w:name="PsakDin" w:colFirst="0" w:colLast="0"/>
            <w:bookmarkEnd w:id="0"/>
            <w:r w:rsidRPr="00282E99">
              <w:rPr>
                <w:rFonts w:ascii="Arial" w:hAnsi="Arial"/>
                <w:b/>
                <w:bCs/>
                <w:sz w:val="28"/>
                <w:szCs w:val="28"/>
                <w:u w:val="single"/>
                <w:rtl/>
              </w:rPr>
              <w:t>גזר דין</w:t>
            </w:r>
          </w:p>
        </w:tc>
      </w:tr>
      <w:bookmarkEnd w:id="6"/>
    </w:tbl>
    <w:p w14:paraId="72BD158B" w14:textId="77777777" w:rsidR="001E16DE" w:rsidRDefault="001E16DE">
      <w:pPr>
        <w:spacing w:line="360" w:lineRule="auto"/>
        <w:rPr>
          <w:rFonts w:ascii="Arial" w:hAnsi="Arial"/>
          <w:rtl/>
        </w:rPr>
      </w:pPr>
    </w:p>
    <w:p w14:paraId="5AF0759F" w14:textId="77777777" w:rsidR="001E16DE" w:rsidRDefault="00282E99">
      <w:pPr>
        <w:spacing w:line="360" w:lineRule="auto"/>
        <w:jc w:val="both"/>
        <w:rPr>
          <w:rFonts w:ascii="David" w:hAnsi="David"/>
          <w:b/>
          <w:bCs/>
          <w:u w:val="single"/>
          <w:rtl/>
        </w:rPr>
      </w:pPr>
      <w:r>
        <w:rPr>
          <w:rFonts w:ascii="David" w:hAnsi="David" w:hint="cs"/>
          <w:b/>
          <w:bCs/>
          <w:u w:val="single"/>
          <w:rtl/>
        </w:rPr>
        <w:t>כתב האישום והכרעת הדין</w:t>
      </w:r>
    </w:p>
    <w:p w14:paraId="55DD45FA" w14:textId="77777777" w:rsidR="001E16DE" w:rsidRDefault="00282E99">
      <w:pPr>
        <w:spacing w:line="360" w:lineRule="auto"/>
        <w:jc w:val="both"/>
        <w:rPr>
          <w:rFonts w:ascii="David" w:hAnsi="David"/>
          <w:rtl/>
        </w:rPr>
      </w:pPr>
      <w:r>
        <w:rPr>
          <w:rFonts w:ascii="David" w:hAnsi="David" w:hint="cs"/>
          <w:rtl/>
        </w:rPr>
        <w:t>1.</w:t>
      </w:r>
      <w:r>
        <w:rPr>
          <w:rFonts w:ascii="David" w:hAnsi="David" w:hint="cs"/>
          <w:rtl/>
        </w:rPr>
        <w:tab/>
      </w:r>
      <w:bookmarkStart w:id="7" w:name="ABSTRACT_START"/>
      <w:bookmarkEnd w:id="7"/>
      <w:r>
        <w:rPr>
          <w:rFonts w:ascii="David" w:hAnsi="David" w:hint="cs"/>
          <w:rtl/>
        </w:rPr>
        <w:t xml:space="preserve">הנאשם, יליד 1965, הורשע לאחר שמיעת הראיות בעבירה של תיווך לסחר בסם מסוכן, בניגוד </w:t>
      </w:r>
      <w:hyperlink r:id="rId10" w:history="1">
        <w:r w:rsidR="00EF2FB3" w:rsidRPr="00EF2FB3">
          <w:rPr>
            <w:rFonts w:ascii="David" w:hAnsi="David"/>
            <w:color w:val="0000FF"/>
            <w:u w:val="single"/>
            <w:rtl/>
          </w:rPr>
          <w:t>לסעיפים 14</w:t>
        </w:r>
      </w:hyperlink>
      <w:r>
        <w:rPr>
          <w:rFonts w:ascii="David" w:hAnsi="David" w:hint="cs"/>
          <w:rtl/>
        </w:rPr>
        <w:t xml:space="preserve"> + </w:t>
      </w:r>
      <w:hyperlink r:id="rId11" w:history="1">
        <w:r w:rsidR="00EF2FB3" w:rsidRPr="00EF2FB3">
          <w:rPr>
            <w:rFonts w:ascii="David" w:hAnsi="David"/>
            <w:color w:val="0000FF"/>
            <w:u w:val="single"/>
            <w:rtl/>
          </w:rPr>
          <w:t>19א.</w:t>
        </w:r>
      </w:hyperlink>
      <w:r>
        <w:rPr>
          <w:rFonts w:ascii="David" w:hAnsi="David" w:hint="cs"/>
          <w:rtl/>
        </w:rPr>
        <w:t xml:space="preserve"> ל</w:t>
      </w:r>
      <w:hyperlink r:id="rId12" w:history="1">
        <w:r w:rsidRPr="00282E99">
          <w:rPr>
            <w:rFonts w:ascii="David" w:hAnsi="David"/>
            <w:color w:val="0000FF"/>
            <w:u w:val="single"/>
            <w:rtl/>
          </w:rPr>
          <w:t>פקודת הסמים המסוכנים</w:t>
        </w:r>
      </w:hyperlink>
      <w:r>
        <w:rPr>
          <w:rFonts w:ascii="David" w:hAnsi="David" w:hint="cs"/>
          <w:rtl/>
        </w:rPr>
        <w:t xml:space="preserve"> [נוסח חדש], תשל"ג-1973. הנאשם זוכה מעבירה של סחר בסם מסוכן בצוותא חדא, אשר יוחסה לו מלכתחילה בכתב האישום.</w:t>
      </w:r>
    </w:p>
    <w:p w14:paraId="24D27345" w14:textId="77777777" w:rsidR="001E16DE" w:rsidRDefault="001E16DE">
      <w:pPr>
        <w:spacing w:line="360" w:lineRule="auto"/>
        <w:jc w:val="both"/>
        <w:rPr>
          <w:rFonts w:ascii="David" w:hAnsi="David"/>
          <w:rtl/>
        </w:rPr>
      </w:pPr>
      <w:bookmarkStart w:id="8" w:name="ABSTRACT_END"/>
      <w:bookmarkEnd w:id="8"/>
    </w:p>
    <w:p w14:paraId="389CE3AD" w14:textId="77777777" w:rsidR="001E16DE" w:rsidRDefault="00282E99">
      <w:pPr>
        <w:spacing w:line="360" w:lineRule="auto"/>
        <w:jc w:val="both"/>
        <w:rPr>
          <w:rFonts w:ascii="David" w:hAnsi="David"/>
          <w:rtl/>
        </w:rPr>
      </w:pPr>
      <w:r>
        <w:rPr>
          <w:rFonts w:ascii="David" w:hAnsi="David" w:hint="cs"/>
          <w:rtl/>
        </w:rPr>
        <w:t>2.</w:t>
      </w:r>
      <w:r>
        <w:rPr>
          <w:rFonts w:ascii="David" w:hAnsi="David" w:hint="cs"/>
          <w:rtl/>
        </w:rPr>
        <w:tab/>
        <w:t xml:space="preserve">על פי הכרעת הדין, ביום 16.2.14 סמוך לשעה 23:20, הגיע אדהם סעדה, סוכן סמוי של משטרת ישראל (להלן </w:t>
      </w:r>
      <w:r>
        <w:rPr>
          <w:rFonts w:ascii="David" w:hAnsi="David"/>
          <w:rtl/>
        </w:rPr>
        <w:t>–</w:t>
      </w:r>
      <w:r>
        <w:rPr>
          <w:rFonts w:ascii="David" w:hAnsi="David" w:hint="cs"/>
          <w:rtl/>
        </w:rPr>
        <w:t xml:space="preserve"> הסוכן) למתחם השייך לנאשם בחרבת גאברה שבטייבה, ופגש במהרן מסראווה (להלן </w:t>
      </w:r>
      <w:r>
        <w:rPr>
          <w:rFonts w:ascii="David" w:hAnsi="David"/>
          <w:rtl/>
        </w:rPr>
        <w:t>–</w:t>
      </w:r>
      <w:r>
        <w:rPr>
          <w:rFonts w:ascii="David" w:hAnsi="David" w:hint="cs"/>
          <w:rtl/>
        </w:rPr>
        <w:t xml:space="preserve"> מהרן), ממנו רכש סם מסוכן מסוג חשיש בהזדמנות קודמת. הסוכן שאל את מהרן אם הנאשם נמצא וזה השיב לו בחיוב. הסוכן אמר למהרן כי הוא מעונין לקנות מהנאשם "פלאטת חשיש". מהרן אמר לסוכן שיקרא לנאשם ונכנס לחדר. כעבור זמן מה, יצא הנאשם מהחדר לקראת הסוכן ושאל מה הוא צריך. הסוכן ביקש מהנאשם "פלאטת חשיש במחיר טוב". הנאשם אמר לו "אל תדאג אני אעשה לך מחיר טוב". בשלב זה, ביקש הסוכן לרכוש סם מסוג חשיש תמורת </w:t>
      </w:r>
      <w:r>
        <w:rPr>
          <w:rFonts w:ascii="David" w:hAnsi="David" w:hint="cs"/>
          <w:rtl/>
        </w:rPr>
        <w:lastRenderedPageBreak/>
        <w:t xml:space="preserve">300 ₪. הנאשם אמר "בסדר" ונכנס לחדר. בחדר שהה מהרן והשניים שוחחו. כעבור זמן מה, יצא מהרן לסוכן אשר ביקש ממנו סם מסוגן מסוג חשיש תמורת 100 ₪ וזה סיפק לו את כמות הסם המבוקשת (3.08 גרם נטו) ואף הוסיף עליה כמות קטנה לבקשת הסוכן </w:t>
      </w:r>
      <w:r>
        <w:rPr>
          <w:rFonts w:ascii="David" w:hAnsi="David"/>
          <w:rtl/>
        </w:rPr>
        <w:t>–</w:t>
      </w:r>
      <w:r>
        <w:rPr>
          <w:rFonts w:ascii="David" w:hAnsi="David" w:hint="cs"/>
          <w:rtl/>
        </w:rPr>
        <w:t xml:space="preserve"> ראה סעיף 28 להכרעת הדין.</w:t>
      </w:r>
    </w:p>
    <w:p w14:paraId="75D733DE" w14:textId="77777777" w:rsidR="001E16DE" w:rsidRDefault="001E16DE">
      <w:pPr>
        <w:spacing w:line="360" w:lineRule="auto"/>
        <w:jc w:val="both"/>
        <w:rPr>
          <w:rFonts w:ascii="David" w:hAnsi="David"/>
          <w:rtl/>
        </w:rPr>
      </w:pPr>
    </w:p>
    <w:p w14:paraId="5BEDCB8D" w14:textId="77777777" w:rsidR="001E16DE" w:rsidRDefault="00282E99">
      <w:pPr>
        <w:spacing w:line="360" w:lineRule="auto"/>
        <w:jc w:val="both"/>
        <w:rPr>
          <w:rFonts w:ascii="David" w:hAnsi="David"/>
          <w:rtl/>
        </w:rPr>
      </w:pPr>
      <w:r>
        <w:rPr>
          <w:rFonts w:ascii="David" w:hAnsi="David" w:hint="cs"/>
          <w:rtl/>
        </w:rPr>
        <w:t>3.</w:t>
      </w:r>
      <w:r>
        <w:rPr>
          <w:rFonts w:ascii="David" w:hAnsi="David" w:hint="cs"/>
          <w:rtl/>
        </w:rPr>
        <w:tab/>
        <w:t xml:space="preserve">היות והנאשם זוכה מעבירה של סחר בסם מסוכן בצוותא חדא והורשע בעבירה של תיווך לסחר בסם מסוכן, ומאחר ונקבע בהכרעת הדין כי לא הוכח בפניי במידת הוודאות הנדרשת כי הנאשם הפיק רווח כתוצאה מהעבירה שביצע, או שהיה אמור להפיק רווח מביצוע העבירה, נדחתה בקשת המאשימה להכריז על הנאשם כ"סוחר סמים" בהתאם </w:t>
      </w:r>
      <w:hyperlink r:id="rId13" w:history="1">
        <w:r w:rsidR="00EF2FB3" w:rsidRPr="00EF2FB3">
          <w:rPr>
            <w:rFonts w:ascii="David" w:hAnsi="David"/>
            <w:color w:val="0000FF"/>
            <w:u w:val="single"/>
            <w:rtl/>
          </w:rPr>
          <w:t>לסעיף 36א(ב)</w:t>
        </w:r>
      </w:hyperlink>
      <w:r>
        <w:rPr>
          <w:rFonts w:ascii="David" w:hAnsi="David" w:hint="cs"/>
          <w:rtl/>
        </w:rPr>
        <w:t xml:space="preserve"> ל</w:t>
      </w:r>
      <w:hyperlink r:id="rId14" w:history="1">
        <w:r w:rsidRPr="00282E99">
          <w:rPr>
            <w:rFonts w:ascii="David" w:hAnsi="David"/>
            <w:color w:val="0000FF"/>
            <w:u w:val="single"/>
            <w:rtl/>
          </w:rPr>
          <w:t>פקודת הסמים המסוכנים</w:t>
        </w:r>
      </w:hyperlink>
      <w:r>
        <w:rPr>
          <w:rFonts w:ascii="David" w:hAnsi="David" w:hint="cs"/>
          <w:rtl/>
        </w:rPr>
        <w:t>.</w:t>
      </w:r>
    </w:p>
    <w:p w14:paraId="4CA6BC75" w14:textId="77777777" w:rsidR="001E16DE" w:rsidRDefault="001E16DE">
      <w:pPr>
        <w:spacing w:line="360" w:lineRule="auto"/>
        <w:jc w:val="both"/>
        <w:rPr>
          <w:rFonts w:ascii="David" w:hAnsi="David"/>
          <w:rtl/>
        </w:rPr>
      </w:pPr>
    </w:p>
    <w:p w14:paraId="3398C559" w14:textId="77777777" w:rsidR="001E16DE" w:rsidRDefault="00282E99">
      <w:pPr>
        <w:spacing w:line="360" w:lineRule="auto"/>
        <w:jc w:val="both"/>
        <w:rPr>
          <w:rFonts w:ascii="David" w:hAnsi="David"/>
          <w:b/>
          <w:bCs/>
          <w:u w:val="single"/>
          <w:rtl/>
        </w:rPr>
      </w:pPr>
      <w:r>
        <w:rPr>
          <w:rFonts w:ascii="David" w:hAnsi="David" w:hint="cs"/>
          <w:b/>
          <w:bCs/>
          <w:u w:val="single"/>
          <w:rtl/>
        </w:rPr>
        <w:t>טיעוני הצדדים</w:t>
      </w:r>
    </w:p>
    <w:p w14:paraId="06D7AFF1" w14:textId="77777777" w:rsidR="001E16DE" w:rsidRDefault="00282E99">
      <w:pPr>
        <w:spacing w:line="360" w:lineRule="auto"/>
        <w:jc w:val="both"/>
        <w:rPr>
          <w:rFonts w:ascii="David" w:hAnsi="David"/>
          <w:rtl/>
        </w:rPr>
      </w:pPr>
      <w:r>
        <w:rPr>
          <w:rFonts w:ascii="David" w:hAnsi="David" w:hint="cs"/>
          <w:rtl/>
        </w:rPr>
        <w:t>4.</w:t>
      </w:r>
      <w:r>
        <w:rPr>
          <w:rFonts w:ascii="David" w:hAnsi="David" w:hint="cs"/>
          <w:rtl/>
        </w:rPr>
        <w:tab/>
        <w:t>ב"כ המאשימה עמד על הערך החברתי המוגן בעבירה של תיווך לסחר בסם מסוכן, בהדגישו את הפגיעה הרעה של הסמים והתמריץ שיש לעבריינים לעסוק בסמים בשל הרווח הקל מביצוע העבירות. עוד הדגיש כי צרכני הסמים מבצעים, בין היתר, עבירות רכוש על מנת לממן את הסמים הנרכשים על ידם מסוחרי הסמים ובכך יש פגיעה משנית באזרחי המדינה. לדבריו, אף שנקבע בהכרעת הדין כי הנאשם הוא "מתווך", עדיין יש לראות בו חוליה בשרשרת הפצת הסם ואין נפקא מינה אם כרוכה בה טובת הנאה אם לאו (סעיף 24 להכרעת הדין). ב"כ המאשימה הפנה לפסיקה בה נקבע כי יש להטיל עונשי מאסר בפועל על סוחרי סמים ועל מפיצי סמים. הוא טען כי העונש הקבוע לעבירת התיווך זהה לעונש הקבוע לעבירת הסחר ועומד על 20 שנות מאסר. מתחם העונש ההולם בענייננו, כך טען, הוא בין 6 ל-12 חודשי מאסר בפועל.</w:t>
      </w:r>
    </w:p>
    <w:p w14:paraId="1B856467" w14:textId="77777777" w:rsidR="001E16DE" w:rsidRDefault="00282E99">
      <w:pPr>
        <w:spacing w:line="360" w:lineRule="auto"/>
        <w:jc w:val="both"/>
        <w:rPr>
          <w:rFonts w:ascii="David" w:hAnsi="David"/>
          <w:rtl/>
        </w:rPr>
      </w:pPr>
      <w:r>
        <w:rPr>
          <w:rFonts w:ascii="David" w:hAnsi="David" w:hint="cs"/>
          <w:rtl/>
        </w:rPr>
        <w:t>התובע הפנה לעברו הפלילי של הנאשם, הכולל 13 הרשעות קודמות, חלקן מתחום הסמים, בגינן ריצה, בין היתר, עונשי מאסר בני 20 ו-12 חודשים. עוד הפנה לעובדה כי הנאשם ניהל הוכחות, לא הודה בביצוע העבירה ולא נטל אחריות ועל כן, איננו זכאי להקלה בעונש.</w:t>
      </w:r>
    </w:p>
    <w:p w14:paraId="67699191" w14:textId="77777777" w:rsidR="001E16DE" w:rsidRDefault="00282E99">
      <w:pPr>
        <w:spacing w:line="360" w:lineRule="auto"/>
        <w:jc w:val="both"/>
        <w:rPr>
          <w:rFonts w:ascii="David" w:hAnsi="David"/>
          <w:rtl/>
        </w:rPr>
      </w:pPr>
      <w:r>
        <w:rPr>
          <w:rFonts w:ascii="David" w:hAnsi="David" w:hint="cs"/>
          <w:rtl/>
        </w:rPr>
        <w:t>לאור האמור לעיל, עתרה התביעה להטלת עונש שיהא "במרכז המתחם", לצד מאסר על תנאי וקנס כספי. כן ביקשה התביעה כי בית המשפט יורה על עיכוב החזרת התפוסים לנאשם (הכסף המזומן) לצורך שקילת הגשת ערעור על הכרעת הדין.</w:t>
      </w:r>
    </w:p>
    <w:p w14:paraId="580252D2" w14:textId="77777777" w:rsidR="001E16DE" w:rsidRDefault="001E16DE">
      <w:pPr>
        <w:spacing w:line="360" w:lineRule="auto"/>
        <w:jc w:val="both"/>
        <w:rPr>
          <w:rFonts w:ascii="David" w:hAnsi="David"/>
          <w:rtl/>
        </w:rPr>
      </w:pPr>
    </w:p>
    <w:p w14:paraId="6C3038C0" w14:textId="77777777" w:rsidR="001E16DE" w:rsidRDefault="00282E99">
      <w:pPr>
        <w:spacing w:line="360" w:lineRule="auto"/>
        <w:jc w:val="both"/>
        <w:rPr>
          <w:rFonts w:ascii="David" w:hAnsi="David"/>
          <w:rtl/>
        </w:rPr>
      </w:pPr>
      <w:r>
        <w:rPr>
          <w:rFonts w:ascii="David" w:hAnsi="David" w:hint="cs"/>
          <w:rtl/>
        </w:rPr>
        <w:t>5.</w:t>
      </w:r>
      <w:r>
        <w:rPr>
          <w:rFonts w:ascii="David" w:hAnsi="David" w:hint="cs"/>
          <w:rtl/>
        </w:rPr>
        <w:tab/>
        <w:t>ב"כ הנאשם הפנה לעובדה כי, למיטב ידיעתו, על אחיו של הנאשם, חסן, אשר הורשע על פי הודאתו ובמסגרת הסדר טיעון בשתי עיסקאות סחר בכמויות גדולות יותר, הושתו 7 חודשי מאסר ועל מהרן, אשר היה תלוי ועומד נגדו עונש מאסר על תנאי בן 12 חודשים, הושתו 22 חודשי מאסר (לא הוגשו לעיוני גזרי הדין האמורים).</w:t>
      </w:r>
    </w:p>
    <w:p w14:paraId="10FDFE43" w14:textId="77777777" w:rsidR="001E16DE" w:rsidRDefault="00282E99">
      <w:pPr>
        <w:spacing w:line="360" w:lineRule="auto"/>
        <w:jc w:val="both"/>
        <w:rPr>
          <w:rFonts w:ascii="David" w:hAnsi="David"/>
          <w:rtl/>
        </w:rPr>
      </w:pPr>
      <w:r>
        <w:rPr>
          <w:rFonts w:ascii="David" w:hAnsi="David" w:hint="cs"/>
          <w:rtl/>
        </w:rPr>
        <w:t xml:space="preserve">ב"כ הנאשם הפנה לעובדה כי הנאשם היה נתון במעצר בגין תיק זה לתקופה של כ-3 חודשים </w:t>
      </w:r>
      <w:r>
        <w:rPr>
          <w:rFonts w:ascii="David" w:hAnsi="David"/>
          <w:rtl/>
        </w:rPr>
        <w:t>–</w:t>
      </w:r>
      <w:r>
        <w:rPr>
          <w:rFonts w:ascii="David" w:hAnsi="David" w:hint="cs"/>
          <w:rtl/>
        </w:rPr>
        <w:t xml:space="preserve"> מיום 15.3.14 ועד יום 10.6.14 </w:t>
      </w:r>
      <w:r>
        <w:rPr>
          <w:rFonts w:ascii="David" w:hAnsi="David"/>
          <w:rtl/>
        </w:rPr>
        <w:t>–</w:t>
      </w:r>
      <w:r>
        <w:rPr>
          <w:rFonts w:ascii="David" w:hAnsi="David" w:hint="cs"/>
          <w:rtl/>
        </w:rPr>
        <w:t xml:space="preserve"> ומאז ועד היום נתון בתנאים מגבילים. על כן, טען הסנגור, ובהתחשב בעובדה שבסופו של יום הורשע הנאשם בעבירת תיווך ללא תמורה, על בית המשפט להסתפק </w:t>
      </w:r>
      <w:r>
        <w:rPr>
          <w:rFonts w:ascii="David" w:hAnsi="David" w:hint="cs"/>
          <w:rtl/>
        </w:rPr>
        <w:lastRenderedPageBreak/>
        <w:t>בהטלת עונש מאסר כתקופת המעצר שכבר ריצה. לדבריו, ניהול המשפט לא היה לשווא, שכן הנאשם זוכה מעבירה של סחר בסם והורשע בעבירת תיווך. הסנגור הפנה לפסיקה וטען כי מתחם העונש ההולם בענייננו הוא עונש בעבודות שרות ועד למספר חודשי מאסר בודדים, בהפנותו לכך שמדובר במדרג הנמוך של נסיבות הביצוע.</w:t>
      </w:r>
    </w:p>
    <w:p w14:paraId="7B100204" w14:textId="77777777" w:rsidR="001E16DE" w:rsidRDefault="00282E99">
      <w:pPr>
        <w:spacing w:line="360" w:lineRule="auto"/>
        <w:jc w:val="both"/>
        <w:rPr>
          <w:rFonts w:ascii="David" w:hAnsi="David"/>
          <w:rtl/>
        </w:rPr>
      </w:pPr>
      <w:r>
        <w:rPr>
          <w:rFonts w:ascii="David" w:hAnsi="David" w:hint="cs"/>
          <w:rtl/>
        </w:rPr>
        <w:t>לענין העבר הפלילי, טען הסנגור כי הרשעתו האחרונה של הנאשם היא משנת 2006 ועבירות הסמים בוצעו על ידו לפני שנים רבות. בכך אינדיקציה לעובדה כי הוא מנסה להימנע מביצוע עבירות סמים, אף שמסביבו אנשים העוסקים בכך.</w:t>
      </w:r>
    </w:p>
    <w:p w14:paraId="302A3DB4" w14:textId="77777777" w:rsidR="001E16DE" w:rsidRDefault="00282E99">
      <w:pPr>
        <w:spacing w:line="360" w:lineRule="auto"/>
        <w:jc w:val="both"/>
        <w:rPr>
          <w:rFonts w:ascii="David" w:hAnsi="David"/>
          <w:rtl/>
        </w:rPr>
      </w:pPr>
      <w:r>
        <w:rPr>
          <w:rFonts w:ascii="David" w:hAnsi="David" w:hint="cs"/>
          <w:rtl/>
        </w:rPr>
        <w:t>לסיכום, ביקש הסנגור להסתפק בתקופת המעצר אותה ריצה הנאשם, להשית קנס בן 5,000 ₪ לצד מאסר על תנאי, ולהורות על השבת הכסף המזומן שנתפס אצל הנאשם.</w:t>
      </w:r>
    </w:p>
    <w:p w14:paraId="5F8DEBBE" w14:textId="77777777" w:rsidR="001E16DE" w:rsidRDefault="00282E99">
      <w:pPr>
        <w:spacing w:line="360" w:lineRule="auto"/>
        <w:jc w:val="both"/>
        <w:rPr>
          <w:rFonts w:ascii="David" w:hAnsi="David"/>
          <w:rtl/>
        </w:rPr>
      </w:pPr>
      <w:r>
        <w:rPr>
          <w:rFonts w:ascii="David" w:hAnsi="David" w:hint="cs"/>
          <w:rtl/>
        </w:rPr>
        <w:t>הנאשם בדברו האחרון שב והכחיש ביצוע העבירה וטען שהוא "רחוק מכל הדברים האלה" (עמ' 57).</w:t>
      </w:r>
    </w:p>
    <w:p w14:paraId="6299D18E" w14:textId="77777777" w:rsidR="001E16DE" w:rsidRDefault="001E16DE">
      <w:pPr>
        <w:spacing w:line="360" w:lineRule="auto"/>
        <w:jc w:val="both"/>
        <w:rPr>
          <w:rFonts w:ascii="David" w:hAnsi="David"/>
          <w:rtl/>
        </w:rPr>
      </w:pPr>
    </w:p>
    <w:p w14:paraId="42092641" w14:textId="77777777" w:rsidR="001E16DE" w:rsidRDefault="00282E99">
      <w:pPr>
        <w:spacing w:line="360" w:lineRule="auto"/>
        <w:jc w:val="both"/>
        <w:rPr>
          <w:rFonts w:ascii="David" w:hAnsi="David"/>
          <w:b/>
          <w:bCs/>
          <w:u w:val="single"/>
          <w:rtl/>
        </w:rPr>
      </w:pPr>
      <w:r>
        <w:rPr>
          <w:rFonts w:ascii="David" w:hAnsi="David" w:hint="cs"/>
          <w:b/>
          <w:bCs/>
          <w:u w:val="single"/>
          <w:rtl/>
        </w:rPr>
        <w:t>נסיבות הקשורות בביצוע העבירה; מדיניות הפסיקה; מתחם העונש ההולם</w:t>
      </w:r>
    </w:p>
    <w:p w14:paraId="740D5424" w14:textId="77777777" w:rsidR="001E16DE" w:rsidRDefault="00282E99">
      <w:pPr>
        <w:spacing w:line="360" w:lineRule="auto"/>
        <w:jc w:val="both"/>
        <w:rPr>
          <w:rFonts w:ascii="David" w:hAnsi="David"/>
          <w:rtl/>
        </w:rPr>
      </w:pPr>
      <w:r>
        <w:rPr>
          <w:rFonts w:ascii="David" w:hAnsi="David" w:hint="cs"/>
          <w:rtl/>
        </w:rPr>
        <w:t>6.</w:t>
      </w:r>
      <w:r>
        <w:rPr>
          <w:rFonts w:ascii="David" w:hAnsi="David" w:hint="cs"/>
          <w:rtl/>
        </w:rPr>
        <w:tab/>
        <w:t>ראיתי לפתוח את הדיון בפרק זה בגזר דין אליו היפנה ב"כ הנאשם, דווקא, בטיעוניו לעונש (</w:t>
      </w:r>
      <w:hyperlink r:id="rId15" w:history="1">
        <w:r w:rsidRPr="00282E99">
          <w:rPr>
            <w:rFonts w:ascii="David" w:hAnsi="David"/>
            <w:color w:val="0000FF"/>
            <w:u w:val="single"/>
            <w:rtl/>
          </w:rPr>
          <w:t>ת.פ. (ב"ש) 10078-11-13</w:t>
        </w:r>
      </w:hyperlink>
      <w:r>
        <w:rPr>
          <w:rFonts w:ascii="David" w:hAnsi="David" w:hint="cs"/>
          <w:rtl/>
        </w:rPr>
        <w:t xml:space="preserve">, </w:t>
      </w:r>
      <w:r>
        <w:rPr>
          <w:rFonts w:ascii="David" w:hAnsi="David" w:hint="cs"/>
          <w:b/>
          <w:bCs/>
          <w:rtl/>
        </w:rPr>
        <w:t>מדינת ישראל נ' מטרוס</w:t>
      </w:r>
      <w:r>
        <w:rPr>
          <w:rFonts w:ascii="David" w:hAnsi="David" w:hint="cs"/>
          <w:rtl/>
        </w:rPr>
        <w:t xml:space="preserve"> (ניתן על ידי כב' הש' בן טולילה ביום 16.1.14)), ממנו ביקש הסנגור לגזור גזירה שווה לענייננו. גזר הדין סוקר את מדיניות הפסיקה בעבירות הקשורות בהפצת סם מסוכן ואת מתחמי הענישה המקובלים בעבירת התיווך לסם מסוכן, כשלטענת הסנגור נסיבות הביצוע דומות לענייננו. באותו גזר דין דובר בנאשם שהורשע על פי הודאתו בעבירה של תיווך בסם מסוכן, בכך שסיכם עם חברו כי </w:t>
      </w:r>
      <w:r>
        <w:rPr>
          <w:rFonts w:ascii="David" w:hAnsi="David" w:hint="cs"/>
          <w:u w:val="single"/>
          <w:rtl/>
        </w:rPr>
        <w:t>ירכוש עבורו</w:t>
      </w:r>
      <w:r>
        <w:rPr>
          <w:rFonts w:ascii="David" w:hAnsi="David" w:hint="cs"/>
          <w:rtl/>
        </w:rPr>
        <w:t xml:space="preserve"> שתי מנות סם מסוכן מסוג הרואין (במשקל 0.43 גרם) בסכום של 100 ₪, ובתמורה החבר יתן לו מנת סם אחת. הנאשם ניגש לאחד הבניינים ברחוב וחזר לאחר מכן כשהוא מעביר לחברו את שתי מנות הסם. כב' הש' בן טולילה, סקר את מדיניות הפסיקה וקבע כי עיון במדיניות הענישה הנהוגה בעבירה הנדונה נעה </w:t>
      </w:r>
      <w:r>
        <w:rPr>
          <w:rFonts w:ascii="David" w:hAnsi="David" w:hint="cs"/>
          <w:b/>
          <w:bCs/>
          <w:rtl/>
        </w:rPr>
        <w:t>"בין עונשי מאסר בני חודשים בודדים במקרים של תיווך בכמויות קטנות וכלה ב-24 חודשים כאשר מדובר בתיווך בכמויות גדולות ובמספר עיסקאות"</w:t>
      </w:r>
      <w:r>
        <w:rPr>
          <w:rFonts w:ascii="David" w:hAnsi="David" w:hint="cs"/>
          <w:rtl/>
        </w:rPr>
        <w:t>. מתחם העונש ההולם את נסיבות ביצוע העבירה שלפניו נקבע כבין 3 ל-8 חודשי מאסר בפועל. לבסוף, בהתחשב בעובדה כי הנאשם הודה בביצוע העבירה וחסך זמן שיפוטי, ובהתחשב בכך שהנאשם נעדר עבר פלילי רלוונטי מתחום עבירות הסמים, נגזרו עליו 4 חודשי מאסר בפועל.</w:t>
      </w:r>
    </w:p>
    <w:p w14:paraId="3E61E2B0" w14:textId="77777777" w:rsidR="001E16DE" w:rsidRDefault="00282E99">
      <w:pPr>
        <w:spacing w:line="360" w:lineRule="auto"/>
        <w:jc w:val="both"/>
        <w:rPr>
          <w:rFonts w:ascii="David" w:hAnsi="David"/>
          <w:rtl/>
        </w:rPr>
      </w:pPr>
      <w:r>
        <w:rPr>
          <w:rFonts w:ascii="David" w:hAnsi="David" w:hint="cs"/>
          <w:rtl/>
        </w:rPr>
        <w:t>7.</w:t>
      </w:r>
      <w:r>
        <w:rPr>
          <w:rFonts w:ascii="David" w:hAnsi="David" w:hint="cs"/>
          <w:rtl/>
        </w:rPr>
        <w:tab/>
        <w:t>בגזר הדין הנ"ל, הובאה סקירה ממצה של פסיקה הדנה בערך החברתי המוגן, במדיניות הענישה ובהתייחסות המחוקק ובתי המשפט לביצוע עבירות הסמים:</w:t>
      </w:r>
    </w:p>
    <w:p w14:paraId="4C424C49" w14:textId="77777777" w:rsidR="001E16DE" w:rsidRDefault="00282E99">
      <w:pPr>
        <w:spacing w:line="360" w:lineRule="auto"/>
        <w:jc w:val="both"/>
        <w:rPr>
          <w:rFonts w:ascii="David" w:hAnsi="David"/>
          <w:rtl/>
        </w:rPr>
      </w:pPr>
      <w:r>
        <w:rPr>
          <w:rFonts w:ascii="David" w:hAnsi="David" w:hint="cs"/>
          <w:rtl/>
        </w:rPr>
        <w:t xml:space="preserve">כך הובא, למשל, </w:t>
      </w:r>
      <w:hyperlink r:id="rId16" w:history="1">
        <w:r w:rsidRPr="00282E99">
          <w:rPr>
            <w:rFonts w:ascii="David" w:hAnsi="David"/>
            <w:color w:val="0000FF"/>
            <w:u w:val="single"/>
            <w:rtl/>
          </w:rPr>
          <w:t>ע"פ 3117/12</w:t>
        </w:r>
      </w:hyperlink>
      <w:r>
        <w:rPr>
          <w:rFonts w:ascii="David" w:hAnsi="David" w:hint="cs"/>
          <w:rtl/>
        </w:rPr>
        <w:t xml:space="preserve"> </w:t>
      </w:r>
      <w:r>
        <w:rPr>
          <w:rFonts w:ascii="David" w:hAnsi="David" w:hint="cs"/>
          <w:b/>
          <w:bCs/>
          <w:rtl/>
        </w:rPr>
        <w:t>ארביב נ' מדינת ישראל</w:t>
      </w:r>
      <w:r>
        <w:rPr>
          <w:rFonts w:ascii="David" w:hAnsi="David" w:hint="cs"/>
          <w:rtl/>
        </w:rPr>
        <w:t xml:space="preserve"> (6.9.12) במסגרתו נאמר כי </w:t>
      </w:r>
      <w:r>
        <w:rPr>
          <w:rFonts w:ascii="David" w:hAnsi="David" w:hint="cs"/>
          <w:b/>
          <w:bCs/>
          <w:rtl/>
        </w:rPr>
        <w:t>"בית משפט זה עמד, לא אחת, על חומרתן היתירה של עבירות הסמים, ועל ההשלכות הקשות שיש לשימוש בסם על גופו ועל נפשו של המשתמש"</w:t>
      </w:r>
      <w:r>
        <w:rPr>
          <w:rFonts w:ascii="David" w:hAnsi="David" w:hint="cs"/>
          <w:rtl/>
        </w:rPr>
        <w:t>.</w:t>
      </w:r>
    </w:p>
    <w:p w14:paraId="267557E6" w14:textId="77777777" w:rsidR="001E16DE" w:rsidRDefault="00282E99">
      <w:pPr>
        <w:spacing w:line="360" w:lineRule="auto"/>
        <w:jc w:val="both"/>
        <w:rPr>
          <w:rFonts w:ascii="David" w:hAnsi="David"/>
          <w:rtl/>
        </w:rPr>
      </w:pPr>
      <w:r>
        <w:rPr>
          <w:rFonts w:ascii="David" w:hAnsi="David" w:hint="cs"/>
          <w:rtl/>
        </w:rPr>
        <w:t xml:space="preserve">עוד הובא ענין אחר במסגרתו נקבע כי עבירת התיווך בסם חומרתה אינה פחותה מעבירת הסחר בסם </w:t>
      </w:r>
      <w:r>
        <w:rPr>
          <w:rFonts w:ascii="David" w:hAnsi="David"/>
          <w:rtl/>
        </w:rPr>
        <w:t>–</w:t>
      </w:r>
      <w:r>
        <w:rPr>
          <w:rFonts w:ascii="David" w:hAnsi="David" w:hint="cs"/>
          <w:rtl/>
        </w:rPr>
        <w:t xml:space="preserve"> </w:t>
      </w:r>
      <w:r>
        <w:rPr>
          <w:rFonts w:ascii="David" w:hAnsi="David" w:hint="cs"/>
          <w:b/>
          <w:bCs/>
          <w:rtl/>
        </w:rPr>
        <w:t>"אין לומר כי תיווך בעסקת סמים הינה פחותת ערך מאשר סחר בסמים, אדרבא: תיווך משמש חוליה בשלשלת, ושבירת חולייה אחת עשוייה לשבור את השלשלת כולה... כך שאין הבדל בין סחר בסמים לבין תיווך בעסקת סמים לעניין בחינת מסוכנות העורר"</w:t>
      </w:r>
      <w:r>
        <w:rPr>
          <w:rFonts w:ascii="David" w:hAnsi="David" w:hint="cs"/>
          <w:rtl/>
        </w:rPr>
        <w:t xml:space="preserve"> (</w:t>
      </w:r>
      <w:hyperlink r:id="rId17" w:history="1">
        <w:r w:rsidRPr="00282E99">
          <w:rPr>
            <w:rFonts w:ascii="David" w:hAnsi="David"/>
            <w:color w:val="0000FF"/>
            <w:u w:val="single"/>
            <w:rtl/>
          </w:rPr>
          <w:t>בש"פ 5714/03</w:t>
        </w:r>
      </w:hyperlink>
      <w:r>
        <w:rPr>
          <w:rFonts w:ascii="David" w:hAnsi="David" w:hint="cs"/>
          <w:rtl/>
        </w:rPr>
        <w:t xml:space="preserve"> </w:t>
      </w:r>
      <w:r>
        <w:rPr>
          <w:rFonts w:ascii="David" w:hAnsi="David" w:hint="cs"/>
          <w:b/>
          <w:bCs/>
          <w:rtl/>
        </w:rPr>
        <w:t>ג'ובני נ' מדינת ישראל</w:t>
      </w:r>
      <w:r>
        <w:rPr>
          <w:rFonts w:ascii="David" w:hAnsi="David" w:hint="cs"/>
          <w:rtl/>
        </w:rPr>
        <w:t>).</w:t>
      </w:r>
    </w:p>
    <w:p w14:paraId="7EB9E20D" w14:textId="77777777" w:rsidR="001E16DE" w:rsidRDefault="00282E99">
      <w:pPr>
        <w:spacing w:line="360" w:lineRule="auto"/>
        <w:jc w:val="both"/>
        <w:rPr>
          <w:rFonts w:ascii="David" w:hAnsi="David"/>
          <w:rtl/>
        </w:rPr>
      </w:pPr>
      <w:r>
        <w:rPr>
          <w:rFonts w:ascii="David" w:hAnsi="David" w:hint="cs"/>
          <w:rtl/>
        </w:rPr>
        <w:t xml:space="preserve">ועוד בענין זה נקבע: </w:t>
      </w:r>
      <w:r>
        <w:rPr>
          <w:rFonts w:ascii="David" w:hAnsi="David" w:hint="cs"/>
          <w:b/>
          <w:bCs/>
          <w:rtl/>
        </w:rPr>
        <w:t xml:space="preserve">"אכן, לעניין העונש המרבי לפי </w:t>
      </w:r>
      <w:hyperlink r:id="rId18" w:history="1">
        <w:r w:rsidRPr="00282E99">
          <w:rPr>
            <w:rFonts w:ascii="David" w:hAnsi="David"/>
            <w:b/>
            <w:bCs/>
            <w:color w:val="0000FF"/>
            <w:u w:val="single"/>
            <w:rtl/>
          </w:rPr>
          <w:t>פקודת הסמים המסוכנים</w:t>
        </w:r>
      </w:hyperlink>
      <w:r>
        <w:rPr>
          <w:rFonts w:ascii="David" w:hAnsi="David" w:hint="cs"/>
          <w:b/>
          <w:bCs/>
          <w:rtl/>
        </w:rPr>
        <w:t xml:space="preserve"> [נוסח חדש] אין הבדל בין עבירה של מסחר לבין עבירה של תיווך. גם מבחינת המסוכנות, ואף מבחינת צורכי המלחמה בסמים, אין הבדל גדול בין הסוחר לבין המתווך. זה כמו זה הינו חוליה חשובה שבלעדיה מכונת הסם תעצור מלכת"</w:t>
      </w:r>
      <w:r>
        <w:rPr>
          <w:rFonts w:ascii="David" w:hAnsi="David" w:hint="cs"/>
          <w:rtl/>
        </w:rPr>
        <w:t xml:space="preserve"> (</w:t>
      </w:r>
      <w:hyperlink r:id="rId19" w:history="1">
        <w:r w:rsidRPr="00282E99">
          <w:rPr>
            <w:rFonts w:ascii="David" w:hAnsi="David"/>
            <w:color w:val="0000FF"/>
            <w:u w:val="single"/>
            <w:rtl/>
          </w:rPr>
          <w:t>בש"פ 2179/99</w:t>
        </w:r>
      </w:hyperlink>
      <w:r>
        <w:rPr>
          <w:rFonts w:ascii="David" w:hAnsi="David" w:hint="cs"/>
          <w:rtl/>
        </w:rPr>
        <w:t xml:space="preserve"> </w:t>
      </w:r>
      <w:r>
        <w:rPr>
          <w:rFonts w:ascii="David" w:hAnsi="David" w:hint="cs"/>
          <w:b/>
          <w:bCs/>
          <w:rtl/>
        </w:rPr>
        <w:t>מלכה נ' מדינת ישראל</w:t>
      </w:r>
      <w:r>
        <w:rPr>
          <w:rFonts w:ascii="David" w:hAnsi="David" w:hint="cs"/>
          <w:rtl/>
        </w:rPr>
        <w:t>).</w:t>
      </w:r>
    </w:p>
    <w:p w14:paraId="3C220236" w14:textId="77777777" w:rsidR="001E16DE" w:rsidRDefault="001E16DE">
      <w:pPr>
        <w:spacing w:line="360" w:lineRule="auto"/>
        <w:jc w:val="both"/>
        <w:rPr>
          <w:rFonts w:ascii="David" w:hAnsi="David"/>
          <w:rtl/>
        </w:rPr>
      </w:pPr>
    </w:p>
    <w:p w14:paraId="7FBBA442" w14:textId="77777777" w:rsidR="001E16DE" w:rsidRDefault="00282E99">
      <w:pPr>
        <w:spacing w:line="360" w:lineRule="auto"/>
        <w:jc w:val="both"/>
        <w:rPr>
          <w:rFonts w:ascii="David" w:hAnsi="David"/>
          <w:rtl/>
        </w:rPr>
      </w:pPr>
      <w:r>
        <w:rPr>
          <w:rFonts w:ascii="David" w:hAnsi="David" w:hint="cs"/>
          <w:rtl/>
        </w:rPr>
        <w:t>ועל החומרה בענישה שיש לנקוט כנגד מעורבים בשרשרת הפצת הסם נאמר:</w:t>
      </w:r>
    </w:p>
    <w:p w14:paraId="5C998597" w14:textId="77777777" w:rsidR="001E16DE" w:rsidRDefault="00282E99">
      <w:pPr>
        <w:spacing w:line="360" w:lineRule="auto"/>
        <w:jc w:val="both"/>
        <w:rPr>
          <w:rFonts w:ascii="David" w:hAnsi="David"/>
          <w:rtl/>
        </w:rPr>
      </w:pPr>
      <w:r>
        <w:rPr>
          <w:rFonts w:ascii="David" w:hAnsi="David" w:hint="cs"/>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Fonts w:ascii="David" w:hAnsi="David" w:hint="cs"/>
          <w:rtl/>
        </w:rPr>
        <w:t xml:space="preserve"> (</w:t>
      </w:r>
      <w:hyperlink r:id="rId20" w:history="1">
        <w:r w:rsidRPr="00282E99">
          <w:rPr>
            <w:rFonts w:ascii="David" w:hAnsi="David"/>
            <w:color w:val="0000FF"/>
            <w:u w:val="single"/>
            <w:rtl/>
          </w:rPr>
          <w:t>ע"פ 211/09</w:t>
        </w:r>
      </w:hyperlink>
      <w:r>
        <w:rPr>
          <w:rFonts w:ascii="David" w:hAnsi="David" w:hint="cs"/>
          <w:rtl/>
        </w:rPr>
        <w:t xml:space="preserve"> </w:t>
      </w:r>
      <w:r>
        <w:rPr>
          <w:rFonts w:ascii="David" w:hAnsi="David" w:hint="cs"/>
          <w:b/>
          <w:bCs/>
          <w:rtl/>
        </w:rPr>
        <w:t xml:space="preserve">אזולאי נ' מדינת ישראל </w:t>
      </w:r>
      <w:r>
        <w:rPr>
          <w:rFonts w:ascii="David" w:hAnsi="David" w:hint="cs"/>
          <w:rtl/>
        </w:rPr>
        <w:t>(22.6.10)).</w:t>
      </w:r>
    </w:p>
    <w:p w14:paraId="08A6D763" w14:textId="77777777" w:rsidR="001E16DE" w:rsidRDefault="001E16DE">
      <w:pPr>
        <w:spacing w:line="360" w:lineRule="auto"/>
        <w:jc w:val="both"/>
        <w:rPr>
          <w:rFonts w:ascii="David" w:hAnsi="David"/>
          <w:rtl/>
        </w:rPr>
      </w:pPr>
    </w:p>
    <w:p w14:paraId="03A1A92A" w14:textId="77777777" w:rsidR="001E16DE" w:rsidRDefault="00282E99">
      <w:pPr>
        <w:spacing w:line="360" w:lineRule="auto"/>
        <w:jc w:val="both"/>
        <w:rPr>
          <w:rFonts w:ascii="David" w:hAnsi="David"/>
          <w:rtl/>
        </w:rPr>
      </w:pPr>
      <w:r>
        <w:rPr>
          <w:rFonts w:ascii="David" w:hAnsi="David" w:hint="cs"/>
          <w:rtl/>
        </w:rPr>
        <w:t xml:space="preserve">ועוד: </w:t>
      </w:r>
      <w:r>
        <w:rPr>
          <w:rFonts w:ascii="David" w:hAnsi="David" w:hint="cs"/>
          <w:b/>
          <w:bCs/>
          <w:rtl/>
        </w:rPr>
        <w:t>"עמדנו לא אחת על חומרתן של עבירות הפצת סמים והחשיבות בהרתעה אפקטיבית: חשיבות המלחמה בנגע הסמים ידועה לכל, והעוסקים בסחר ובתיווך בסם ידעו כי 'מלחמת החורמה בעברייני סמים נמשכת והולכת. מלחמה קשה היא, מלחמה ארוכה, והיא כמלחמת ישראל בעמלק'..."</w:t>
      </w:r>
      <w:r>
        <w:rPr>
          <w:rFonts w:ascii="David" w:hAnsi="David" w:hint="cs"/>
          <w:rtl/>
        </w:rPr>
        <w:t xml:space="preserve"> (</w:t>
      </w:r>
      <w:hyperlink r:id="rId21" w:history="1">
        <w:r w:rsidRPr="00282E99">
          <w:rPr>
            <w:rFonts w:ascii="David" w:hAnsi="David"/>
            <w:color w:val="0000FF"/>
            <w:u w:val="single"/>
            <w:rtl/>
          </w:rPr>
          <w:t>רע"פ 2557/12</w:t>
        </w:r>
      </w:hyperlink>
      <w:r>
        <w:rPr>
          <w:rFonts w:ascii="David" w:hAnsi="David" w:hint="cs"/>
          <w:rtl/>
        </w:rPr>
        <w:t xml:space="preserve"> </w:t>
      </w:r>
      <w:r>
        <w:rPr>
          <w:rFonts w:ascii="David" w:hAnsi="David" w:hint="cs"/>
          <w:b/>
          <w:bCs/>
          <w:rtl/>
        </w:rPr>
        <w:t>תמם נ' מדינת ישראל</w:t>
      </w:r>
      <w:r>
        <w:rPr>
          <w:rFonts w:ascii="David" w:hAnsi="David" w:hint="cs"/>
          <w:rtl/>
        </w:rPr>
        <w:t xml:space="preserve"> (5.4.13)).</w:t>
      </w:r>
    </w:p>
    <w:p w14:paraId="6BE36C93" w14:textId="77777777" w:rsidR="001E16DE" w:rsidRDefault="001E16DE">
      <w:pPr>
        <w:spacing w:line="360" w:lineRule="auto"/>
        <w:jc w:val="both"/>
        <w:rPr>
          <w:rFonts w:ascii="David" w:hAnsi="David"/>
          <w:rtl/>
        </w:rPr>
      </w:pPr>
    </w:p>
    <w:p w14:paraId="0EC925B6" w14:textId="77777777" w:rsidR="001E16DE" w:rsidRDefault="00282E99">
      <w:pPr>
        <w:spacing w:line="360" w:lineRule="auto"/>
        <w:jc w:val="both"/>
        <w:rPr>
          <w:rFonts w:ascii="David" w:hAnsi="David"/>
          <w:rtl/>
        </w:rPr>
      </w:pPr>
      <w:r>
        <w:rPr>
          <w:rFonts w:ascii="David" w:hAnsi="David" w:hint="cs"/>
          <w:rtl/>
        </w:rPr>
        <w:t>8.</w:t>
      </w:r>
      <w:r>
        <w:rPr>
          <w:rFonts w:ascii="David" w:hAnsi="David" w:hint="cs"/>
          <w:rtl/>
        </w:rPr>
        <w:tab/>
        <w:t xml:space="preserve">לאחר אלה, הובאו בגזר דינו של כב' הש' בן טולילה דוגמאות מהפסיקה לעונשים שהוטלו על נאשמים שביצעו עבירות של תיווך בסם מסוכן </w:t>
      </w:r>
      <w:r>
        <w:rPr>
          <w:rFonts w:ascii="David" w:hAnsi="David"/>
          <w:rtl/>
        </w:rPr>
        <w:t>–</w:t>
      </w:r>
      <w:r>
        <w:rPr>
          <w:rFonts w:ascii="David" w:hAnsi="David" w:hint="cs"/>
          <w:rtl/>
        </w:rPr>
        <w:t xml:space="preserve"> ראה עמ' 4-3 לגזר הדין </w:t>
      </w:r>
      <w:r>
        <w:rPr>
          <w:rFonts w:ascii="David" w:hAnsi="David"/>
          <w:rtl/>
        </w:rPr>
        <w:t>–</w:t>
      </w:r>
      <w:r>
        <w:rPr>
          <w:rFonts w:ascii="David" w:hAnsi="David" w:hint="cs"/>
          <w:rtl/>
        </w:rPr>
        <w:t xml:space="preserve"> מהם הסיק, כאמור, טווח ענישה שבין מספר חודשי מאסר ל-24 חודשי מאסר.</w:t>
      </w:r>
    </w:p>
    <w:p w14:paraId="55B87695" w14:textId="77777777" w:rsidR="001E16DE" w:rsidRDefault="001E16DE">
      <w:pPr>
        <w:spacing w:line="360" w:lineRule="auto"/>
        <w:jc w:val="both"/>
        <w:rPr>
          <w:rFonts w:ascii="David" w:hAnsi="David"/>
          <w:rtl/>
        </w:rPr>
      </w:pPr>
    </w:p>
    <w:p w14:paraId="20AA0633" w14:textId="77777777" w:rsidR="001E16DE" w:rsidRDefault="00282E99">
      <w:pPr>
        <w:spacing w:line="360" w:lineRule="auto"/>
        <w:jc w:val="both"/>
        <w:rPr>
          <w:rFonts w:ascii="David" w:hAnsi="David"/>
          <w:rtl/>
        </w:rPr>
      </w:pPr>
      <w:r>
        <w:rPr>
          <w:rFonts w:ascii="David" w:hAnsi="David" w:hint="cs"/>
          <w:rtl/>
        </w:rPr>
        <w:t>9.</w:t>
      </w:r>
      <w:r>
        <w:rPr>
          <w:rFonts w:ascii="David" w:hAnsi="David" w:hint="cs"/>
          <w:rtl/>
        </w:rPr>
        <w:tab/>
        <w:t>לא בכדי פתחתי בגזר הדין הנ"ל, אליו הפנה ב"כ הנאשם, ואשר ביקש לראות בו אמת מידה ראויה לעונש שיש לגזור על הנאשם שבפניי. מעשיו של הנאשם שבפניי ונסיבות ביצוע העבירה על ידו שונות בתכלית מאלה שנדונו בגזר הדין הנ"ל וחמורות בהרבה.</w:t>
      </w:r>
    </w:p>
    <w:p w14:paraId="35BCA4BA" w14:textId="77777777" w:rsidR="001E16DE" w:rsidRDefault="00282E99">
      <w:pPr>
        <w:spacing w:line="360" w:lineRule="auto"/>
        <w:jc w:val="both"/>
        <w:rPr>
          <w:rFonts w:ascii="David" w:hAnsi="David"/>
          <w:rtl/>
        </w:rPr>
      </w:pPr>
      <w:r>
        <w:rPr>
          <w:rFonts w:ascii="David" w:hAnsi="David" w:hint="cs"/>
          <w:rtl/>
        </w:rPr>
        <w:t>להלן יובאו הנתונים הרלוונטיים, שהוכחו בפניי בעת שמיעת הראיות, לצורך קביעת מתחם העונש ההולם:</w:t>
      </w:r>
    </w:p>
    <w:p w14:paraId="21083104" w14:textId="77777777" w:rsidR="001E16DE" w:rsidRDefault="001E16DE">
      <w:pPr>
        <w:spacing w:line="360" w:lineRule="auto"/>
        <w:jc w:val="both"/>
        <w:rPr>
          <w:rFonts w:ascii="David" w:hAnsi="David"/>
          <w:rtl/>
        </w:rPr>
      </w:pPr>
    </w:p>
    <w:p w14:paraId="524D17D5" w14:textId="77777777" w:rsidR="001E16DE" w:rsidRDefault="00282E99">
      <w:pPr>
        <w:spacing w:line="360" w:lineRule="auto"/>
        <w:ind w:left="720" w:hanging="720"/>
        <w:jc w:val="both"/>
        <w:rPr>
          <w:rFonts w:ascii="David" w:hAnsi="David"/>
          <w:rtl/>
        </w:rPr>
      </w:pPr>
      <w:r>
        <w:rPr>
          <w:rFonts w:ascii="David" w:hAnsi="David" w:hint="cs"/>
          <w:rtl/>
        </w:rPr>
        <w:t>א.</w:t>
      </w:r>
      <w:r>
        <w:rPr>
          <w:rFonts w:ascii="David" w:hAnsi="David" w:hint="cs"/>
          <w:rtl/>
        </w:rPr>
        <w:tab/>
        <w:t>המתחם בו התבצעה עבירת התיווך על ידי הנאשם הוא מתחם השייך לו. אמנם שוהים במתחם גם שני אחיו של הנאשם, אולם במהלך שמיעת הראיות הוכח כי הנאשם הוא הדומיננטי במתחם והוא זה ששהה במתחם ובחדר בו התבצעה עיסקת הסם עם מהרן.</w:t>
      </w:r>
    </w:p>
    <w:p w14:paraId="729814C0" w14:textId="77777777" w:rsidR="001E16DE" w:rsidRDefault="00282E99">
      <w:pPr>
        <w:spacing w:line="360" w:lineRule="auto"/>
        <w:ind w:left="720" w:hanging="720"/>
        <w:jc w:val="both"/>
        <w:rPr>
          <w:rFonts w:ascii="David" w:hAnsi="David"/>
          <w:rtl/>
        </w:rPr>
      </w:pPr>
      <w:r>
        <w:rPr>
          <w:rFonts w:ascii="David" w:hAnsi="David" w:hint="cs"/>
          <w:rtl/>
        </w:rPr>
        <w:t>ב.</w:t>
      </w:r>
      <w:r>
        <w:rPr>
          <w:rFonts w:ascii="David" w:hAnsi="David" w:hint="cs"/>
          <w:rtl/>
        </w:rPr>
        <w:tab/>
        <w:t xml:space="preserve">עיסקאות הסמים הקודמות שביצע הסוכן עם מהרן ועם אחיו של הנאשם, חסן, התבצעו אף הן בתוך המתחם של הנאשם, עובדה המלמדת על עיסוק בסמים </w:t>
      </w:r>
      <w:r>
        <w:rPr>
          <w:rFonts w:ascii="David" w:hAnsi="David"/>
          <w:rtl/>
        </w:rPr>
        <w:t>–</w:t>
      </w:r>
      <w:r>
        <w:rPr>
          <w:rFonts w:ascii="David" w:hAnsi="David" w:hint="cs"/>
          <w:rtl/>
        </w:rPr>
        <w:t xml:space="preserve"> בין סחר ובין תיווך </w:t>
      </w:r>
      <w:r>
        <w:rPr>
          <w:rFonts w:ascii="David" w:hAnsi="David"/>
          <w:rtl/>
        </w:rPr>
        <w:t>–</w:t>
      </w:r>
      <w:r>
        <w:rPr>
          <w:rFonts w:ascii="David" w:hAnsi="David" w:hint="cs"/>
          <w:rtl/>
        </w:rPr>
        <w:t xml:space="preserve"> בתוך המתחם.</w:t>
      </w:r>
    </w:p>
    <w:p w14:paraId="4F6109CD" w14:textId="77777777" w:rsidR="001E16DE" w:rsidRDefault="00282E99">
      <w:pPr>
        <w:spacing w:line="360" w:lineRule="auto"/>
        <w:ind w:left="720" w:hanging="720"/>
        <w:jc w:val="both"/>
        <w:rPr>
          <w:rFonts w:ascii="David" w:hAnsi="David"/>
          <w:rtl/>
        </w:rPr>
      </w:pPr>
      <w:r>
        <w:rPr>
          <w:rFonts w:ascii="David" w:hAnsi="David" w:hint="cs"/>
          <w:rtl/>
        </w:rPr>
        <w:t>ג.</w:t>
      </w:r>
      <w:r>
        <w:rPr>
          <w:rFonts w:ascii="David" w:hAnsi="David" w:hint="cs"/>
          <w:rtl/>
        </w:rPr>
        <w:tab/>
        <w:t xml:space="preserve">קודם לביצוע עיסקת הסם עם מהרן, שוחח הסוכן עם הנאשם על "פלאטת חשיש" ועל "מחיר טוב" שהסוכן מבקש שהנאשם יעשה לו. הנאשם שיתף פעולה עם הסוכן כמי שיש לו נגישות קלה לסמים ויש לראות בשיחה זו שנסובה על עיסקת סם עתידית תמורת תשלום </w:t>
      </w:r>
      <w:r>
        <w:rPr>
          <w:rFonts w:ascii="David" w:hAnsi="David"/>
          <w:rtl/>
        </w:rPr>
        <w:t>–</w:t>
      </w:r>
      <w:r>
        <w:rPr>
          <w:rFonts w:ascii="David" w:hAnsi="David" w:hint="cs"/>
          <w:rtl/>
        </w:rPr>
        <w:t xml:space="preserve"> אף אם לא יצאה לפועל ולא השתכללה לכדי עבירה פלילית </w:t>
      </w:r>
      <w:r>
        <w:rPr>
          <w:rFonts w:ascii="David" w:hAnsi="David"/>
          <w:rtl/>
        </w:rPr>
        <w:t>–</w:t>
      </w:r>
      <w:r>
        <w:rPr>
          <w:rFonts w:ascii="David" w:hAnsi="David" w:hint="cs"/>
          <w:rtl/>
        </w:rPr>
        <w:t xml:space="preserve"> כנסיבה מחמירה.</w:t>
      </w:r>
    </w:p>
    <w:p w14:paraId="58C1E7A5" w14:textId="77777777" w:rsidR="001E16DE" w:rsidRDefault="00282E99">
      <w:pPr>
        <w:spacing w:line="360" w:lineRule="auto"/>
        <w:ind w:left="720" w:hanging="720"/>
        <w:jc w:val="both"/>
        <w:rPr>
          <w:rFonts w:ascii="David" w:hAnsi="David"/>
          <w:rtl/>
        </w:rPr>
      </w:pPr>
      <w:r>
        <w:rPr>
          <w:rFonts w:ascii="David" w:hAnsi="David" w:hint="cs"/>
          <w:rtl/>
        </w:rPr>
        <w:t>ד.</w:t>
      </w:r>
      <w:r>
        <w:rPr>
          <w:rFonts w:ascii="David" w:hAnsi="David" w:hint="cs"/>
          <w:rtl/>
        </w:rPr>
        <w:tab/>
        <w:t>הנאשם שימש כ"מתווך" בין הסוכן למהרן, על רקע היותו "מוכר פוטנציאלי" וכחלק משרשרת הפצת הסם לרוכשים, וזאת בניגוד למתווך שהינו על תקן "רוכש" ו"משתמש", דוגמת הנאשם בגזר הדין אליו היפנה ב"כ הנאשם.</w:t>
      </w:r>
    </w:p>
    <w:p w14:paraId="21E08D8B" w14:textId="77777777" w:rsidR="001E16DE" w:rsidRDefault="00282E99">
      <w:pPr>
        <w:spacing w:line="360" w:lineRule="auto"/>
        <w:ind w:left="720" w:hanging="720"/>
        <w:jc w:val="both"/>
        <w:rPr>
          <w:rFonts w:ascii="David" w:hAnsi="David"/>
          <w:rtl/>
        </w:rPr>
      </w:pPr>
      <w:r>
        <w:rPr>
          <w:rFonts w:ascii="David" w:hAnsi="David" w:hint="cs"/>
          <w:rtl/>
        </w:rPr>
        <w:t>ה.</w:t>
      </w:r>
      <w:r>
        <w:rPr>
          <w:rFonts w:ascii="David" w:hAnsi="David" w:hint="cs"/>
          <w:rtl/>
        </w:rPr>
        <w:tab/>
        <w:t xml:space="preserve">כאשר הסוכן ביקש לרכוש מהנאשם סם מסוג חשיש, ידע הנאשם במה מדובר, נכנס לחדר, שוחח עם מהרן ובחלוף זמן קצר יצא מהרן אל הסוכן עם הסם המבוקש </w:t>
      </w:r>
      <w:r>
        <w:rPr>
          <w:rFonts w:ascii="David" w:hAnsi="David"/>
          <w:rtl/>
        </w:rPr>
        <w:t>–</w:t>
      </w:r>
      <w:r>
        <w:rPr>
          <w:rFonts w:ascii="David" w:hAnsi="David" w:hint="cs"/>
          <w:rtl/>
        </w:rPr>
        <w:t xml:space="preserve"> נסיבות המלמדות על מעורבותו של הנאשם בעיסקת הסם, גם אם כמתווך, ובענייני סמים בכלל.</w:t>
      </w:r>
    </w:p>
    <w:p w14:paraId="3EA2D6DA" w14:textId="77777777" w:rsidR="001E16DE" w:rsidRDefault="00282E99">
      <w:pPr>
        <w:spacing w:line="360" w:lineRule="auto"/>
        <w:ind w:left="720" w:hanging="720"/>
        <w:jc w:val="both"/>
        <w:rPr>
          <w:rFonts w:ascii="David" w:hAnsi="David"/>
        </w:rPr>
      </w:pPr>
      <w:r>
        <w:rPr>
          <w:rFonts w:ascii="David" w:hAnsi="David" w:hint="cs"/>
          <w:rtl/>
        </w:rPr>
        <w:t>ו.</w:t>
      </w:r>
      <w:r>
        <w:rPr>
          <w:rFonts w:ascii="David" w:hAnsi="David" w:hint="cs"/>
          <w:rtl/>
        </w:rPr>
        <w:tab/>
        <w:t>ינתן משקל מוגבל לכך שמדובר בתיווך לעבירת סחר בסם מסוכן מסוג חשיש, אשר אינו מצוי בראש מדרג החומרה של הסמים והחומרים המסוכנים. על רקע השיחה בין הסוכן לנאשם על רכישה עתידית של "פלאטה חשיש" במחיר טוב, ינתן גם משקל מוגבל לכך שמדובר בתיווך לעיסקה אחת, ללא תמורה, ובסם במשקל מועט.</w:t>
      </w:r>
    </w:p>
    <w:p w14:paraId="08193C5F" w14:textId="77777777" w:rsidR="001E16DE" w:rsidRDefault="001E16DE">
      <w:pPr>
        <w:spacing w:line="360" w:lineRule="auto"/>
        <w:jc w:val="both"/>
        <w:rPr>
          <w:rFonts w:ascii="David" w:hAnsi="David"/>
          <w:rtl/>
        </w:rPr>
      </w:pPr>
    </w:p>
    <w:p w14:paraId="4B2DAD73" w14:textId="77777777" w:rsidR="001E16DE" w:rsidRDefault="00282E99">
      <w:pPr>
        <w:spacing w:line="360" w:lineRule="auto"/>
        <w:jc w:val="both"/>
        <w:rPr>
          <w:rFonts w:ascii="David" w:hAnsi="David"/>
          <w:rtl/>
        </w:rPr>
      </w:pPr>
      <w:r>
        <w:rPr>
          <w:rFonts w:ascii="David" w:hAnsi="David" w:hint="cs"/>
          <w:rtl/>
        </w:rPr>
        <w:t>10.</w:t>
      </w:r>
      <w:r>
        <w:rPr>
          <w:rFonts w:ascii="David" w:hAnsi="David" w:hint="cs"/>
          <w:rtl/>
        </w:rPr>
        <w:tab/>
        <w:t xml:space="preserve">נסיבות מחמירות אלה שנסקרו לעיל, על רקע הפסיקה הנוהגת, כפי הנזכר בגזר דינו של כב' הש' בן טולילה, מביאות אותי לקבוע כי </w:t>
      </w:r>
      <w:r>
        <w:rPr>
          <w:rFonts w:ascii="David" w:hAnsi="David" w:hint="cs"/>
          <w:b/>
          <w:bCs/>
          <w:rtl/>
        </w:rPr>
        <w:t>מתחם העונש ההולם בנסיבות ביצוע העבירה שבפנינו הוא בין מספר חודשי מאסר ל-12 חודשי מאסר בפועל, לצד מאסר על תנאי וקנס כספי</w:t>
      </w:r>
      <w:r>
        <w:rPr>
          <w:rFonts w:ascii="David" w:hAnsi="David" w:hint="cs"/>
          <w:rtl/>
        </w:rPr>
        <w:t>.</w:t>
      </w:r>
    </w:p>
    <w:p w14:paraId="326403AC" w14:textId="77777777" w:rsidR="001E16DE" w:rsidRDefault="001E16DE">
      <w:pPr>
        <w:spacing w:line="360" w:lineRule="auto"/>
        <w:jc w:val="both"/>
        <w:rPr>
          <w:rFonts w:ascii="David" w:hAnsi="David"/>
          <w:rtl/>
        </w:rPr>
      </w:pPr>
    </w:p>
    <w:p w14:paraId="41EDB0BB" w14:textId="77777777" w:rsidR="001E16DE" w:rsidRDefault="00282E99">
      <w:pPr>
        <w:spacing w:line="360" w:lineRule="auto"/>
        <w:jc w:val="both"/>
        <w:rPr>
          <w:rFonts w:ascii="David" w:hAnsi="David"/>
          <w:b/>
          <w:bCs/>
          <w:u w:val="single"/>
          <w:rtl/>
        </w:rPr>
      </w:pPr>
      <w:r>
        <w:rPr>
          <w:rFonts w:ascii="David" w:hAnsi="David" w:hint="cs"/>
          <w:b/>
          <w:bCs/>
          <w:u w:val="single"/>
          <w:rtl/>
        </w:rPr>
        <w:t>נסיבות שאינן קשורות בביצוע העבירה</w:t>
      </w:r>
    </w:p>
    <w:p w14:paraId="56A1C834" w14:textId="77777777" w:rsidR="001E16DE" w:rsidRDefault="00282E99">
      <w:pPr>
        <w:spacing w:line="360" w:lineRule="auto"/>
        <w:jc w:val="both"/>
        <w:rPr>
          <w:rFonts w:ascii="David" w:hAnsi="David"/>
          <w:rtl/>
        </w:rPr>
      </w:pPr>
      <w:r>
        <w:rPr>
          <w:rFonts w:ascii="David" w:hAnsi="David" w:hint="cs"/>
          <w:rtl/>
        </w:rPr>
        <w:t>11.</w:t>
      </w:r>
      <w:r>
        <w:rPr>
          <w:rFonts w:ascii="David" w:hAnsi="David" w:hint="cs"/>
          <w:rtl/>
        </w:rPr>
        <w:tab/>
        <w:t>בענייננו, לא נמצאה עילה לסטות ממתחם העונש ההולם ועונשו של הנאשם ייקבע בתוך המתחם. בקביעת עונשו של הנאשם בתוך מתחם העונש ההולם, יובאו בחשבון השיקולים שלהלן:</w:t>
      </w:r>
    </w:p>
    <w:p w14:paraId="178A5DAB" w14:textId="77777777" w:rsidR="001E16DE" w:rsidRDefault="001E16DE">
      <w:pPr>
        <w:spacing w:line="360" w:lineRule="auto"/>
        <w:jc w:val="both"/>
        <w:rPr>
          <w:rFonts w:ascii="David" w:hAnsi="David"/>
          <w:rtl/>
        </w:rPr>
      </w:pPr>
    </w:p>
    <w:p w14:paraId="32381661" w14:textId="77777777" w:rsidR="001E16DE" w:rsidRDefault="00282E99">
      <w:pPr>
        <w:pStyle w:val="ListParagraph"/>
        <w:spacing w:after="0" w:line="360" w:lineRule="auto"/>
        <w:ind w:hanging="720"/>
        <w:jc w:val="both"/>
        <w:rPr>
          <w:rFonts w:ascii="David" w:hAnsi="David" w:cs="David"/>
          <w:sz w:val="24"/>
          <w:szCs w:val="24"/>
        </w:rPr>
      </w:pPr>
      <w:r>
        <w:rPr>
          <w:rFonts w:ascii="David" w:hAnsi="David" w:cs="David" w:hint="cs"/>
          <w:sz w:val="24"/>
          <w:szCs w:val="24"/>
          <w:rtl/>
        </w:rPr>
        <w:t>א.</w:t>
      </w:r>
      <w:r>
        <w:rPr>
          <w:rFonts w:ascii="David" w:hAnsi="David" w:cs="David" w:hint="cs"/>
          <w:sz w:val="24"/>
          <w:szCs w:val="24"/>
          <w:rtl/>
        </w:rPr>
        <w:tab/>
        <w:t>לנאשם עבר פלילי, הכולל 13 הרשעות קודמות, והוא הורשע בעבר בעבירות סמים בגינן אף ריצה עונשי מאסר בני 20 ו-12 חודשים. אמנם מדובר בהרשעות מן השנים 1994 ו-1999, ואולם אין זו הפעם הראשונה בה מבצע הנאשם עבירות מתחום זה. גם לאחר מכן המשיך הנאשם לבצע עבירות פליליות, שעניינן אלימות והחזקת אגרופן או סכין, כשהרשעתו האחרונה היא משנת 2006.</w:t>
      </w:r>
    </w:p>
    <w:p w14:paraId="2CBF55FD" w14:textId="77777777" w:rsidR="001E16DE" w:rsidRDefault="00282E99">
      <w:pPr>
        <w:pStyle w:val="ListParagraph"/>
        <w:spacing w:after="0" w:line="360" w:lineRule="auto"/>
        <w:ind w:hanging="720"/>
        <w:jc w:val="both"/>
        <w:rPr>
          <w:rFonts w:ascii="David" w:hAnsi="David" w:cs="David"/>
          <w:sz w:val="24"/>
          <w:szCs w:val="24"/>
        </w:rPr>
      </w:pPr>
      <w:r>
        <w:rPr>
          <w:rFonts w:ascii="David" w:hAnsi="David" w:cs="David" w:hint="cs"/>
          <w:sz w:val="24"/>
          <w:szCs w:val="24"/>
          <w:rtl/>
        </w:rPr>
        <w:t>ב.</w:t>
      </w:r>
      <w:r>
        <w:rPr>
          <w:rFonts w:ascii="David" w:hAnsi="David" w:cs="David" w:hint="cs"/>
          <w:sz w:val="24"/>
          <w:szCs w:val="24"/>
          <w:rtl/>
        </w:rPr>
        <w:tab/>
        <w:t>הנאשם לא הודה בביצוע העבירה ואף לא נטל אחריות. אכן, זכותו של נאשם לנהל משפט הוכחות, ואולם נאשם שמורשע לאחר ניהול משפט אינו זכאי להקלה בדינו כמי שמודה ונוטל אחריות. אכן, הנאשם זוכה מעבירה של סחר בסם והורשע תחתיה בעבירה של תיווך לסחר בסם, ובכך, לכאורה, ניהול המשפט על ידו היה מוצדק. ואולם, גדר הכפירה של הנאשם היה רחב ביותר והוא טען כי כלל לא שהה במתחם בעת ביצוע העבירה וכי העבירה נעברה על ידי אחר, זאת להבדיל מהודאה בעבירת תיווך ונטילת אחריות לגביה, תוך צמצום משמעותי של יריעת המחלוקת.</w:t>
      </w:r>
    </w:p>
    <w:p w14:paraId="4352A114" w14:textId="77777777" w:rsidR="001E16DE" w:rsidRDefault="00282E99">
      <w:pPr>
        <w:pStyle w:val="ListParagraph"/>
        <w:spacing w:after="0" w:line="360" w:lineRule="auto"/>
        <w:ind w:hanging="720"/>
        <w:jc w:val="both"/>
        <w:rPr>
          <w:rFonts w:ascii="David" w:hAnsi="David" w:cs="David"/>
          <w:sz w:val="24"/>
          <w:szCs w:val="24"/>
        </w:rPr>
      </w:pPr>
      <w:r>
        <w:rPr>
          <w:rFonts w:ascii="David" w:hAnsi="David" w:cs="David" w:hint="cs"/>
          <w:sz w:val="24"/>
          <w:szCs w:val="24"/>
          <w:rtl/>
        </w:rPr>
        <w:t>ג.</w:t>
      </w:r>
      <w:r>
        <w:rPr>
          <w:rFonts w:ascii="David" w:hAnsi="David" w:cs="David" w:hint="cs"/>
          <w:sz w:val="24"/>
          <w:szCs w:val="24"/>
          <w:rtl/>
        </w:rPr>
        <w:tab/>
        <w:t xml:space="preserve">אין להקיש מהעונשים שנגזרו על חסן (אחיו של הנאשם) ועל מהרן לעניינו. </w:t>
      </w:r>
      <w:r>
        <w:rPr>
          <w:rFonts w:ascii="David" w:hAnsi="David" w:cs="David" w:hint="cs"/>
          <w:sz w:val="24"/>
          <w:szCs w:val="24"/>
          <w:u w:val="single"/>
          <w:rtl/>
        </w:rPr>
        <w:t>ראשית</w:t>
      </w:r>
      <w:r>
        <w:rPr>
          <w:rFonts w:ascii="David" w:hAnsi="David" w:cs="David" w:hint="cs"/>
          <w:sz w:val="24"/>
          <w:szCs w:val="24"/>
          <w:rtl/>
        </w:rPr>
        <w:t xml:space="preserve">, גזרי הדין בעניינם כלל לא הוגשו לעיוני; </w:t>
      </w:r>
      <w:r>
        <w:rPr>
          <w:rFonts w:ascii="David" w:hAnsi="David" w:cs="David" w:hint="cs"/>
          <w:sz w:val="24"/>
          <w:szCs w:val="24"/>
          <w:u w:val="single"/>
          <w:rtl/>
        </w:rPr>
        <w:t>שנית</w:t>
      </w:r>
      <w:r>
        <w:rPr>
          <w:rFonts w:ascii="David" w:hAnsi="David" w:cs="David" w:hint="cs"/>
          <w:sz w:val="24"/>
          <w:szCs w:val="24"/>
          <w:rtl/>
        </w:rPr>
        <w:t>, הבינותי מטיעוני ב"כ הנאשם כי השניים הודו במיוחס להם, נטלו אחריות וחסכו זמן שיפוטי יקר; ו</w:t>
      </w:r>
      <w:r>
        <w:rPr>
          <w:rFonts w:ascii="David" w:hAnsi="David" w:cs="David" w:hint="cs"/>
          <w:sz w:val="24"/>
          <w:szCs w:val="24"/>
          <w:u w:val="single"/>
          <w:rtl/>
        </w:rPr>
        <w:t>שלישית</w:t>
      </w:r>
      <w:r>
        <w:rPr>
          <w:rFonts w:ascii="David" w:hAnsi="David" w:cs="David" w:hint="cs"/>
          <w:sz w:val="24"/>
          <w:szCs w:val="24"/>
          <w:rtl/>
        </w:rPr>
        <w:t>, חסן האח הודה במסגרת הסדר טיעון, ועונש שהוטל במסגרת הסדר טיעון, כידוע, אינו יכול לשמש אמת מידה עונשית.</w:t>
      </w:r>
    </w:p>
    <w:p w14:paraId="53FA51C2" w14:textId="77777777" w:rsidR="001E16DE" w:rsidRDefault="00282E99">
      <w:pPr>
        <w:pStyle w:val="ListParagraph"/>
        <w:spacing w:after="0" w:line="360" w:lineRule="auto"/>
        <w:ind w:hanging="720"/>
        <w:jc w:val="both"/>
        <w:rPr>
          <w:rFonts w:ascii="David" w:hAnsi="David" w:cs="David"/>
          <w:sz w:val="24"/>
          <w:szCs w:val="24"/>
          <w:rtl/>
        </w:rPr>
      </w:pPr>
      <w:r>
        <w:rPr>
          <w:rFonts w:ascii="David" w:hAnsi="David" w:cs="David" w:hint="cs"/>
          <w:sz w:val="24"/>
          <w:szCs w:val="24"/>
          <w:rtl/>
        </w:rPr>
        <w:t>ד.</w:t>
      </w:r>
      <w:r>
        <w:rPr>
          <w:rFonts w:ascii="David" w:hAnsi="David" w:cs="David" w:hint="cs"/>
          <w:sz w:val="24"/>
          <w:szCs w:val="24"/>
          <w:rtl/>
        </w:rPr>
        <w:tab/>
        <w:t>גם לעובדה כי הנאשם נתון בתנאים מגבילים בתקופת ניהול המשפט ינתן משקל מוגבל, שכן בסופו של יום שוחרר הנאשם ממעצרו ומשפטו הסתיים תוך זמן סביר (כתב האישום הוגש ביום 23.3.14).</w:t>
      </w:r>
    </w:p>
    <w:p w14:paraId="451F62FB" w14:textId="77777777" w:rsidR="001E16DE" w:rsidRDefault="001E16DE">
      <w:pPr>
        <w:pStyle w:val="ListParagraph"/>
        <w:spacing w:after="0" w:line="360" w:lineRule="auto"/>
        <w:ind w:hanging="720"/>
        <w:jc w:val="both"/>
        <w:rPr>
          <w:rFonts w:ascii="David" w:hAnsi="David" w:cs="David"/>
          <w:sz w:val="24"/>
          <w:szCs w:val="24"/>
        </w:rPr>
      </w:pPr>
    </w:p>
    <w:p w14:paraId="6025196A" w14:textId="77777777" w:rsidR="001E16DE" w:rsidRDefault="00282E99">
      <w:pPr>
        <w:spacing w:line="360" w:lineRule="auto"/>
        <w:jc w:val="both"/>
        <w:rPr>
          <w:rFonts w:ascii="David" w:hAnsi="David"/>
          <w:rtl/>
        </w:rPr>
      </w:pPr>
      <w:r>
        <w:rPr>
          <w:rFonts w:ascii="David" w:hAnsi="David" w:hint="cs"/>
          <w:rtl/>
        </w:rPr>
        <w:t>12.</w:t>
      </w:r>
      <w:r>
        <w:rPr>
          <w:rFonts w:ascii="David" w:hAnsi="David" w:hint="cs"/>
          <w:rtl/>
        </w:rPr>
        <w:tab/>
        <w:t>לאור האמור לעיל, ייקבע עונשו של הנאשם באזור מרכז המתחם שנקבע על ידי לעיל.</w:t>
      </w:r>
    </w:p>
    <w:p w14:paraId="0A4CD65F" w14:textId="77777777" w:rsidR="001E16DE" w:rsidRDefault="001E16DE">
      <w:pPr>
        <w:spacing w:line="360" w:lineRule="auto"/>
        <w:jc w:val="both"/>
        <w:rPr>
          <w:rFonts w:ascii="David" w:hAnsi="David"/>
          <w:rtl/>
        </w:rPr>
      </w:pPr>
    </w:p>
    <w:p w14:paraId="40C8AC57" w14:textId="77777777" w:rsidR="001E16DE" w:rsidRDefault="00282E99">
      <w:pPr>
        <w:spacing w:line="360" w:lineRule="auto"/>
        <w:jc w:val="both"/>
        <w:rPr>
          <w:rFonts w:ascii="David" w:hAnsi="David"/>
          <w:b/>
          <w:bCs/>
          <w:u w:val="single"/>
          <w:rtl/>
        </w:rPr>
      </w:pPr>
      <w:r>
        <w:rPr>
          <w:rFonts w:ascii="David" w:hAnsi="David" w:hint="cs"/>
          <w:b/>
          <w:bCs/>
          <w:u w:val="single"/>
          <w:rtl/>
        </w:rPr>
        <w:t>סוף דבר</w:t>
      </w:r>
    </w:p>
    <w:p w14:paraId="6D88576D" w14:textId="77777777" w:rsidR="001E16DE" w:rsidRDefault="00282E99">
      <w:pPr>
        <w:spacing w:line="360" w:lineRule="auto"/>
        <w:jc w:val="both"/>
        <w:rPr>
          <w:rFonts w:ascii="David" w:hAnsi="David"/>
          <w:rtl/>
        </w:rPr>
      </w:pPr>
      <w:r>
        <w:rPr>
          <w:rFonts w:ascii="David" w:hAnsi="David" w:hint="cs"/>
          <w:rtl/>
        </w:rPr>
        <w:t>13.</w:t>
      </w:r>
      <w:r>
        <w:rPr>
          <w:rFonts w:ascii="David" w:hAnsi="David" w:hint="cs"/>
          <w:rtl/>
        </w:rPr>
        <w:tab/>
        <w:t>אני גוזר על הנאשם את העונשים הבאים:</w:t>
      </w:r>
    </w:p>
    <w:p w14:paraId="228ED7ED" w14:textId="77777777" w:rsidR="001E16DE" w:rsidRDefault="001E16DE">
      <w:pPr>
        <w:spacing w:line="360" w:lineRule="auto"/>
        <w:jc w:val="both"/>
        <w:rPr>
          <w:rFonts w:ascii="David" w:hAnsi="David"/>
          <w:rtl/>
        </w:rPr>
      </w:pPr>
    </w:p>
    <w:p w14:paraId="5CFE6527" w14:textId="77777777" w:rsidR="001E16DE" w:rsidRDefault="00282E99">
      <w:pPr>
        <w:pStyle w:val="ListParagraph"/>
        <w:spacing w:after="0" w:line="360" w:lineRule="auto"/>
        <w:ind w:left="0" w:firstLine="720"/>
        <w:jc w:val="both"/>
        <w:rPr>
          <w:rFonts w:ascii="David" w:hAnsi="David" w:cs="David"/>
          <w:sz w:val="24"/>
          <w:szCs w:val="24"/>
        </w:rPr>
      </w:pPr>
      <w:r>
        <w:rPr>
          <w:rFonts w:ascii="David" w:hAnsi="David" w:cs="David" w:hint="cs"/>
          <w:sz w:val="24"/>
          <w:szCs w:val="24"/>
          <w:rtl/>
        </w:rPr>
        <w:t>א.</w:t>
      </w:r>
      <w:r>
        <w:rPr>
          <w:rFonts w:ascii="David" w:hAnsi="David" w:cs="David" w:hint="cs"/>
          <w:sz w:val="24"/>
          <w:szCs w:val="24"/>
          <w:rtl/>
        </w:rPr>
        <w:tab/>
        <w:t>7 חודשי מאסר בניכוי ימי מעצרו (מיום 15.3.14 ועד יום 10.6.14).</w:t>
      </w:r>
    </w:p>
    <w:p w14:paraId="267B8301" w14:textId="77777777" w:rsidR="001E16DE" w:rsidRDefault="00282E99">
      <w:pPr>
        <w:pStyle w:val="ListParagraph"/>
        <w:spacing w:after="0" w:line="360" w:lineRule="auto"/>
        <w:ind w:left="1440" w:hanging="720"/>
        <w:jc w:val="both"/>
        <w:rPr>
          <w:rFonts w:ascii="David" w:hAnsi="David" w:cs="David"/>
          <w:sz w:val="24"/>
          <w:szCs w:val="24"/>
        </w:rPr>
      </w:pPr>
      <w:r>
        <w:rPr>
          <w:rFonts w:ascii="David" w:hAnsi="David" w:cs="David" w:hint="cs"/>
          <w:sz w:val="24"/>
          <w:szCs w:val="24"/>
          <w:rtl/>
        </w:rPr>
        <w:t>ב.</w:t>
      </w:r>
      <w:r>
        <w:rPr>
          <w:rFonts w:ascii="David" w:hAnsi="David" w:cs="David" w:hint="cs"/>
          <w:sz w:val="24"/>
          <w:szCs w:val="24"/>
          <w:rtl/>
        </w:rPr>
        <w:tab/>
        <w:t>7 חודשי מאסר על תנאי למשך 3 שנים מיום שחרורו מהכלא, שלא יעבור עבירת פשע בניגוד ל</w:t>
      </w:r>
      <w:hyperlink r:id="rId22" w:history="1">
        <w:r w:rsidRPr="00282E99">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[נוסח חדש], תשל"ג-1973.</w:t>
      </w:r>
    </w:p>
    <w:p w14:paraId="6B5D7E2D" w14:textId="77777777" w:rsidR="001E16DE" w:rsidRDefault="00282E99">
      <w:pPr>
        <w:pStyle w:val="ListParagraph"/>
        <w:spacing w:after="0" w:line="360" w:lineRule="auto"/>
        <w:ind w:left="1440" w:hanging="720"/>
        <w:jc w:val="both"/>
        <w:rPr>
          <w:rFonts w:ascii="David" w:hAnsi="David" w:cs="David"/>
          <w:sz w:val="24"/>
          <w:szCs w:val="24"/>
        </w:rPr>
      </w:pPr>
      <w:r>
        <w:rPr>
          <w:rFonts w:ascii="David" w:hAnsi="David" w:cs="David" w:hint="cs"/>
          <w:sz w:val="24"/>
          <w:szCs w:val="24"/>
          <w:rtl/>
        </w:rPr>
        <w:t>ג.</w:t>
      </w:r>
      <w:r>
        <w:rPr>
          <w:rFonts w:ascii="David" w:hAnsi="David" w:cs="David" w:hint="cs"/>
          <w:sz w:val="24"/>
          <w:szCs w:val="24"/>
          <w:rtl/>
        </w:rPr>
        <w:tab/>
        <w:t>4 חודשי מאסר על תנאי למשך 3 שנים מיום שחרורו מהכלא, שלא יעבור עבירת עוון בניגוד ל</w:t>
      </w:r>
      <w:hyperlink r:id="rId23" w:history="1">
        <w:r w:rsidRPr="00282E99">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[נוסח חדש], תשל"ג-1973.</w:t>
      </w:r>
    </w:p>
    <w:p w14:paraId="7CBE62C1" w14:textId="77777777" w:rsidR="001E16DE" w:rsidRDefault="00282E99">
      <w:pPr>
        <w:pStyle w:val="ListParagraph"/>
        <w:spacing w:after="0" w:line="360" w:lineRule="auto"/>
        <w:ind w:left="1440" w:hanging="720"/>
        <w:jc w:val="both"/>
        <w:rPr>
          <w:rFonts w:ascii="David" w:hAnsi="David" w:cs="David"/>
          <w:sz w:val="24"/>
          <w:szCs w:val="24"/>
        </w:rPr>
      </w:pPr>
      <w:r>
        <w:rPr>
          <w:rFonts w:ascii="David" w:hAnsi="David" w:cs="David" w:hint="cs"/>
          <w:sz w:val="24"/>
          <w:szCs w:val="24"/>
          <w:rtl/>
        </w:rPr>
        <w:t>ד.</w:t>
      </w:r>
      <w:r>
        <w:rPr>
          <w:rFonts w:ascii="David" w:hAnsi="David" w:cs="David" w:hint="cs"/>
          <w:sz w:val="24"/>
          <w:szCs w:val="24"/>
          <w:rtl/>
        </w:rPr>
        <w:tab/>
        <w:t>קנס בסך 7,500 ₪ או 75 ימי מאסר תמורתו. הקנס ישולם עד ולא יאוחר מיום 1.5.15.</w:t>
      </w:r>
    </w:p>
    <w:p w14:paraId="2EDF8139" w14:textId="77777777" w:rsidR="001E16DE" w:rsidRDefault="001E16DE">
      <w:pPr>
        <w:spacing w:line="360" w:lineRule="auto"/>
        <w:jc w:val="both"/>
        <w:rPr>
          <w:rFonts w:ascii="David" w:hAnsi="David"/>
          <w:rtl/>
        </w:rPr>
      </w:pPr>
    </w:p>
    <w:p w14:paraId="4F6D2BF7" w14:textId="77777777" w:rsidR="001E16DE" w:rsidRDefault="00282E99">
      <w:pPr>
        <w:spacing w:line="360" w:lineRule="auto"/>
        <w:jc w:val="both"/>
        <w:rPr>
          <w:rFonts w:ascii="David" w:hAnsi="David"/>
          <w:rtl/>
        </w:rPr>
      </w:pPr>
      <w:r>
        <w:rPr>
          <w:rFonts w:ascii="David" w:hAnsi="David" w:hint="cs"/>
          <w:rtl/>
        </w:rPr>
        <w:t>14.</w:t>
      </w:r>
      <w:r>
        <w:rPr>
          <w:rFonts w:ascii="David" w:hAnsi="David" w:hint="cs"/>
          <w:rtl/>
        </w:rPr>
        <w:tab/>
        <w:t xml:space="preserve">על הנאשם להתייצב לריצוי מאסרו ביום 26.2.15 בשעה 10:00 בבית סוהר "הדרים" כשברשותו תעודת זהות או דרכון. על הנאשם לתאם את הכניסה למאסר, כולל אפשרות למיון מוקדם, עם ענף אבחון ומיון של שב"ס בטלפון </w:t>
      </w:r>
      <w:r>
        <w:rPr>
          <w:rFonts w:ascii="David" w:hAnsi="David"/>
          <w:rtl/>
        </w:rPr>
        <w:t>–</w:t>
      </w:r>
      <w:r>
        <w:rPr>
          <w:rFonts w:ascii="David" w:hAnsi="David" w:hint="cs"/>
          <w:rtl/>
        </w:rPr>
        <w:t xml:space="preserve"> 08-9787377; 08-9787336.</w:t>
      </w:r>
    </w:p>
    <w:p w14:paraId="2A3C8EC7" w14:textId="77777777" w:rsidR="001E16DE" w:rsidRDefault="001E16DE">
      <w:pPr>
        <w:spacing w:line="360" w:lineRule="auto"/>
        <w:jc w:val="both"/>
        <w:rPr>
          <w:rFonts w:ascii="David" w:hAnsi="David"/>
          <w:rtl/>
        </w:rPr>
      </w:pPr>
    </w:p>
    <w:p w14:paraId="703E3F48" w14:textId="77777777" w:rsidR="001E16DE" w:rsidRDefault="00282E99">
      <w:pPr>
        <w:spacing w:line="360" w:lineRule="auto"/>
        <w:jc w:val="both"/>
        <w:rPr>
          <w:rFonts w:ascii="David" w:hAnsi="David"/>
          <w:rtl/>
        </w:rPr>
      </w:pPr>
      <w:r>
        <w:rPr>
          <w:rFonts w:ascii="David" w:hAnsi="David" w:hint="cs"/>
          <w:rtl/>
        </w:rPr>
        <w:t>15.</w:t>
      </w:r>
      <w:r>
        <w:rPr>
          <w:rFonts w:ascii="David" w:hAnsi="David" w:hint="cs"/>
          <w:rtl/>
        </w:rPr>
        <w:tab/>
        <w:t>התנאים המגבילים בהם נתון הנאשם בגין תיק זה, ימשיכו לחול עד להתייצבותו של הנאשם למאסר, כאמור.</w:t>
      </w:r>
    </w:p>
    <w:p w14:paraId="1F0EA8F1" w14:textId="77777777" w:rsidR="001E16DE" w:rsidRDefault="001E16DE">
      <w:pPr>
        <w:spacing w:line="360" w:lineRule="auto"/>
        <w:jc w:val="both"/>
        <w:rPr>
          <w:rFonts w:ascii="David" w:hAnsi="David"/>
          <w:rtl/>
        </w:rPr>
      </w:pPr>
    </w:p>
    <w:p w14:paraId="1073DBBA" w14:textId="77777777" w:rsidR="001E16DE" w:rsidRDefault="00282E99">
      <w:pPr>
        <w:spacing w:line="360" w:lineRule="auto"/>
        <w:jc w:val="both"/>
        <w:rPr>
          <w:rFonts w:ascii="David" w:hAnsi="David"/>
          <w:rtl/>
        </w:rPr>
      </w:pPr>
      <w:r>
        <w:rPr>
          <w:rFonts w:ascii="David" w:hAnsi="David" w:hint="cs"/>
          <w:rtl/>
        </w:rPr>
        <w:t>16.</w:t>
      </w:r>
      <w:r>
        <w:rPr>
          <w:rFonts w:ascii="David" w:hAnsi="David" w:hint="cs"/>
          <w:rtl/>
        </w:rPr>
        <w:tab/>
        <w:t xml:space="preserve">ניתן בזאת צו כללי לענין המוצגים </w:t>
      </w:r>
      <w:r>
        <w:rPr>
          <w:rFonts w:ascii="David" w:hAnsi="David"/>
          <w:rtl/>
        </w:rPr>
        <w:t>–</w:t>
      </w:r>
      <w:r>
        <w:rPr>
          <w:rFonts w:ascii="David" w:hAnsi="David" w:hint="cs"/>
          <w:rtl/>
        </w:rPr>
        <w:t xml:space="preserve"> לשיקול דעת קצין משטרה מוסמך.</w:t>
      </w:r>
    </w:p>
    <w:p w14:paraId="47C12E8F" w14:textId="77777777" w:rsidR="001E16DE" w:rsidRDefault="00282E99">
      <w:pPr>
        <w:spacing w:line="360" w:lineRule="auto"/>
        <w:jc w:val="both"/>
        <w:rPr>
          <w:rFonts w:ascii="David" w:hAnsi="David"/>
          <w:rtl/>
        </w:rPr>
      </w:pPr>
      <w:r>
        <w:rPr>
          <w:rFonts w:ascii="David" w:hAnsi="David" w:hint="cs"/>
          <w:rtl/>
        </w:rPr>
        <w:t>ניתן בזאת עיכוב ביצוע שחרור התפוסים (כסף מזומן שנתפס בחזקת הנאשם) עד ליום 26.2.15.</w:t>
      </w:r>
    </w:p>
    <w:p w14:paraId="5924026F" w14:textId="77777777" w:rsidR="001E16DE" w:rsidRDefault="001E16DE">
      <w:pPr>
        <w:spacing w:line="360" w:lineRule="auto"/>
        <w:jc w:val="both"/>
        <w:rPr>
          <w:rFonts w:ascii="David" w:hAnsi="David"/>
          <w:rtl/>
        </w:rPr>
      </w:pPr>
    </w:p>
    <w:p w14:paraId="557E3809" w14:textId="77777777" w:rsidR="001E16DE" w:rsidRDefault="00282E99">
      <w:pPr>
        <w:spacing w:line="360" w:lineRule="auto"/>
        <w:jc w:val="both"/>
        <w:rPr>
          <w:rFonts w:ascii="David" w:hAnsi="David"/>
          <w:b/>
          <w:bCs/>
          <w:rtl/>
        </w:rPr>
      </w:pPr>
      <w:r>
        <w:rPr>
          <w:rFonts w:ascii="David" w:hAnsi="David" w:hint="cs"/>
          <w:b/>
          <w:bCs/>
          <w:rtl/>
        </w:rPr>
        <w:t>זכות ערעור לבית המשפט המחוזי מרכז בתוך 45 ימים.</w:t>
      </w:r>
    </w:p>
    <w:p w14:paraId="663897B2" w14:textId="77777777" w:rsidR="001E16DE" w:rsidRDefault="001E16DE">
      <w:pPr>
        <w:spacing w:line="360" w:lineRule="auto"/>
        <w:rPr>
          <w:rtl/>
        </w:rPr>
      </w:pPr>
    </w:p>
    <w:p w14:paraId="24206D1E" w14:textId="77777777" w:rsidR="001E16DE" w:rsidRDefault="001E16DE">
      <w:pPr>
        <w:spacing w:line="360" w:lineRule="auto"/>
        <w:rPr>
          <w:rtl/>
        </w:rPr>
      </w:pPr>
    </w:p>
    <w:p w14:paraId="0B06EF7E" w14:textId="77777777" w:rsidR="001E16DE" w:rsidRPr="00282E99" w:rsidRDefault="00282E99">
      <w:pPr>
        <w:spacing w:line="360" w:lineRule="auto"/>
        <w:rPr>
          <w:color w:val="FFFFFF"/>
          <w:sz w:val="2"/>
          <w:szCs w:val="2"/>
          <w:rtl/>
        </w:rPr>
      </w:pPr>
      <w:r w:rsidRPr="00282E99">
        <w:rPr>
          <w:color w:val="FFFFFF"/>
          <w:sz w:val="2"/>
          <w:szCs w:val="2"/>
          <w:rtl/>
        </w:rPr>
        <w:t>5129371</w:t>
      </w:r>
    </w:p>
    <w:p w14:paraId="241E7537" w14:textId="77777777" w:rsidR="001E16DE" w:rsidRDefault="00282E99">
      <w:pPr>
        <w:spacing w:line="360" w:lineRule="auto"/>
        <w:jc w:val="both"/>
        <w:rPr>
          <w:rFonts w:ascii="Arial" w:hAnsi="Arial"/>
          <w:rtl/>
        </w:rPr>
      </w:pPr>
      <w:r w:rsidRPr="00282E99">
        <w:rPr>
          <w:rFonts w:ascii="Arial" w:hAnsi="Arial"/>
          <w:color w:val="FFFFFF"/>
          <w:sz w:val="2"/>
          <w:szCs w:val="2"/>
          <w:rtl/>
        </w:rPr>
        <w:t>54678313</w:t>
      </w:r>
      <w:r>
        <w:rPr>
          <w:rFonts w:ascii="Arial" w:hAnsi="Arial"/>
          <w:rtl/>
        </w:rPr>
        <w:t xml:space="preserve">ניתן היום,  ו' שבט תשע"ה, 26 ינואר 2015, במעמד ב"כ המאשימה, הנאשם ובא כוחו. </w:t>
      </w:r>
    </w:p>
    <w:p w14:paraId="3F837A8C" w14:textId="77777777" w:rsidR="001E16DE" w:rsidRDefault="001E16DE">
      <w:pPr>
        <w:spacing w:line="360" w:lineRule="auto"/>
        <w:jc w:val="both"/>
        <w:rPr>
          <w:rFonts w:ascii="Arial" w:hAnsi="Arial"/>
          <w:rtl/>
        </w:rPr>
      </w:pPr>
    </w:p>
    <w:p w14:paraId="32013636" w14:textId="77777777" w:rsidR="001E16DE" w:rsidRDefault="001E16DE">
      <w:pPr>
        <w:spacing w:line="360" w:lineRule="auto"/>
        <w:jc w:val="both"/>
        <w:rPr>
          <w:rFonts w:ascii="Arial" w:hAnsi="Arial"/>
        </w:rPr>
      </w:pPr>
    </w:p>
    <w:p w14:paraId="738977ED" w14:textId="77777777" w:rsidR="001E16DE" w:rsidRDefault="00282E99">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BCAB5C8" w14:textId="77777777" w:rsidR="001E16DE" w:rsidRDefault="001E16DE">
      <w:pPr>
        <w:spacing w:line="360" w:lineRule="auto"/>
        <w:jc w:val="center"/>
        <w:rPr>
          <w:rFonts w:ascii="Arial" w:hAnsi="Arial"/>
          <w:sz w:val="28"/>
          <w:szCs w:val="28"/>
          <w:rtl/>
        </w:rPr>
      </w:pPr>
    </w:p>
    <w:p w14:paraId="2AACAF12" w14:textId="77777777" w:rsidR="00282E99" w:rsidRPr="00282E99" w:rsidRDefault="00282E99" w:rsidP="00282E99">
      <w:pPr>
        <w:keepNext/>
        <w:rPr>
          <w:rFonts w:ascii="David" w:hAnsi="David"/>
          <w:color w:val="000000"/>
          <w:sz w:val="22"/>
          <w:szCs w:val="22"/>
          <w:rtl/>
        </w:rPr>
      </w:pPr>
    </w:p>
    <w:p w14:paraId="3DC5114B" w14:textId="77777777" w:rsidR="00282E99" w:rsidRPr="00282E99" w:rsidRDefault="00282E99" w:rsidP="00282E99">
      <w:pPr>
        <w:keepNext/>
        <w:rPr>
          <w:rFonts w:ascii="David" w:hAnsi="David"/>
          <w:color w:val="000000"/>
          <w:sz w:val="22"/>
          <w:szCs w:val="22"/>
          <w:rtl/>
        </w:rPr>
      </w:pPr>
      <w:r w:rsidRPr="00282E99">
        <w:rPr>
          <w:rFonts w:ascii="David" w:hAnsi="David"/>
          <w:color w:val="000000"/>
          <w:sz w:val="22"/>
          <w:szCs w:val="22"/>
          <w:rtl/>
        </w:rPr>
        <w:t>אביב שרון 54678313</w:t>
      </w:r>
    </w:p>
    <w:p w14:paraId="4C353639" w14:textId="77777777" w:rsidR="00282E99" w:rsidRDefault="00282E99" w:rsidP="00282E99">
      <w:r w:rsidRPr="00282E99">
        <w:rPr>
          <w:color w:val="000000"/>
          <w:rtl/>
        </w:rPr>
        <w:t>נוסח מסמך זה כפוף לשינויי ניסוח ועריכה</w:t>
      </w:r>
    </w:p>
    <w:p w14:paraId="306E0997" w14:textId="77777777" w:rsidR="00282E99" w:rsidRDefault="00282E99" w:rsidP="00282E99">
      <w:pPr>
        <w:rPr>
          <w:rtl/>
        </w:rPr>
      </w:pPr>
    </w:p>
    <w:p w14:paraId="0872BA61" w14:textId="77777777" w:rsidR="00282E99" w:rsidRDefault="00282E99" w:rsidP="00282E99">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3464CA85" w14:textId="77777777" w:rsidR="001E16DE" w:rsidRDefault="001E16DE" w:rsidP="00282E99">
      <w:pPr>
        <w:jc w:val="center"/>
        <w:rPr>
          <w:rFonts w:hint="cs"/>
          <w:color w:val="0000FF"/>
          <w:u w:val="single"/>
          <w:rtl/>
        </w:rPr>
      </w:pPr>
    </w:p>
    <w:p w14:paraId="19BA1B66" w14:textId="77777777" w:rsidR="00D533F8" w:rsidRDefault="00D533F8" w:rsidP="00282E99">
      <w:pPr>
        <w:jc w:val="center"/>
        <w:rPr>
          <w:rFonts w:hint="cs"/>
          <w:color w:val="0000FF"/>
          <w:u w:val="single"/>
          <w:rtl/>
        </w:rPr>
      </w:pPr>
    </w:p>
    <w:p w14:paraId="13B9CBAF" w14:textId="77777777" w:rsidR="00D533F8" w:rsidRPr="00282E99" w:rsidRDefault="00D533F8" w:rsidP="00282E99">
      <w:pPr>
        <w:jc w:val="center"/>
        <w:rPr>
          <w:color w:val="0000FF"/>
          <w:u w:val="single"/>
        </w:rPr>
      </w:pPr>
    </w:p>
    <w:sectPr w:rsidR="00D533F8" w:rsidRPr="00282E99" w:rsidSect="00282E99">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7E8D6" w14:textId="77777777" w:rsidR="008F44AE" w:rsidRPr="005D6680" w:rsidRDefault="008F44AE">
      <w:pPr>
        <w:rPr>
          <w:rFonts w:cs="Arial"/>
          <w:szCs w:val="20"/>
        </w:rPr>
      </w:pPr>
      <w:r>
        <w:separator/>
      </w:r>
    </w:p>
  </w:endnote>
  <w:endnote w:type="continuationSeparator" w:id="0">
    <w:p w14:paraId="04A05C0F" w14:textId="77777777" w:rsidR="008F44AE" w:rsidRPr="005D6680" w:rsidRDefault="008F44A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F68EE" w14:textId="77777777" w:rsidR="008F44AE" w:rsidRDefault="008F44AE" w:rsidP="00282E9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D1934EB" w14:textId="77777777" w:rsidR="008F44AE" w:rsidRPr="00282E99" w:rsidRDefault="008F44AE" w:rsidP="00282E99">
    <w:pPr>
      <w:pStyle w:val="a4"/>
      <w:pBdr>
        <w:top w:val="single" w:sz="4" w:space="1" w:color="auto"/>
        <w:between w:val="single" w:sz="4" w:space="0" w:color="auto"/>
      </w:pBdr>
      <w:spacing w:after="60"/>
      <w:jc w:val="center"/>
      <w:rPr>
        <w:rFonts w:ascii="FrankRuehl" w:hAnsi="FrankRuehl" w:cs="FrankRuehl"/>
        <w:color w:val="000000"/>
      </w:rPr>
    </w:pPr>
    <w:r w:rsidRPr="00282E9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84098" w14:textId="77777777" w:rsidR="008F44AE" w:rsidRDefault="008F44AE" w:rsidP="00282E9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F2F18">
      <w:rPr>
        <w:rFonts w:ascii="FrankRuehl" w:hAnsi="FrankRuehl" w:cs="FrankRuehl"/>
        <w:noProof/>
        <w:rtl/>
      </w:rPr>
      <w:t>1</w:t>
    </w:r>
    <w:r>
      <w:rPr>
        <w:rFonts w:ascii="FrankRuehl" w:hAnsi="FrankRuehl" w:cs="FrankRuehl"/>
        <w:rtl/>
      </w:rPr>
      <w:fldChar w:fldCharType="end"/>
    </w:r>
  </w:p>
  <w:p w14:paraId="35C2E1A8" w14:textId="77777777" w:rsidR="008F44AE" w:rsidRPr="00282E99" w:rsidRDefault="008F44AE" w:rsidP="00282E99">
    <w:pPr>
      <w:pStyle w:val="a4"/>
      <w:pBdr>
        <w:top w:val="single" w:sz="4" w:space="1" w:color="auto"/>
        <w:between w:val="single" w:sz="4" w:space="0" w:color="auto"/>
      </w:pBdr>
      <w:spacing w:after="60"/>
      <w:jc w:val="center"/>
      <w:rPr>
        <w:rFonts w:ascii="FrankRuehl" w:hAnsi="FrankRuehl" w:cs="FrankRuehl"/>
        <w:color w:val="000000"/>
      </w:rPr>
    </w:pPr>
    <w:r w:rsidRPr="00282E99">
      <w:rPr>
        <w:rFonts w:ascii="FrankRuehl" w:hAnsi="FrankRuehl" w:cs="FrankRuehl"/>
        <w:color w:val="000000"/>
      </w:rPr>
      <w:pict w14:anchorId="708EDA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D966F" w14:textId="77777777" w:rsidR="008F44AE" w:rsidRPr="005D6680" w:rsidRDefault="008F44AE">
      <w:pPr>
        <w:rPr>
          <w:rFonts w:cs="Arial"/>
          <w:szCs w:val="20"/>
        </w:rPr>
      </w:pPr>
      <w:r>
        <w:separator/>
      </w:r>
    </w:p>
  </w:footnote>
  <w:footnote w:type="continuationSeparator" w:id="0">
    <w:p w14:paraId="7E28DF77" w14:textId="77777777" w:rsidR="008F44AE" w:rsidRPr="005D6680" w:rsidRDefault="008F44A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D5DA7" w14:textId="77777777" w:rsidR="008F44AE" w:rsidRPr="00282E99" w:rsidRDefault="008F44AE" w:rsidP="00282E9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43556-03-14</w:t>
    </w:r>
    <w:r>
      <w:rPr>
        <w:rFonts w:ascii="David" w:hAnsi="David"/>
        <w:color w:val="000000"/>
        <w:sz w:val="22"/>
        <w:szCs w:val="22"/>
        <w:rtl/>
      </w:rPr>
      <w:tab/>
      <w:t xml:space="preserve"> מדינת ישראל שלוחת תביעות כפר-סבא נ' בסאם גאבר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D291B" w14:textId="77777777" w:rsidR="008F44AE" w:rsidRPr="00282E99" w:rsidRDefault="008F44AE" w:rsidP="00282E9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43556-03-14</w:t>
    </w:r>
    <w:r>
      <w:rPr>
        <w:rFonts w:ascii="David" w:hAnsi="David"/>
        <w:color w:val="000000"/>
        <w:sz w:val="22"/>
        <w:szCs w:val="22"/>
        <w:rtl/>
      </w:rPr>
      <w:tab/>
      <w:t xml:space="preserve"> מדינת ישראל שלוחת תביעות כפר-סבא נ' בסאם גאבר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E16DE"/>
    <w:rsid w:val="00000452"/>
    <w:rsid w:val="000861FD"/>
    <w:rsid w:val="001E16DE"/>
    <w:rsid w:val="00282E99"/>
    <w:rsid w:val="007E41F9"/>
    <w:rsid w:val="008F0FC7"/>
    <w:rsid w:val="008F2F18"/>
    <w:rsid w:val="008F44AE"/>
    <w:rsid w:val="008F60F1"/>
    <w:rsid w:val="00940467"/>
    <w:rsid w:val="00D533F8"/>
    <w:rsid w:val="00EF2F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A716B38"/>
  <w15:chartTrackingRefBased/>
  <w15:docId w15:val="{79D874A3-D0A8-4A4A-907F-0DE17E7D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16DE"/>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E16DE"/>
    <w:pPr>
      <w:tabs>
        <w:tab w:val="center" w:pos="4153"/>
        <w:tab w:val="right" w:pos="8306"/>
      </w:tabs>
    </w:pPr>
  </w:style>
  <w:style w:type="paragraph" w:styleId="a4">
    <w:name w:val="footer"/>
    <w:basedOn w:val="a"/>
    <w:rsid w:val="001E16DE"/>
    <w:pPr>
      <w:tabs>
        <w:tab w:val="center" w:pos="4153"/>
        <w:tab w:val="right" w:pos="8306"/>
      </w:tabs>
    </w:pPr>
  </w:style>
  <w:style w:type="character" w:styleId="a5">
    <w:name w:val="page number"/>
    <w:basedOn w:val="a0"/>
    <w:rsid w:val="001E16DE"/>
  </w:style>
  <w:style w:type="paragraph" w:customStyle="1" w:styleId="ListParagraph">
    <w:name w:val="List Paragraph"/>
    <w:basedOn w:val="a"/>
    <w:rsid w:val="001E16DE"/>
    <w:pPr>
      <w:spacing w:after="160" w:line="259" w:lineRule="auto"/>
      <w:ind w:left="720"/>
      <w:contextualSpacing/>
    </w:pPr>
    <w:rPr>
      <w:rFonts w:ascii="Calibri" w:eastAsia="Calibri" w:hAnsi="Calibri" w:cs="Arial"/>
      <w:sz w:val="22"/>
      <w:szCs w:val="22"/>
    </w:rPr>
  </w:style>
  <w:style w:type="character" w:styleId="Hyperlink">
    <w:name w:val="Hyperlink"/>
    <w:rsid w:val="00282E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a" TargetMode="External"/><Relationship Id="rId13" Type="http://schemas.openxmlformats.org/officeDocument/2006/relationships/hyperlink" Target="http://www.nevo.co.il/law/4216/36a.b" TargetMode="External"/><Relationship Id="rId18" Type="http://schemas.openxmlformats.org/officeDocument/2006/relationships/hyperlink" Target="http://www.nevo.co.il/law/4216"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case/5580841" TargetMode="External"/><Relationship Id="rId7" Type="http://schemas.openxmlformats.org/officeDocument/2006/relationships/hyperlink" Target="http://www.nevo.co.il/law/4216/14" TargetMode="External"/><Relationship Id="rId12" Type="http://schemas.openxmlformats.org/officeDocument/2006/relationships/hyperlink" Target="http://www.nevo.co.il/law/4216" TargetMode="External"/><Relationship Id="rId17" Type="http://schemas.openxmlformats.org/officeDocument/2006/relationships/hyperlink" Target="http://www.nevo.co.il/case/6028537"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case/5583030" TargetMode="External"/><Relationship Id="rId20" Type="http://schemas.openxmlformats.org/officeDocument/2006/relationships/hyperlink" Target="http://www.nevo.co.il/case/5698919"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9a"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case/8488932" TargetMode="External"/><Relationship Id="rId23" Type="http://schemas.openxmlformats.org/officeDocument/2006/relationships/hyperlink" Target="http://www.nevo.co.il/law/4216" TargetMode="External"/><Relationship Id="rId28" Type="http://schemas.openxmlformats.org/officeDocument/2006/relationships/footer" Target="footer2.xml"/><Relationship Id="rId10" Type="http://schemas.openxmlformats.org/officeDocument/2006/relationships/hyperlink" Target="http://www.nevo.co.il/law/4216/14" TargetMode="External"/><Relationship Id="rId19" Type="http://schemas.openxmlformats.org/officeDocument/2006/relationships/hyperlink" Target="http://www.nevo.co.il/case/5816428" TargetMode="External"/><Relationship Id="rId4" Type="http://schemas.openxmlformats.org/officeDocument/2006/relationships/footnotes" Target="footnotes.xml"/><Relationship Id="rId9" Type="http://schemas.openxmlformats.org/officeDocument/2006/relationships/hyperlink" Target="http://www.nevo.co.il/law/4216/36a.b"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2198</Words>
  <Characters>10993</Characters>
  <Application>Microsoft Office Word</Application>
  <DocSecurity>0</DocSecurity>
  <Lines>91</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13165</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3407989</vt:i4>
      </vt:variant>
      <vt:variant>
        <vt:i4>45</vt:i4>
      </vt:variant>
      <vt:variant>
        <vt:i4>0</vt:i4>
      </vt:variant>
      <vt:variant>
        <vt:i4>5</vt:i4>
      </vt:variant>
      <vt:variant>
        <vt:lpwstr>http://www.nevo.co.il/case/5580841</vt:lpwstr>
      </vt:variant>
      <vt:variant>
        <vt:lpwstr/>
      </vt:variant>
      <vt:variant>
        <vt:i4>3932283</vt:i4>
      </vt:variant>
      <vt:variant>
        <vt:i4>42</vt:i4>
      </vt:variant>
      <vt:variant>
        <vt:i4>0</vt:i4>
      </vt:variant>
      <vt:variant>
        <vt:i4>5</vt:i4>
      </vt:variant>
      <vt:variant>
        <vt:lpwstr>http://www.nevo.co.il/case/5698919</vt:lpwstr>
      </vt:variant>
      <vt:variant>
        <vt:lpwstr/>
      </vt:variant>
      <vt:variant>
        <vt:i4>3670136</vt:i4>
      </vt:variant>
      <vt:variant>
        <vt:i4>39</vt:i4>
      </vt:variant>
      <vt:variant>
        <vt:i4>0</vt:i4>
      </vt:variant>
      <vt:variant>
        <vt:i4>5</vt:i4>
      </vt:variant>
      <vt:variant>
        <vt:lpwstr>http://www.nevo.co.il/case/5816428</vt:lpwstr>
      </vt:variant>
      <vt:variant>
        <vt:lpwstr/>
      </vt:variant>
      <vt:variant>
        <vt:i4>8257637</vt:i4>
      </vt:variant>
      <vt:variant>
        <vt:i4>36</vt:i4>
      </vt:variant>
      <vt:variant>
        <vt:i4>0</vt:i4>
      </vt:variant>
      <vt:variant>
        <vt:i4>5</vt:i4>
      </vt:variant>
      <vt:variant>
        <vt:lpwstr>http://www.nevo.co.il/law/4216</vt:lpwstr>
      </vt:variant>
      <vt:variant>
        <vt:lpwstr/>
      </vt:variant>
      <vt:variant>
        <vt:i4>3539071</vt:i4>
      </vt:variant>
      <vt:variant>
        <vt:i4>33</vt:i4>
      </vt:variant>
      <vt:variant>
        <vt:i4>0</vt:i4>
      </vt:variant>
      <vt:variant>
        <vt:i4>5</vt:i4>
      </vt:variant>
      <vt:variant>
        <vt:lpwstr>http://www.nevo.co.il/case/6028537</vt:lpwstr>
      </vt:variant>
      <vt:variant>
        <vt:lpwstr/>
      </vt:variant>
      <vt:variant>
        <vt:i4>3997809</vt:i4>
      </vt:variant>
      <vt:variant>
        <vt:i4>30</vt:i4>
      </vt:variant>
      <vt:variant>
        <vt:i4>0</vt:i4>
      </vt:variant>
      <vt:variant>
        <vt:i4>5</vt:i4>
      </vt:variant>
      <vt:variant>
        <vt:lpwstr>http://www.nevo.co.il/case/5583030</vt:lpwstr>
      </vt:variant>
      <vt:variant>
        <vt:lpwstr/>
      </vt:variant>
      <vt:variant>
        <vt:i4>3866747</vt:i4>
      </vt:variant>
      <vt:variant>
        <vt:i4>27</vt:i4>
      </vt:variant>
      <vt:variant>
        <vt:i4>0</vt:i4>
      </vt:variant>
      <vt:variant>
        <vt:i4>5</vt:i4>
      </vt:variant>
      <vt:variant>
        <vt:lpwstr>http://www.nevo.co.il/case/8488932</vt:lpwstr>
      </vt:variant>
      <vt:variant>
        <vt:lpwstr/>
      </vt:variant>
      <vt:variant>
        <vt:i4>8257637</vt:i4>
      </vt:variant>
      <vt:variant>
        <vt:i4>24</vt:i4>
      </vt:variant>
      <vt:variant>
        <vt:i4>0</vt:i4>
      </vt:variant>
      <vt:variant>
        <vt:i4>5</vt:i4>
      </vt:variant>
      <vt:variant>
        <vt:lpwstr>http://www.nevo.co.il/law/4216</vt:lpwstr>
      </vt:variant>
      <vt:variant>
        <vt:lpwstr/>
      </vt:variant>
      <vt:variant>
        <vt:i4>5111890</vt:i4>
      </vt:variant>
      <vt:variant>
        <vt:i4>21</vt:i4>
      </vt:variant>
      <vt:variant>
        <vt:i4>0</vt:i4>
      </vt:variant>
      <vt:variant>
        <vt:i4>5</vt:i4>
      </vt:variant>
      <vt:variant>
        <vt:lpwstr>http://www.nevo.co.il/law/4216/36a.b</vt:lpwstr>
      </vt:variant>
      <vt:variant>
        <vt:lpwstr/>
      </vt:variant>
      <vt:variant>
        <vt:i4>8257637</vt:i4>
      </vt:variant>
      <vt:variant>
        <vt:i4>18</vt:i4>
      </vt:variant>
      <vt:variant>
        <vt:i4>0</vt:i4>
      </vt:variant>
      <vt:variant>
        <vt:i4>5</vt:i4>
      </vt:variant>
      <vt:variant>
        <vt:lpwstr>http://www.nevo.co.il/law/4216</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http://www.nevo.co.il/law/4216/14</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http://www.nevo.co.il/law/4216/14</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2025-04-22T22:16:00Z</dcterms:created>
  <dcterms:modified xsi:type="dcterms:W3CDTF">2025-04-22T22:16:00Z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43556</vt:lpwstr>
  </property>
  <property fmtid="{D5CDD505-2E9C-101B-9397-08002B2CF9AE}" pid="6" name="NEWPARTB">
    <vt:lpwstr>03</vt:lpwstr>
  </property>
  <property fmtid="{D5CDD505-2E9C-101B-9397-08002B2CF9AE}" pid="7" name="NEWPARTC">
    <vt:lpwstr>14</vt:lpwstr>
  </property>
  <property fmtid="{D5CDD505-2E9C-101B-9397-08002B2CF9AE}" pid="8" name="APPELLANT">
    <vt:lpwstr>מדינת ישראל שלוחת תביעות כפר-סבא</vt:lpwstr>
  </property>
  <property fmtid="{D5CDD505-2E9C-101B-9397-08002B2CF9AE}" pid="9" name="APPELLEE">
    <vt:lpwstr>בסאם גאבר</vt:lpwstr>
  </property>
  <property fmtid="{D5CDD505-2E9C-101B-9397-08002B2CF9AE}" pid="10" name="LAWYER">
    <vt:lpwstr>אריאל אודרברג;שי טובים</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20150126</vt:lpwstr>
  </property>
  <property fmtid="{D5CDD505-2E9C-101B-9397-08002B2CF9AE}" pid="14" name="TYPE_N_DATE">
    <vt:lpwstr>38020150126</vt:lpwstr>
  </property>
  <property fmtid="{D5CDD505-2E9C-101B-9397-08002B2CF9AE}" pid="15" name="WORDNUMPAGES">
    <vt:lpwstr>7</vt:lpwstr>
  </property>
  <property fmtid="{D5CDD505-2E9C-101B-9397-08002B2CF9AE}" pid="16" name="TYPE_ABS_DATE">
    <vt:lpwstr>380020150126</vt:lpwstr>
  </property>
  <property fmtid="{D5CDD505-2E9C-101B-9397-08002B2CF9AE}" pid="17" name="ISABSTRACT">
    <vt:lpwstr>Y</vt:lpwstr>
  </property>
  <property fmtid="{D5CDD505-2E9C-101B-9397-08002B2CF9AE}" pid="18" name="CASESLISTTMP1">
    <vt:lpwstr>8488932;5583030;6028537;5816428;5698919;5580841</vt:lpwstr>
  </property>
  <property fmtid="{D5CDD505-2E9C-101B-9397-08002B2CF9AE}" pid="19" name="LAWLISTTMP1">
    <vt:lpwstr>4216/014;019a;036a.b</vt:lpwstr>
  </property>
</Properties>
</file>