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D1BA6" w:rsidRPr="00CD3B39" w14:paraId="0FB87BF6" w14:textId="77777777">
        <w:trPr>
          <w:trHeight w:hRule="exact" w:val="418"/>
          <w:jc w:val="center"/>
        </w:trPr>
        <w:tc>
          <w:tcPr>
            <w:tcW w:w="8721" w:type="dxa"/>
            <w:gridSpan w:val="2"/>
          </w:tcPr>
          <w:p w14:paraId="1D48DFA5" w14:textId="77777777" w:rsidR="008D1BA6" w:rsidRPr="00CD3B39" w:rsidRDefault="00CD3B39">
            <w:pPr>
              <w:pStyle w:val="a3"/>
              <w:jc w:val="center"/>
              <w:rPr>
                <w:rFonts w:ascii="Tahoma" w:hAnsi="Tahoma" w:cs="Tahoma"/>
                <w:color w:val="000080"/>
                <w:rtl/>
              </w:rPr>
            </w:pPr>
            <w:bookmarkStart w:id="0" w:name="LastJudge"/>
            <w:r w:rsidRPr="00CD3B39">
              <w:rPr>
                <w:rFonts w:ascii="Tahoma" w:hAnsi="Tahoma" w:cs="Tahoma"/>
                <w:b/>
                <w:bCs/>
                <w:color w:val="000080"/>
                <w:rtl/>
              </w:rPr>
              <w:t>בית משפט השלום ברחובות</w:t>
            </w:r>
          </w:p>
        </w:tc>
      </w:tr>
      <w:tr w:rsidR="008D1BA6" w:rsidRPr="00CD3B39" w14:paraId="72C4B1E0" w14:textId="77777777">
        <w:trPr>
          <w:trHeight w:val="337"/>
          <w:jc w:val="center"/>
        </w:trPr>
        <w:tc>
          <w:tcPr>
            <w:tcW w:w="5054" w:type="dxa"/>
          </w:tcPr>
          <w:p w14:paraId="337836A1" w14:textId="77777777" w:rsidR="008D1BA6" w:rsidRPr="00CD3B39" w:rsidRDefault="00CD3B39">
            <w:pPr>
              <w:rPr>
                <w:rFonts w:cs="FrankRuehl"/>
                <w:sz w:val="28"/>
                <w:szCs w:val="28"/>
                <w:rtl/>
              </w:rPr>
            </w:pPr>
            <w:r w:rsidRPr="00CD3B39">
              <w:rPr>
                <w:rFonts w:cs="FrankRuehl"/>
                <w:sz w:val="28"/>
                <w:szCs w:val="28"/>
                <w:rtl/>
              </w:rPr>
              <w:t>ת"פ</w:t>
            </w:r>
            <w:r w:rsidRPr="00CD3B39">
              <w:rPr>
                <w:rFonts w:cs="FrankRuehl" w:hint="cs"/>
                <w:sz w:val="28"/>
                <w:szCs w:val="28"/>
                <w:rtl/>
              </w:rPr>
              <w:t xml:space="preserve"> </w:t>
            </w:r>
            <w:r w:rsidRPr="00CD3B39">
              <w:rPr>
                <w:rFonts w:cs="FrankRuehl"/>
                <w:sz w:val="28"/>
                <w:szCs w:val="28"/>
                <w:rtl/>
              </w:rPr>
              <w:t>262-04-14</w:t>
            </w:r>
            <w:r w:rsidRPr="00CD3B39">
              <w:rPr>
                <w:rFonts w:cs="FrankRuehl" w:hint="cs"/>
                <w:sz w:val="28"/>
                <w:szCs w:val="28"/>
                <w:rtl/>
              </w:rPr>
              <w:t xml:space="preserve"> </w:t>
            </w:r>
            <w:r w:rsidRPr="00CD3B39">
              <w:rPr>
                <w:rFonts w:cs="FrankRuehl"/>
                <w:sz w:val="28"/>
                <w:szCs w:val="28"/>
                <w:rtl/>
              </w:rPr>
              <w:t>מדינת ישראל נ' הרוש</w:t>
            </w:r>
          </w:p>
          <w:p w14:paraId="25D4830D" w14:textId="77777777" w:rsidR="008D1BA6" w:rsidRPr="00CD3B39" w:rsidRDefault="008D1BA6">
            <w:pPr>
              <w:pStyle w:val="a3"/>
              <w:rPr>
                <w:rFonts w:cs="FrankRuehl"/>
                <w:sz w:val="28"/>
                <w:szCs w:val="28"/>
                <w:rtl/>
              </w:rPr>
            </w:pPr>
          </w:p>
        </w:tc>
        <w:tc>
          <w:tcPr>
            <w:tcW w:w="3667" w:type="dxa"/>
          </w:tcPr>
          <w:p w14:paraId="64B444EA" w14:textId="77777777" w:rsidR="008D1BA6" w:rsidRPr="00CD3B39" w:rsidRDefault="008D1BA6">
            <w:pPr>
              <w:pStyle w:val="a3"/>
              <w:jc w:val="right"/>
              <w:rPr>
                <w:rFonts w:cs="FrankRuehl"/>
                <w:sz w:val="28"/>
                <w:szCs w:val="28"/>
                <w:rtl/>
              </w:rPr>
            </w:pPr>
          </w:p>
        </w:tc>
      </w:tr>
    </w:tbl>
    <w:p w14:paraId="7EE8DBA7" w14:textId="77777777" w:rsidR="008D1BA6" w:rsidRPr="00CD3B39" w:rsidRDefault="00CD3B39">
      <w:pPr>
        <w:pStyle w:val="a3"/>
        <w:rPr>
          <w:rtl/>
        </w:rPr>
      </w:pPr>
      <w:r w:rsidRPr="00CD3B39">
        <w:rPr>
          <w:rFonts w:hint="cs"/>
          <w:rtl/>
        </w:rPr>
        <w:t xml:space="preserve"> </w:t>
      </w:r>
    </w:p>
    <w:p w14:paraId="463F8A7B" w14:textId="77777777" w:rsidR="008D1BA6" w:rsidRPr="00CD3B39" w:rsidRDefault="008D1BA6">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D1BA6" w:rsidRPr="00CD3B39" w14:paraId="1EC4960C" w14:textId="77777777">
        <w:trPr>
          <w:trHeight w:val="295"/>
          <w:jc w:val="center"/>
        </w:trPr>
        <w:tc>
          <w:tcPr>
            <w:tcW w:w="923" w:type="dxa"/>
            <w:tcBorders>
              <w:top w:val="nil"/>
              <w:left w:val="nil"/>
              <w:bottom w:val="nil"/>
              <w:right w:val="nil"/>
            </w:tcBorders>
          </w:tcPr>
          <w:p w14:paraId="0EB0716B" w14:textId="77777777" w:rsidR="008D1BA6" w:rsidRPr="00CD3B39" w:rsidRDefault="00CD3B39">
            <w:pPr>
              <w:spacing w:line="360" w:lineRule="auto"/>
              <w:jc w:val="both"/>
              <w:rPr>
                <w:rFonts w:ascii="Arial" w:hAnsi="Arial" w:cs="FrankRuehl"/>
                <w:b/>
                <w:bCs/>
                <w:sz w:val="28"/>
                <w:szCs w:val="28"/>
              </w:rPr>
            </w:pPr>
            <w:r w:rsidRPr="00CD3B39">
              <w:rPr>
                <w:rFonts w:ascii="Arial" w:hAnsi="Arial" w:cs="FrankRuehl" w:hint="cs"/>
                <w:b/>
                <w:bCs/>
                <w:sz w:val="28"/>
                <w:szCs w:val="28"/>
                <w:rtl/>
              </w:rPr>
              <w:t>ב</w:t>
            </w:r>
            <w:r w:rsidRPr="00CD3B39">
              <w:rPr>
                <w:rFonts w:ascii="Arial" w:hAnsi="Arial" w:cs="FrankRuehl"/>
                <w:b/>
                <w:bCs/>
                <w:sz w:val="28"/>
                <w:szCs w:val="28"/>
                <w:rtl/>
              </w:rPr>
              <w:t xml:space="preserve">פני </w:t>
            </w:r>
          </w:p>
        </w:tc>
        <w:tc>
          <w:tcPr>
            <w:tcW w:w="7897" w:type="dxa"/>
            <w:gridSpan w:val="2"/>
            <w:tcBorders>
              <w:top w:val="nil"/>
              <w:left w:val="nil"/>
              <w:bottom w:val="nil"/>
              <w:right w:val="nil"/>
            </w:tcBorders>
          </w:tcPr>
          <w:p w14:paraId="21FBDC75" w14:textId="77777777" w:rsidR="008D1BA6" w:rsidRPr="00CD3B39" w:rsidRDefault="00CD3B39">
            <w:pPr>
              <w:spacing w:line="360" w:lineRule="auto"/>
              <w:jc w:val="both"/>
              <w:rPr>
                <w:rFonts w:ascii="Arial" w:hAnsi="Arial"/>
                <w:b/>
                <w:bCs/>
                <w:rtl/>
              </w:rPr>
            </w:pPr>
            <w:r w:rsidRPr="00CD3B39">
              <w:rPr>
                <w:rFonts w:ascii="Arial" w:hAnsi="Arial" w:hint="cs"/>
                <w:b/>
                <w:bCs/>
                <w:rtl/>
              </w:rPr>
              <w:t>כב' ה</w:t>
            </w:r>
            <w:r w:rsidRPr="00CD3B39">
              <w:rPr>
                <w:rFonts w:hint="cs"/>
                <w:b/>
                <w:bCs/>
                <w:rtl/>
              </w:rPr>
              <w:t>סגנית נשיאה</w:t>
            </w:r>
            <w:r w:rsidRPr="00CD3B39">
              <w:rPr>
                <w:rFonts w:ascii="Arial" w:hAnsi="Arial" w:hint="cs"/>
                <w:b/>
                <w:bCs/>
                <w:rtl/>
              </w:rPr>
              <w:t xml:space="preserve">  </w:t>
            </w:r>
            <w:r w:rsidRPr="00CD3B39">
              <w:rPr>
                <w:rFonts w:hint="cs"/>
                <w:b/>
                <w:bCs/>
                <w:rtl/>
              </w:rPr>
              <w:t>עינת רון</w:t>
            </w:r>
          </w:p>
          <w:p w14:paraId="56452C06" w14:textId="77777777" w:rsidR="008D1BA6" w:rsidRPr="00CD3B39" w:rsidRDefault="008D1BA6">
            <w:pPr>
              <w:spacing w:line="360" w:lineRule="auto"/>
              <w:jc w:val="both"/>
              <w:rPr>
                <w:b/>
                <w:bCs/>
                <w:rtl/>
              </w:rPr>
            </w:pPr>
          </w:p>
          <w:p w14:paraId="36B6D2DF" w14:textId="77777777" w:rsidR="008D1BA6" w:rsidRPr="00CD3B39" w:rsidRDefault="008D1BA6">
            <w:pPr>
              <w:spacing w:line="360" w:lineRule="auto"/>
              <w:jc w:val="both"/>
              <w:rPr>
                <w:rFonts w:ascii="Arial" w:hAnsi="Arial" w:cs="FrankRuehl"/>
                <w:b/>
                <w:bCs/>
                <w:sz w:val="28"/>
                <w:szCs w:val="28"/>
              </w:rPr>
            </w:pPr>
          </w:p>
        </w:tc>
      </w:tr>
      <w:tr w:rsidR="008D1BA6" w:rsidRPr="00CD3B39" w14:paraId="08DA47F9" w14:textId="77777777">
        <w:trPr>
          <w:trHeight w:val="355"/>
          <w:jc w:val="center"/>
        </w:trPr>
        <w:tc>
          <w:tcPr>
            <w:tcW w:w="923" w:type="dxa"/>
            <w:tcBorders>
              <w:top w:val="nil"/>
              <w:left w:val="nil"/>
              <w:bottom w:val="nil"/>
              <w:right w:val="nil"/>
            </w:tcBorders>
          </w:tcPr>
          <w:p w14:paraId="76BD0673" w14:textId="77777777" w:rsidR="008D1BA6" w:rsidRPr="00CD3B39" w:rsidRDefault="00CD3B39">
            <w:pPr>
              <w:spacing w:line="360" w:lineRule="auto"/>
              <w:jc w:val="both"/>
              <w:rPr>
                <w:rFonts w:ascii="Arial" w:hAnsi="Arial" w:cs="FrankRuehl"/>
                <w:b/>
                <w:bCs/>
                <w:sz w:val="28"/>
                <w:szCs w:val="28"/>
              </w:rPr>
            </w:pPr>
            <w:bookmarkStart w:id="1" w:name="FirstAppellant"/>
            <w:r w:rsidRPr="00CD3B39">
              <w:rPr>
                <w:rFonts w:ascii="Arial" w:hAnsi="Arial" w:cs="FrankRuehl" w:hint="cs"/>
                <w:b/>
                <w:bCs/>
                <w:sz w:val="28"/>
                <w:szCs w:val="28"/>
                <w:rtl/>
              </w:rPr>
              <w:t>בעניין:</w:t>
            </w:r>
          </w:p>
        </w:tc>
        <w:tc>
          <w:tcPr>
            <w:tcW w:w="4126" w:type="dxa"/>
            <w:tcBorders>
              <w:top w:val="nil"/>
              <w:left w:val="nil"/>
              <w:bottom w:val="nil"/>
              <w:right w:val="nil"/>
            </w:tcBorders>
          </w:tcPr>
          <w:p w14:paraId="4CAD5D8B" w14:textId="77777777" w:rsidR="008D1BA6" w:rsidRPr="00CD3B39" w:rsidRDefault="00CD3B39">
            <w:pPr>
              <w:spacing w:line="360" w:lineRule="auto"/>
              <w:jc w:val="both"/>
              <w:rPr>
                <w:b/>
                <w:bCs/>
              </w:rPr>
            </w:pPr>
            <w:r w:rsidRPr="00CD3B39">
              <w:rPr>
                <w:rFonts w:hint="cs"/>
                <w:b/>
                <w:bCs/>
                <w:rtl/>
              </w:rPr>
              <w:t>מדינת ישראל</w:t>
            </w:r>
          </w:p>
        </w:tc>
        <w:tc>
          <w:tcPr>
            <w:tcW w:w="3771" w:type="dxa"/>
            <w:tcBorders>
              <w:top w:val="nil"/>
              <w:left w:val="nil"/>
              <w:bottom w:val="nil"/>
              <w:right w:val="nil"/>
            </w:tcBorders>
          </w:tcPr>
          <w:p w14:paraId="31EA6966" w14:textId="77777777" w:rsidR="008D1BA6" w:rsidRPr="00CD3B39" w:rsidRDefault="008D1BA6">
            <w:pPr>
              <w:spacing w:line="360" w:lineRule="auto"/>
              <w:jc w:val="both"/>
              <w:rPr>
                <w:rFonts w:ascii="Arial" w:hAnsi="Arial" w:cs="FrankRuehl"/>
                <w:b/>
                <w:bCs/>
                <w:sz w:val="28"/>
                <w:szCs w:val="28"/>
              </w:rPr>
            </w:pPr>
          </w:p>
        </w:tc>
      </w:tr>
      <w:bookmarkEnd w:id="1"/>
      <w:tr w:rsidR="008D1BA6" w:rsidRPr="00CD3B39" w14:paraId="1B36FB1A" w14:textId="77777777">
        <w:trPr>
          <w:trHeight w:val="355"/>
          <w:jc w:val="center"/>
        </w:trPr>
        <w:tc>
          <w:tcPr>
            <w:tcW w:w="923" w:type="dxa"/>
            <w:tcBorders>
              <w:top w:val="nil"/>
              <w:left w:val="nil"/>
              <w:bottom w:val="nil"/>
              <w:right w:val="nil"/>
            </w:tcBorders>
          </w:tcPr>
          <w:p w14:paraId="3907CDBC" w14:textId="77777777" w:rsidR="008D1BA6" w:rsidRPr="00CD3B39" w:rsidRDefault="008D1BA6">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7B6C7A90" w14:textId="77777777" w:rsidR="008D1BA6" w:rsidRPr="00CD3B39" w:rsidRDefault="008D1BA6">
            <w:pPr>
              <w:spacing w:line="360" w:lineRule="auto"/>
              <w:jc w:val="both"/>
              <w:rPr>
                <w:b/>
                <w:bCs/>
                <w:rtl/>
              </w:rPr>
            </w:pPr>
          </w:p>
        </w:tc>
        <w:tc>
          <w:tcPr>
            <w:tcW w:w="3771" w:type="dxa"/>
            <w:tcBorders>
              <w:top w:val="nil"/>
              <w:left w:val="nil"/>
              <w:bottom w:val="nil"/>
              <w:right w:val="nil"/>
            </w:tcBorders>
          </w:tcPr>
          <w:p w14:paraId="0BA6DB47" w14:textId="77777777" w:rsidR="008D1BA6" w:rsidRPr="00CD3B39" w:rsidRDefault="00CD3B39">
            <w:pPr>
              <w:spacing w:line="360" w:lineRule="auto"/>
              <w:jc w:val="both"/>
              <w:rPr>
                <w:rFonts w:ascii="Arial" w:hAnsi="Arial" w:cs="FrankRuehl"/>
                <w:b/>
                <w:bCs/>
                <w:sz w:val="28"/>
                <w:szCs w:val="28"/>
                <w:rtl/>
              </w:rPr>
            </w:pPr>
            <w:r w:rsidRPr="00CD3B39">
              <w:rPr>
                <w:rFonts w:ascii="Arial" w:hAnsi="Arial" w:cs="FrankRuehl" w:hint="cs"/>
                <w:b/>
                <w:bCs/>
                <w:sz w:val="28"/>
                <w:szCs w:val="28"/>
                <w:rtl/>
              </w:rPr>
              <w:t>ה</w:t>
            </w:r>
            <w:r w:rsidRPr="00CD3B39">
              <w:rPr>
                <w:rFonts w:hint="cs"/>
                <w:b/>
                <w:bCs/>
                <w:rtl/>
              </w:rPr>
              <w:t>מאשימה</w:t>
            </w:r>
          </w:p>
        </w:tc>
      </w:tr>
      <w:tr w:rsidR="008D1BA6" w:rsidRPr="00CD3B39" w14:paraId="073C76E1" w14:textId="77777777">
        <w:trPr>
          <w:trHeight w:val="355"/>
          <w:jc w:val="center"/>
        </w:trPr>
        <w:tc>
          <w:tcPr>
            <w:tcW w:w="923" w:type="dxa"/>
            <w:tcBorders>
              <w:top w:val="nil"/>
              <w:left w:val="nil"/>
              <w:bottom w:val="nil"/>
              <w:right w:val="nil"/>
            </w:tcBorders>
          </w:tcPr>
          <w:p w14:paraId="274BD2CA" w14:textId="77777777" w:rsidR="008D1BA6" w:rsidRPr="00CD3B39" w:rsidRDefault="008D1BA6">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tcPr>
          <w:p w14:paraId="22E247A8" w14:textId="77777777" w:rsidR="008D1BA6" w:rsidRPr="00CD3B39" w:rsidRDefault="008D1BA6">
            <w:pPr>
              <w:spacing w:line="360" w:lineRule="auto"/>
              <w:jc w:val="both"/>
              <w:rPr>
                <w:rFonts w:ascii="Arial" w:hAnsi="Arial" w:cs="FrankRuehl"/>
                <w:b/>
                <w:bCs/>
                <w:sz w:val="28"/>
                <w:szCs w:val="28"/>
                <w:rtl/>
              </w:rPr>
            </w:pPr>
          </w:p>
          <w:p w14:paraId="5DE3BB51" w14:textId="77777777" w:rsidR="008D1BA6" w:rsidRPr="00CD3B39" w:rsidRDefault="00CD3B39">
            <w:pPr>
              <w:spacing w:line="360" w:lineRule="auto"/>
              <w:jc w:val="both"/>
              <w:rPr>
                <w:rFonts w:ascii="Arial" w:hAnsi="Arial" w:cs="FrankRuehl"/>
                <w:b/>
                <w:bCs/>
                <w:sz w:val="28"/>
                <w:szCs w:val="28"/>
                <w:rtl/>
              </w:rPr>
            </w:pPr>
            <w:r w:rsidRPr="00CD3B39">
              <w:rPr>
                <w:rFonts w:ascii="Arial" w:hAnsi="Arial" w:cs="FrankRuehl"/>
                <w:b/>
                <w:bCs/>
                <w:sz w:val="28"/>
                <w:szCs w:val="28"/>
                <w:rtl/>
              </w:rPr>
              <w:t>נגד</w:t>
            </w:r>
          </w:p>
          <w:p w14:paraId="0495F09D" w14:textId="77777777" w:rsidR="008D1BA6" w:rsidRPr="00CD3B39" w:rsidRDefault="008D1BA6">
            <w:pPr>
              <w:spacing w:line="360" w:lineRule="auto"/>
              <w:jc w:val="both"/>
              <w:rPr>
                <w:rFonts w:ascii="Arial" w:hAnsi="Arial" w:cs="FrankRuehl"/>
                <w:b/>
                <w:bCs/>
                <w:sz w:val="28"/>
                <w:szCs w:val="28"/>
              </w:rPr>
            </w:pPr>
          </w:p>
        </w:tc>
      </w:tr>
      <w:tr w:rsidR="008D1BA6" w:rsidRPr="00CD3B39" w14:paraId="770CC887" w14:textId="77777777">
        <w:trPr>
          <w:trHeight w:val="355"/>
          <w:jc w:val="center"/>
        </w:trPr>
        <w:tc>
          <w:tcPr>
            <w:tcW w:w="923" w:type="dxa"/>
            <w:tcBorders>
              <w:top w:val="nil"/>
              <w:left w:val="nil"/>
              <w:bottom w:val="nil"/>
              <w:right w:val="nil"/>
            </w:tcBorders>
          </w:tcPr>
          <w:p w14:paraId="35A93FED" w14:textId="77777777" w:rsidR="008D1BA6" w:rsidRPr="00CD3B39" w:rsidRDefault="008D1BA6">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390624B1" w14:textId="77777777" w:rsidR="008D1BA6" w:rsidRPr="00CD3B39" w:rsidRDefault="00CD3B39">
            <w:pPr>
              <w:spacing w:line="360" w:lineRule="auto"/>
              <w:jc w:val="both"/>
              <w:rPr>
                <w:b/>
                <w:bCs/>
                <w:rtl/>
              </w:rPr>
            </w:pPr>
            <w:r w:rsidRPr="00CD3B39">
              <w:rPr>
                <w:rFonts w:hint="cs"/>
                <w:b/>
                <w:bCs/>
                <w:rtl/>
              </w:rPr>
              <w:t>אברהם הרוש</w:t>
            </w:r>
          </w:p>
        </w:tc>
        <w:tc>
          <w:tcPr>
            <w:tcW w:w="3771" w:type="dxa"/>
            <w:tcBorders>
              <w:top w:val="nil"/>
              <w:left w:val="nil"/>
              <w:bottom w:val="nil"/>
              <w:right w:val="nil"/>
            </w:tcBorders>
          </w:tcPr>
          <w:p w14:paraId="3BBA599E" w14:textId="77777777" w:rsidR="008D1BA6" w:rsidRPr="00CD3B39" w:rsidRDefault="008D1BA6">
            <w:pPr>
              <w:spacing w:line="360" w:lineRule="auto"/>
              <w:jc w:val="both"/>
              <w:rPr>
                <w:rFonts w:ascii="Arial" w:hAnsi="Arial" w:cs="FrankRuehl"/>
                <w:b/>
                <w:bCs/>
                <w:sz w:val="28"/>
                <w:szCs w:val="28"/>
              </w:rPr>
            </w:pPr>
          </w:p>
        </w:tc>
      </w:tr>
      <w:tr w:rsidR="008D1BA6" w:rsidRPr="00CD3B39" w14:paraId="7B99CF57" w14:textId="77777777">
        <w:trPr>
          <w:trHeight w:val="355"/>
          <w:jc w:val="center"/>
        </w:trPr>
        <w:tc>
          <w:tcPr>
            <w:tcW w:w="923" w:type="dxa"/>
            <w:tcBorders>
              <w:top w:val="nil"/>
              <w:left w:val="nil"/>
              <w:bottom w:val="nil"/>
              <w:right w:val="nil"/>
            </w:tcBorders>
          </w:tcPr>
          <w:p w14:paraId="4075E3D8" w14:textId="77777777" w:rsidR="008D1BA6" w:rsidRPr="00CD3B39" w:rsidRDefault="008D1BA6">
            <w:pPr>
              <w:spacing w:line="360" w:lineRule="auto"/>
              <w:jc w:val="both"/>
              <w:rPr>
                <w:rFonts w:ascii="Arial" w:hAnsi="Arial" w:cs="FrankRuehl"/>
                <w:b/>
                <w:bCs/>
                <w:sz w:val="28"/>
                <w:szCs w:val="28"/>
                <w:rtl/>
              </w:rPr>
            </w:pPr>
          </w:p>
        </w:tc>
        <w:tc>
          <w:tcPr>
            <w:tcW w:w="4126" w:type="dxa"/>
            <w:tcBorders>
              <w:top w:val="nil"/>
              <w:left w:val="nil"/>
              <w:bottom w:val="nil"/>
              <w:right w:val="nil"/>
            </w:tcBorders>
          </w:tcPr>
          <w:p w14:paraId="05B2B89A" w14:textId="77777777" w:rsidR="008D1BA6" w:rsidRPr="00CD3B39" w:rsidRDefault="008D1BA6">
            <w:pPr>
              <w:spacing w:line="360" w:lineRule="auto"/>
              <w:jc w:val="both"/>
              <w:rPr>
                <w:b/>
                <w:bCs/>
                <w:rtl/>
              </w:rPr>
            </w:pPr>
          </w:p>
        </w:tc>
        <w:tc>
          <w:tcPr>
            <w:tcW w:w="3771" w:type="dxa"/>
            <w:tcBorders>
              <w:top w:val="nil"/>
              <w:left w:val="nil"/>
              <w:bottom w:val="nil"/>
              <w:right w:val="nil"/>
            </w:tcBorders>
          </w:tcPr>
          <w:p w14:paraId="3460AB56" w14:textId="77777777" w:rsidR="008D1BA6" w:rsidRPr="00CD3B39" w:rsidRDefault="00CD3B39">
            <w:pPr>
              <w:spacing w:line="360" w:lineRule="auto"/>
              <w:jc w:val="both"/>
              <w:rPr>
                <w:rFonts w:ascii="Arial" w:hAnsi="Arial" w:cs="FrankRuehl"/>
                <w:b/>
                <w:bCs/>
                <w:sz w:val="28"/>
                <w:szCs w:val="28"/>
              </w:rPr>
            </w:pPr>
            <w:r w:rsidRPr="00CD3B39">
              <w:rPr>
                <w:rFonts w:ascii="Arial" w:hAnsi="Arial" w:cs="FrankRuehl" w:hint="cs"/>
                <w:b/>
                <w:bCs/>
                <w:sz w:val="28"/>
                <w:szCs w:val="28"/>
                <w:rtl/>
              </w:rPr>
              <w:t>ה</w:t>
            </w:r>
            <w:r w:rsidRPr="00CD3B39">
              <w:rPr>
                <w:rFonts w:hint="cs"/>
                <w:b/>
                <w:bCs/>
                <w:rtl/>
              </w:rPr>
              <w:t>נאשם</w:t>
            </w:r>
          </w:p>
        </w:tc>
      </w:tr>
    </w:tbl>
    <w:p w14:paraId="56B43949" w14:textId="77777777" w:rsidR="008D1BA6" w:rsidRPr="00CD3B39" w:rsidRDefault="008D1BA6">
      <w:pPr>
        <w:spacing w:line="360" w:lineRule="auto"/>
        <w:jc w:val="both"/>
        <w:rPr>
          <w:b/>
          <w:bCs/>
          <w:rtl/>
        </w:rPr>
      </w:pPr>
    </w:p>
    <w:p w14:paraId="5B0688F3" w14:textId="77777777" w:rsidR="008D1BA6" w:rsidRPr="00CD3B39" w:rsidRDefault="00CD3B39">
      <w:pPr>
        <w:spacing w:line="360" w:lineRule="auto"/>
        <w:jc w:val="both"/>
        <w:rPr>
          <w:b/>
          <w:bCs/>
          <w:rtl/>
        </w:rPr>
      </w:pPr>
      <w:r w:rsidRPr="00CD3B39">
        <w:rPr>
          <w:rFonts w:hint="cs"/>
          <w:b/>
          <w:bCs/>
          <w:rtl/>
        </w:rPr>
        <w:t>נוכחים:</w:t>
      </w:r>
    </w:p>
    <w:p w14:paraId="24C0AD8B" w14:textId="77777777" w:rsidR="008D1BA6" w:rsidRPr="00CD3B39" w:rsidRDefault="00CD3B39">
      <w:pPr>
        <w:spacing w:line="360" w:lineRule="auto"/>
        <w:jc w:val="both"/>
        <w:rPr>
          <w:b/>
          <w:bCs/>
          <w:rtl/>
        </w:rPr>
      </w:pPr>
      <w:bookmarkStart w:id="2" w:name="FirstLawyer"/>
      <w:r w:rsidRPr="00CD3B39">
        <w:rPr>
          <w:rFonts w:hint="cs"/>
          <w:b/>
          <w:bCs/>
          <w:rtl/>
        </w:rPr>
        <w:t>ב"כ</w:t>
      </w:r>
      <w:bookmarkEnd w:id="2"/>
      <w:r w:rsidRPr="00CD3B39">
        <w:rPr>
          <w:rFonts w:hint="cs"/>
          <w:b/>
          <w:bCs/>
          <w:rtl/>
        </w:rPr>
        <w:t xml:space="preserve"> המאשימה עו"ד אריאל פס</w:t>
      </w:r>
    </w:p>
    <w:p w14:paraId="0ECE6A1E" w14:textId="77777777" w:rsidR="008D1BA6" w:rsidRPr="00CD3B39" w:rsidRDefault="00CD3B39">
      <w:pPr>
        <w:spacing w:line="360" w:lineRule="auto"/>
        <w:jc w:val="both"/>
        <w:rPr>
          <w:b/>
          <w:bCs/>
          <w:rtl/>
        </w:rPr>
      </w:pPr>
      <w:r w:rsidRPr="00CD3B39">
        <w:rPr>
          <w:rFonts w:hint="cs"/>
          <w:b/>
          <w:bCs/>
          <w:rtl/>
        </w:rPr>
        <w:t>ב"כ הנאשם עו"ד אמיר ברכה ממשרד עו"ד זאב אלוני</w:t>
      </w:r>
    </w:p>
    <w:p w14:paraId="1FC9B25A" w14:textId="77777777" w:rsidR="008C6315" w:rsidRDefault="00CD3B39" w:rsidP="006E32CB">
      <w:pPr>
        <w:spacing w:after="120" w:line="240" w:lineRule="exact"/>
        <w:ind w:left="283" w:hanging="283"/>
        <w:jc w:val="both"/>
        <w:rPr>
          <w:b/>
          <w:bCs/>
          <w:rtl/>
        </w:rPr>
      </w:pPr>
      <w:r w:rsidRPr="00CD3B39">
        <w:rPr>
          <w:rFonts w:hint="cs"/>
          <w:b/>
          <w:bCs/>
          <w:rtl/>
        </w:rPr>
        <w:t>הנאשם בעצמ</w:t>
      </w:r>
      <w:bookmarkStart w:id="3" w:name="LawTable"/>
      <w:bookmarkEnd w:id="3"/>
    </w:p>
    <w:p w14:paraId="17CBFC0B" w14:textId="77777777" w:rsidR="008C6315" w:rsidRPr="008C6315" w:rsidRDefault="008C6315" w:rsidP="008C6315">
      <w:pPr>
        <w:spacing w:after="120" w:line="240" w:lineRule="exact"/>
        <w:ind w:left="283" w:hanging="283"/>
        <w:jc w:val="both"/>
        <w:rPr>
          <w:rFonts w:ascii="FrankRuehl" w:hAnsi="FrankRuehl" w:cs="FrankRuehl"/>
          <w:rtl/>
        </w:rPr>
      </w:pPr>
    </w:p>
    <w:p w14:paraId="0790E134" w14:textId="77777777" w:rsidR="008C6315" w:rsidRPr="008C6315" w:rsidRDefault="008C6315" w:rsidP="008C6315">
      <w:pPr>
        <w:spacing w:after="120" w:line="240" w:lineRule="exact"/>
        <w:ind w:left="283" w:hanging="283"/>
        <w:jc w:val="both"/>
        <w:rPr>
          <w:rFonts w:ascii="FrankRuehl" w:hAnsi="FrankRuehl" w:cs="FrankRuehl"/>
          <w:rtl/>
        </w:rPr>
      </w:pPr>
      <w:r w:rsidRPr="008C6315">
        <w:rPr>
          <w:rFonts w:ascii="FrankRuehl" w:hAnsi="FrankRuehl" w:cs="FrankRuehl"/>
          <w:rtl/>
        </w:rPr>
        <w:t xml:space="preserve">חקיקה שאוזכרה: </w:t>
      </w:r>
    </w:p>
    <w:p w14:paraId="5C1C4C00" w14:textId="77777777" w:rsidR="008C6315" w:rsidRPr="008C6315" w:rsidRDefault="008C6315" w:rsidP="008C6315">
      <w:pPr>
        <w:spacing w:after="120" w:line="240" w:lineRule="exact"/>
        <w:ind w:left="283" w:hanging="283"/>
        <w:jc w:val="both"/>
        <w:rPr>
          <w:rFonts w:ascii="FrankRuehl" w:hAnsi="FrankRuehl" w:cs="FrankRuehl"/>
          <w:color w:val="0000FF"/>
          <w:u w:val="single"/>
          <w:rtl/>
        </w:rPr>
      </w:pPr>
      <w:hyperlink r:id="rId6" w:history="1">
        <w:r w:rsidRPr="008C6315">
          <w:rPr>
            <w:rStyle w:val="Hyperlink"/>
            <w:rFonts w:ascii="FrankRuehl" w:hAnsi="FrankRuehl" w:cs="FrankRuehl"/>
            <w:rtl/>
          </w:rPr>
          <w:t>פקודת הסמים המסוכנים [נוסח חדש], תשל"ג-1973</w:t>
        </w:r>
      </w:hyperlink>
    </w:p>
    <w:p w14:paraId="449C7A1C" w14:textId="77777777" w:rsidR="008C6315" w:rsidRPr="008C6315" w:rsidRDefault="008C6315" w:rsidP="008C6315">
      <w:pPr>
        <w:spacing w:after="120" w:line="240" w:lineRule="exact"/>
        <w:ind w:left="283" w:hanging="283"/>
        <w:jc w:val="both"/>
        <w:rPr>
          <w:rFonts w:ascii="FrankRuehl" w:hAnsi="FrankRuehl" w:cs="FrankRuehl"/>
          <w:rtl/>
        </w:rPr>
      </w:pPr>
    </w:p>
    <w:p w14:paraId="42056368" w14:textId="77777777" w:rsidR="008C6315" w:rsidRPr="008C6315" w:rsidRDefault="008C6315" w:rsidP="006E32CB">
      <w:pPr>
        <w:spacing w:after="120" w:line="240" w:lineRule="exact"/>
        <w:ind w:left="283" w:hanging="283"/>
        <w:jc w:val="both"/>
        <w:rPr>
          <w:rtl/>
        </w:rPr>
      </w:pPr>
      <w:bookmarkStart w:id="4" w:name="LawTable_End"/>
      <w:bookmarkEnd w:id="4"/>
    </w:p>
    <w:p w14:paraId="63C36173" w14:textId="77777777" w:rsidR="008C6315" w:rsidRPr="008C6315" w:rsidRDefault="008C6315" w:rsidP="006E32CB">
      <w:pPr>
        <w:spacing w:after="120" w:line="240" w:lineRule="exact"/>
        <w:ind w:left="283" w:hanging="283"/>
        <w:jc w:val="both"/>
        <w:rPr>
          <w:b/>
          <w:bCs/>
          <w:rtl/>
        </w:rPr>
      </w:pPr>
    </w:p>
    <w:p w14:paraId="597E5C5B" w14:textId="77777777" w:rsidR="006E32CB" w:rsidRPr="006E32CB" w:rsidRDefault="00CD3B39" w:rsidP="006E32CB">
      <w:pPr>
        <w:spacing w:after="120" w:line="240" w:lineRule="exact"/>
        <w:ind w:left="283" w:hanging="283"/>
        <w:jc w:val="both"/>
        <w:rPr>
          <w:rFonts w:ascii="FrankRuehl" w:hAnsi="FrankRuehl" w:cs="FrankRuehl"/>
          <w:rtl/>
        </w:rPr>
      </w:pPr>
      <w:r w:rsidRPr="008C6315">
        <w:rPr>
          <w:rFonts w:hint="cs"/>
          <w:b/>
          <w:bCs/>
          <w:rtl/>
        </w:rPr>
        <w:t>ו</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D1BA6" w14:paraId="732B030B" w14:textId="77777777">
        <w:trPr>
          <w:trHeight w:val="355"/>
          <w:jc w:val="center"/>
        </w:trPr>
        <w:tc>
          <w:tcPr>
            <w:tcW w:w="8820" w:type="dxa"/>
            <w:tcBorders>
              <w:top w:val="nil"/>
              <w:left w:val="nil"/>
              <w:bottom w:val="nil"/>
              <w:right w:val="nil"/>
            </w:tcBorders>
          </w:tcPr>
          <w:p w14:paraId="5FA9F842" w14:textId="77777777" w:rsidR="00CD3B39" w:rsidRPr="00CD3B39" w:rsidRDefault="00CD3B39" w:rsidP="00CD3B39">
            <w:pPr>
              <w:spacing w:line="360" w:lineRule="auto"/>
              <w:jc w:val="center"/>
              <w:rPr>
                <w:rFonts w:ascii="Arial" w:hAnsi="Arial" w:cs="FrankRuehl"/>
                <w:b/>
                <w:bCs/>
                <w:sz w:val="32"/>
                <w:szCs w:val="32"/>
                <w:u w:val="single"/>
                <w:rtl/>
              </w:rPr>
            </w:pPr>
            <w:bookmarkStart w:id="5" w:name="PsakDin" w:colFirst="0" w:colLast="0"/>
            <w:bookmarkEnd w:id="0"/>
            <w:r w:rsidRPr="00CD3B39">
              <w:rPr>
                <w:rFonts w:ascii="Arial" w:hAnsi="Arial" w:cs="FrankRuehl"/>
                <w:b/>
                <w:bCs/>
                <w:sz w:val="32"/>
                <w:szCs w:val="32"/>
                <w:u w:val="single"/>
                <w:rtl/>
              </w:rPr>
              <w:t>גזר דין</w:t>
            </w:r>
          </w:p>
          <w:p w14:paraId="16A5D6B8" w14:textId="77777777" w:rsidR="008D1BA6" w:rsidRPr="00CD3B39" w:rsidRDefault="008D1BA6" w:rsidP="00CD3B39">
            <w:pPr>
              <w:spacing w:line="360" w:lineRule="auto"/>
              <w:jc w:val="center"/>
              <w:rPr>
                <w:rFonts w:ascii="Arial" w:hAnsi="Arial" w:cs="FrankRuehl"/>
                <w:b/>
                <w:bCs/>
                <w:sz w:val="32"/>
                <w:szCs w:val="32"/>
                <w:u w:val="single"/>
                <w:rtl/>
              </w:rPr>
            </w:pPr>
          </w:p>
        </w:tc>
      </w:tr>
      <w:bookmarkEnd w:id="5"/>
    </w:tbl>
    <w:p w14:paraId="5420B1A9" w14:textId="77777777" w:rsidR="008D1BA6" w:rsidRDefault="008D1BA6">
      <w:pPr>
        <w:spacing w:line="360" w:lineRule="auto"/>
        <w:jc w:val="both"/>
        <w:rPr>
          <w:b/>
          <w:bCs/>
          <w:rtl/>
        </w:rPr>
      </w:pPr>
    </w:p>
    <w:p w14:paraId="054C7332" w14:textId="77777777" w:rsidR="008D1BA6" w:rsidRDefault="00CD3B39">
      <w:pPr>
        <w:spacing w:line="360" w:lineRule="auto"/>
        <w:jc w:val="both"/>
        <w:rPr>
          <w:b/>
          <w:bCs/>
          <w:rtl/>
        </w:rPr>
      </w:pPr>
      <w:bookmarkStart w:id="6" w:name="ABSTRACT_START"/>
      <w:bookmarkEnd w:id="6"/>
      <w:r>
        <w:rPr>
          <w:rFonts w:hint="cs"/>
          <w:b/>
          <w:bCs/>
          <w:rtl/>
        </w:rPr>
        <w:t>על פי הודאתו הורשע הנאשם בעבירות של גידול סם מסוכן והחזקת סם שלא לצריכה עצמית.</w:t>
      </w:r>
    </w:p>
    <w:p w14:paraId="60EBEDA0" w14:textId="77777777" w:rsidR="008D1BA6" w:rsidRDefault="008D1BA6">
      <w:pPr>
        <w:spacing w:line="360" w:lineRule="auto"/>
        <w:jc w:val="both"/>
        <w:rPr>
          <w:b/>
          <w:bCs/>
          <w:rtl/>
        </w:rPr>
      </w:pPr>
      <w:bookmarkStart w:id="7" w:name="ABSTRACT_END"/>
      <w:bookmarkEnd w:id="7"/>
    </w:p>
    <w:p w14:paraId="5607F043" w14:textId="77777777" w:rsidR="008D1BA6" w:rsidRDefault="00CD3B39">
      <w:pPr>
        <w:spacing w:line="360" w:lineRule="auto"/>
        <w:jc w:val="both"/>
        <w:rPr>
          <w:b/>
          <w:bCs/>
          <w:rtl/>
        </w:rPr>
      </w:pPr>
      <w:r>
        <w:rPr>
          <w:rFonts w:hint="cs"/>
          <w:b/>
          <w:bCs/>
          <w:rtl/>
        </w:rPr>
        <w:lastRenderedPageBreak/>
        <w:t xml:space="preserve">ביום 17/1/14 שכר הנאשם בית פרטי הכולל קומת מרתף ברחובות ולאחר חתימת חוזה השכירות החל לבנות במרתף הבית מעבדה לייצור סם מסוג מריחואנה, לרבות התקנת מערכת תאורה מיוחדת  קניית עציצים, קניית אדמה ודשן והקמת מערכת השקייה. </w:t>
      </w:r>
    </w:p>
    <w:p w14:paraId="09990BB7" w14:textId="77777777" w:rsidR="008D1BA6" w:rsidRDefault="00CD3B39">
      <w:pPr>
        <w:spacing w:line="360" w:lineRule="auto"/>
        <w:jc w:val="both"/>
        <w:rPr>
          <w:b/>
          <w:bCs/>
          <w:rtl/>
        </w:rPr>
      </w:pPr>
      <w:r>
        <w:rPr>
          <w:rFonts w:hint="cs"/>
          <w:b/>
          <w:bCs/>
          <w:rtl/>
        </w:rPr>
        <w:t xml:space="preserve">ביום 20/3/14 במהלך חיפוש בבית נמצאו על ידי בלשי המשטרה 378 שתילי צמח  הקנבוס במשקל כולל של 283. 34 גרם. </w:t>
      </w:r>
    </w:p>
    <w:p w14:paraId="4F6328FF" w14:textId="77777777" w:rsidR="008D1BA6" w:rsidRDefault="008D1BA6">
      <w:pPr>
        <w:spacing w:line="360" w:lineRule="auto"/>
        <w:jc w:val="both"/>
        <w:rPr>
          <w:b/>
          <w:bCs/>
          <w:rtl/>
        </w:rPr>
      </w:pPr>
    </w:p>
    <w:p w14:paraId="2A289D59" w14:textId="77777777" w:rsidR="008D1BA6" w:rsidRDefault="00CD3B39">
      <w:pPr>
        <w:spacing w:line="360" w:lineRule="auto"/>
        <w:jc w:val="both"/>
        <w:rPr>
          <w:b/>
          <w:bCs/>
          <w:rtl/>
        </w:rPr>
      </w:pPr>
      <w:r>
        <w:rPr>
          <w:rFonts w:hint="cs"/>
          <w:b/>
          <w:bCs/>
          <w:rtl/>
        </w:rPr>
        <w:t xml:space="preserve">המאשימה הגישה תמונות שצולמו על ידי בלשי המשטרה והמתעדות את המקום, הכיצד דופנו הקירות והותקנה מערכת התאורה, מאות העציצים שהושמו בו והשתילים שנמצאו, כמו גם חומרי הדשן וכלי העבודה. </w:t>
      </w:r>
    </w:p>
    <w:p w14:paraId="73292995" w14:textId="77777777" w:rsidR="008D1BA6" w:rsidRDefault="008D1BA6">
      <w:pPr>
        <w:spacing w:line="360" w:lineRule="auto"/>
        <w:jc w:val="both"/>
        <w:rPr>
          <w:b/>
          <w:bCs/>
          <w:rtl/>
        </w:rPr>
      </w:pPr>
    </w:p>
    <w:p w14:paraId="0D2D398F" w14:textId="77777777" w:rsidR="008D1BA6" w:rsidRDefault="00CD3B39">
      <w:pPr>
        <w:spacing w:line="360" w:lineRule="auto"/>
        <w:jc w:val="both"/>
        <w:rPr>
          <w:b/>
          <w:bCs/>
          <w:rtl/>
        </w:rPr>
      </w:pPr>
      <w:r>
        <w:rPr>
          <w:rFonts w:hint="cs"/>
          <w:b/>
          <w:bCs/>
          <w:rtl/>
        </w:rPr>
        <w:t xml:space="preserve">התביעה הדגישה את הערכים המוגנים הנפגעים כתוצאה מביצוע עבירות סמים מעין אלה ותמכה טיעוניה בפסיקה שהגישה לבית המשפט. </w:t>
      </w:r>
    </w:p>
    <w:p w14:paraId="1B05E351" w14:textId="77777777" w:rsidR="008D1BA6" w:rsidRDefault="008D1BA6">
      <w:pPr>
        <w:spacing w:line="360" w:lineRule="auto"/>
        <w:jc w:val="both"/>
        <w:rPr>
          <w:b/>
          <w:bCs/>
          <w:rtl/>
        </w:rPr>
      </w:pPr>
    </w:p>
    <w:p w14:paraId="4BEE4F06" w14:textId="77777777" w:rsidR="008D1BA6" w:rsidRDefault="00CD3B39">
      <w:pPr>
        <w:spacing w:line="360" w:lineRule="auto"/>
        <w:jc w:val="both"/>
        <w:rPr>
          <w:b/>
          <w:bCs/>
          <w:rtl/>
        </w:rPr>
      </w:pPr>
      <w:r>
        <w:rPr>
          <w:rFonts w:hint="cs"/>
          <w:b/>
          <w:bCs/>
          <w:rtl/>
        </w:rPr>
        <w:t xml:space="preserve">עוד הדגישה התביעה כי הגם שהנאשם ביצע את העבירות לבדו, הרי שמדובר במעשים שתוכננו בקפידה. </w:t>
      </w:r>
    </w:p>
    <w:p w14:paraId="105A86A7" w14:textId="77777777" w:rsidR="008D1BA6" w:rsidRDefault="008D1BA6">
      <w:pPr>
        <w:spacing w:line="360" w:lineRule="auto"/>
        <w:jc w:val="both"/>
        <w:rPr>
          <w:b/>
          <w:bCs/>
          <w:rtl/>
        </w:rPr>
      </w:pPr>
    </w:p>
    <w:p w14:paraId="7BEC769A" w14:textId="77777777" w:rsidR="008D1BA6" w:rsidRDefault="00CD3B39">
      <w:pPr>
        <w:spacing w:line="360" w:lineRule="auto"/>
        <w:jc w:val="both"/>
        <w:rPr>
          <w:b/>
          <w:bCs/>
          <w:rtl/>
        </w:rPr>
      </w:pPr>
      <w:r>
        <w:rPr>
          <w:rFonts w:hint="cs"/>
          <w:b/>
          <w:bCs/>
          <w:rtl/>
        </w:rPr>
        <w:t xml:space="preserve">מתחם הענישה הראוי לטעמה של התביעה נע בין 14-32 חודשי מאסר בפועל, לצד מאסר מותנה קנס משמעותי ופסילת רישיון נהיגה בפועל ועל תנאי. </w:t>
      </w:r>
    </w:p>
    <w:p w14:paraId="398EEC27" w14:textId="77777777" w:rsidR="008D1BA6" w:rsidRDefault="00CD3B39">
      <w:pPr>
        <w:spacing w:line="360" w:lineRule="auto"/>
        <w:jc w:val="both"/>
        <w:rPr>
          <w:b/>
          <w:bCs/>
          <w:rtl/>
        </w:rPr>
      </w:pPr>
      <w:r>
        <w:rPr>
          <w:rFonts w:hint="cs"/>
          <w:b/>
          <w:bCs/>
          <w:rtl/>
        </w:rPr>
        <w:t xml:space="preserve">עתירתה של התביעה בהתחשב במכלול השיקולים, לרבות הודאתו של הנאשם, היא להטלת 18 חודשי מאסר בפועל, מאסר מותנה, קנס בסכום של 20,000 ₪, פסילת רישיון נהיגה בפועל ועל תנאי וחילוט המוצגים לרבות סכום כסף בסך 2000 ₪ שנתפס במקום. </w:t>
      </w:r>
    </w:p>
    <w:p w14:paraId="3B0677E6" w14:textId="77777777" w:rsidR="008D1BA6" w:rsidRDefault="008D1BA6">
      <w:pPr>
        <w:spacing w:line="360" w:lineRule="auto"/>
        <w:jc w:val="both"/>
        <w:rPr>
          <w:b/>
          <w:bCs/>
          <w:rtl/>
        </w:rPr>
      </w:pPr>
    </w:p>
    <w:p w14:paraId="02328355" w14:textId="77777777" w:rsidR="008D1BA6" w:rsidRDefault="00CD3B39">
      <w:pPr>
        <w:spacing w:line="360" w:lineRule="auto"/>
        <w:jc w:val="both"/>
        <w:rPr>
          <w:b/>
          <w:bCs/>
          <w:rtl/>
        </w:rPr>
      </w:pPr>
      <w:r>
        <w:rPr>
          <w:rFonts w:hint="cs"/>
          <w:b/>
          <w:bCs/>
          <w:rtl/>
        </w:rPr>
        <w:t xml:space="preserve">ב"כ הנאשם יצא חוצץ כנגד מתחם הענישה  שהוצע על ידי התביעה. לטעמו, הפסיקה שהוצגה על ידי התביעה עוסקת בכמויות סם גדולות בהרבה מאשר דנן ובנאשמים לא נטלו אחריות על מעשיהם. </w:t>
      </w:r>
    </w:p>
    <w:p w14:paraId="66E50002" w14:textId="77777777" w:rsidR="008D1BA6" w:rsidRDefault="00CD3B39">
      <w:pPr>
        <w:spacing w:line="360" w:lineRule="auto"/>
        <w:jc w:val="both"/>
        <w:rPr>
          <w:b/>
          <w:bCs/>
          <w:rtl/>
        </w:rPr>
      </w:pPr>
      <w:r>
        <w:rPr>
          <w:rFonts w:hint="cs"/>
          <w:b/>
          <w:bCs/>
          <w:rtl/>
        </w:rPr>
        <w:t xml:space="preserve">ב"כ הנאשם הציג מטעמו פסיקה  ולטעמו לאור פסיקה זו ונסיבות העבירה בה עסקינן, יש מקום להשתת עונש מאסר מותנה. </w:t>
      </w:r>
    </w:p>
    <w:p w14:paraId="7A3E4C67" w14:textId="77777777" w:rsidR="008D1BA6" w:rsidRDefault="008D1BA6">
      <w:pPr>
        <w:spacing w:line="360" w:lineRule="auto"/>
        <w:jc w:val="both"/>
        <w:rPr>
          <w:b/>
          <w:bCs/>
          <w:rtl/>
        </w:rPr>
      </w:pPr>
    </w:p>
    <w:p w14:paraId="4306100B" w14:textId="77777777" w:rsidR="008D1BA6" w:rsidRDefault="00CD3B39">
      <w:pPr>
        <w:spacing w:line="360" w:lineRule="auto"/>
        <w:jc w:val="both"/>
        <w:rPr>
          <w:b/>
          <w:bCs/>
          <w:rtl/>
        </w:rPr>
      </w:pPr>
      <w:r>
        <w:rPr>
          <w:rFonts w:hint="cs"/>
          <w:b/>
          <w:bCs/>
          <w:rtl/>
        </w:rPr>
        <w:t>ב"כ הנאשם הפנה אל תסקיר שירות המבחן ואל בעייתיות שהתגלתה בחייו כעולה מן התסקיר. לדבריו מדובר באיש עבודה ולא בעבריין במהותו. עוד ציין כי מדובר במריחואנה ואף זו נסיבה לקולא.  בעקבות הסתבכותו זו פוטר הנאשם ממקום עבודתו ואף שהה במעצר ביצת לתקופה לא קצרה.</w:t>
      </w:r>
    </w:p>
    <w:p w14:paraId="5AA23CF4" w14:textId="77777777" w:rsidR="008D1BA6" w:rsidRDefault="00CD3B39">
      <w:pPr>
        <w:spacing w:line="360" w:lineRule="auto"/>
        <w:jc w:val="both"/>
        <w:rPr>
          <w:b/>
          <w:bCs/>
          <w:rtl/>
        </w:rPr>
      </w:pPr>
      <w:r>
        <w:rPr>
          <w:rFonts w:hint="cs"/>
          <w:b/>
          <w:bCs/>
          <w:rtl/>
        </w:rPr>
        <w:t xml:space="preserve">עוד תאר ב"כ הנאשם הכיצד סועד הנאשם את אביו הקשיש והחולה.  וציין כי הנאשם הפנים את הלקחים הנדרשים. </w:t>
      </w:r>
    </w:p>
    <w:p w14:paraId="1D093702" w14:textId="77777777" w:rsidR="008D1BA6" w:rsidRDefault="008D1BA6">
      <w:pPr>
        <w:spacing w:line="360" w:lineRule="auto"/>
        <w:jc w:val="both"/>
        <w:rPr>
          <w:b/>
          <w:bCs/>
          <w:rtl/>
        </w:rPr>
      </w:pPr>
    </w:p>
    <w:p w14:paraId="058FFD74" w14:textId="77777777" w:rsidR="008D1BA6" w:rsidRDefault="008D1BA6">
      <w:pPr>
        <w:spacing w:line="360" w:lineRule="auto"/>
        <w:jc w:val="both"/>
        <w:rPr>
          <w:b/>
          <w:bCs/>
          <w:rtl/>
        </w:rPr>
      </w:pPr>
    </w:p>
    <w:p w14:paraId="7FFB07AE" w14:textId="77777777" w:rsidR="008D1BA6" w:rsidRDefault="00CD3B39">
      <w:pPr>
        <w:spacing w:line="360" w:lineRule="auto"/>
        <w:jc w:val="both"/>
        <w:rPr>
          <w:b/>
          <w:bCs/>
          <w:rtl/>
        </w:rPr>
      </w:pPr>
      <w:r>
        <w:rPr>
          <w:rFonts w:hint="cs"/>
          <w:b/>
          <w:bCs/>
          <w:rtl/>
        </w:rPr>
        <w:t xml:space="preserve">בדברו האחרון ציין הנאשם כי ברצונו לחזור למסלול חיים רגיל ולגדל את ילדיו וכי אשתו הרה עתה והוא עושה כל מאמץ לפרנס את משפחתו בכבוד. </w:t>
      </w:r>
    </w:p>
    <w:p w14:paraId="5C62956C" w14:textId="77777777" w:rsidR="008D1BA6" w:rsidRDefault="008D1BA6">
      <w:pPr>
        <w:spacing w:line="360" w:lineRule="auto"/>
        <w:jc w:val="both"/>
        <w:rPr>
          <w:b/>
          <w:bCs/>
          <w:rtl/>
        </w:rPr>
      </w:pPr>
    </w:p>
    <w:p w14:paraId="4D0B29C6" w14:textId="77777777" w:rsidR="008D1BA6" w:rsidRDefault="00CD3B39">
      <w:pPr>
        <w:spacing w:line="360" w:lineRule="auto"/>
        <w:jc w:val="both"/>
        <w:rPr>
          <w:b/>
          <w:bCs/>
          <w:rtl/>
        </w:rPr>
      </w:pPr>
      <w:r>
        <w:rPr>
          <w:rFonts w:hint="cs"/>
          <w:b/>
          <w:bCs/>
          <w:rtl/>
        </w:rPr>
        <w:t xml:space="preserve">מגיליון המרשם הפלילי בעניינו של הנאשם עולה כי הוא יליד שנת 1969  ולחובתו שלוש הרשעות קודמות שאינן בעבירות לפי פקודת הסמים והן הרשעות ישנות מאוד והאחרונה שבהן משנת 2000. </w:t>
      </w:r>
    </w:p>
    <w:p w14:paraId="404E6D17" w14:textId="77777777" w:rsidR="008D1BA6" w:rsidRDefault="008D1BA6">
      <w:pPr>
        <w:spacing w:line="360" w:lineRule="auto"/>
        <w:jc w:val="both"/>
        <w:rPr>
          <w:b/>
          <w:bCs/>
          <w:rtl/>
        </w:rPr>
      </w:pPr>
    </w:p>
    <w:p w14:paraId="1BBBF53B" w14:textId="77777777" w:rsidR="008D1BA6" w:rsidRDefault="00CD3B39">
      <w:pPr>
        <w:spacing w:line="360" w:lineRule="auto"/>
        <w:jc w:val="both"/>
        <w:rPr>
          <w:b/>
          <w:bCs/>
          <w:rtl/>
        </w:rPr>
      </w:pPr>
      <w:r>
        <w:rPr>
          <w:rFonts w:hint="cs"/>
          <w:b/>
          <w:bCs/>
          <w:rtl/>
        </w:rPr>
        <w:t>מתסקיר שירות המבחן בעניינו של הנאשם עולה כי הוא בן 45 נשוי בשנית ואב שלושה ילדים מנישואיו הראשונים . לאורך השנים ניסה הנאשם לשמור על תפקוד תקין ואף עבד כמדריך לנוער בסיכון.</w:t>
      </w:r>
    </w:p>
    <w:p w14:paraId="14BBA52A" w14:textId="77777777" w:rsidR="008D1BA6" w:rsidRDefault="00CD3B39">
      <w:pPr>
        <w:spacing w:line="360" w:lineRule="auto"/>
        <w:jc w:val="both"/>
        <w:rPr>
          <w:b/>
          <w:bCs/>
          <w:rtl/>
        </w:rPr>
      </w:pPr>
      <w:r>
        <w:rPr>
          <w:rFonts w:hint="cs"/>
          <w:b/>
          <w:bCs/>
          <w:rtl/>
        </w:rPr>
        <w:t>הנאשם סיפר לשירות המבחן כי כשלוש שנים טרם ביצוע העבירות נקלע בנו למשבר ונכלא בכלא ועקב כך נקלעו יחסיו עם אשתו למשבר והשניים התגרשו. בעקבות כך שקע בדיכאון והתקשה לתפקד ואז החל להשתמש בסם מסוג קנאביס ובהמשך אף גידל סם זה בעצמו לצריכה עצמית.</w:t>
      </w:r>
    </w:p>
    <w:p w14:paraId="7DBBEFBB" w14:textId="77777777" w:rsidR="008D1BA6" w:rsidRDefault="00CD3B39">
      <w:pPr>
        <w:spacing w:line="360" w:lineRule="auto"/>
        <w:jc w:val="both"/>
        <w:rPr>
          <w:b/>
          <w:bCs/>
          <w:rtl/>
        </w:rPr>
      </w:pPr>
      <w:r>
        <w:rPr>
          <w:rFonts w:hint="cs"/>
          <w:b/>
          <w:bCs/>
          <w:rtl/>
        </w:rPr>
        <w:t>שירות המבחן התרשם כי הנאשם בחר לטפל בקשייו באמצעות הסם במקום לפנות לקבלת סיוע. שירות המבחן לא התרשם מבעיה התמכרותית  המצריכה התערבות.</w:t>
      </w:r>
    </w:p>
    <w:p w14:paraId="2DE8D0F8" w14:textId="77777777" w:rsidR="008D1BA6" w:rsidRDefault="008D1BA6">
      <w:pPr>
        <w:spacing w:line="360" w:lineRule="auto"/>
        <w:jc w:val="both"/>
        <w:rPr>
          <w:b/>
          <w:bCs/>
          <w:rtl/>
        </w:rPr>
      </w:pPr>
    </w:p>
    <w:p w14:paraId="57A593A2" w14:textId="77777777" w:rsidR="008D1BA6" w:rsidRDefault="00CD3B39">
      <w:pPr>
        <w:spacing w:line="360" w:lineRule="auto"/>
        <w:jc w:val="both"/>
        <w:rPr>
          <w:b/>
          <w:bCs/>
          <w:rtl/>
        </w:rPr>
      </w:pPr>
      <w:r>
        <w:rPr>
          <w:rFonts w:hint="cs"/>
          <w:b/>
          <w:bCs/>
          <w:rtl/>
        </w:rPr>
        <w:t xml:space="preserve">הנאשם הופנה לטיפול קבוצתי ושיתף פעולה בטיפול זה. ההערכה היא כי הוא נתרם מהשתתפותו בהליך זה ואף הסיכון להישנות עבירות פחת. </w:t>
      </w:r>
    </w:p>
    <w:p w14:paraId="061D8A04" w14:textId="77777777" w:rsidR="008D1BA6" w:rsidRDefault="00CD3B39">
      <w:pPr>
        <w:spacing w:line="360" w:lineRule="auto"/>
        <w:jc w:val="both"/>
        <w:rPr>
          <w:b/>
          <w:bCs/>
          <w:rtl/>
        </w:rPr>
      </w:pPr>
      <w:r>
        <w:rPr>
          <w:rFonts w:hint="cs"/>
          <w:b/>
          <w:bCs/>
          <w:rtl/>
        </w:rPr>
        <w:t xml:space="preserve">שירות המבחן המליץ על הטלת צו מבחן לצד מאסר מותנה. </w:t>
      </w:r>
    </w:p>
    <w:p w14:paraId="36447EF7" w14:textId="77777777" w:rsidR="008D1BA6" w:rsidRDefault="008D1BA6">
      <w:pPr>
        <w:spacing w:line="360" w:lineRule="auto"/>
        <w:jc w:val="both"/>
        <w:rPr>
          <w:b/>
          <w:bCs/>
          <w:rtl/>
        </w:rPr>
      </w:pPr>
    </w:p>
    <w:p w14:paraId="7CC79674" w14:textId="77777777" w:rsidR="008D1BA6" w:rsidRDefault="008D1BA6">
      <w:pPr>
        <w:spacing w:line="360" w:lineRule="auto"/>
        <w:jc w:val="both"/>
        <w:rPr>
          <w:b/>
          <w:bCs/>
          <w:rtl/>
        </w:rPr>
      </w:pPr>
    </w:p>
    <w:p w14:paraId="0FE3E059" w14:textId="77777777" w:rsidR="008D1BA6" w:rsidRDefault="00CD3B39">
      <w:pPr>
        <w:spacing w:line="360" w:lineRule="auto"/>
        <w:jc w:val="both"/>
        <w:rPr>
          <w:b/>
          <w:bCs/>
          <w:rtl/>
        </w:rPr>
      </w:pPr>
      <w:r>
        <w:rPr>
          <w:rFonts w:hint="cs"/>
          <w:b/>
          <w:bCs/>
          <w:rtl/>
        </w:rPr>
        <w:t xml:space="preserve">במעשיו של הנאשם יש משום פגיעה בערכים מוגנים שעניינם שלומו הפיזי והנפשי של הציבור, ובאופן עקיף יותר אף פגיעה כלכלית ופגיעה שיש לה השלכות על נורמות התנהגות ופשיעה בחברה. </w:t>
      </w:r>
    </w:p>
    <w:p w14:paraId="342261B7" w14:textId="77777777" w:rsidR="008D1BA6" w:rsidRDefault="008D1BA6">
      <w:pPr>
        <w:spacing w:line="360" w:lineRule="auto"/>
        <w:jc w:val="both"/>
        <w:rPr>
          <w:b/>
          <w:bCs/>
          <w:rtl/>
        </w:rPr>
      </w:pPr>
    </w:p>
    <w:p w14:paraId="260B89D7" w14:textId="77777777" w:rsidR="008D1BA6" w:rsidRDefault="00CD3B39">
      <w:pPr>
        <w:spacing w:line="360" w:lineRule="auto"/>
        <w:jc w:val="both"/>
        <w:rPr>
          <w:b/>
          <w:bCs/>
          <w:rtl/>
        </w:rPr>
      </w:pPr>
      <w:r>
        <w:rPr>
          <w:rFonts w:hint="cs"/>
          <w:b/>
          <w:bCs/>
          <w:rtl/>
        </w:rPr>
        <w:t xml:space="preserve">בתי המשפט נוהגים להחמיר בעבירות מעין אלה באשר עליהם לתרום תרומתם למיגור תופעה זו ולהעביר מסר ברור ובולט כי אלה העוסקים בגידול הסם ובהפצתו ייענשו בחומרה. </w:t>
      </w:r>
    </w:p>
    <w:p w14:paraId="23B3C736" w14:textId="77777777" w:rsidR="008D1BA6" w:rsidRDefault="008D1BA6">
      <w:pPr>
        <w:spacing w:line="360" w:lineRule="auto"/>
        <w:jc w:val="both"/>
        <w:rPr>
          <w:b/>
          <w:bCs/>
          <w:rtl/>
        </w:rPr>
      </w:pPr>
    </w:p>
    <w:p w14:paraId="42EE2EBF" w14:textId="77777777" w:rsidR="008D1BA6" w:rsidRDefault="00CD3B39">
      <w:pPr>
        <w:spacing w:line="360" w:lineRule="auto"/>
        <w:jc w:val="both"/>
        <w:rPr>
          <w:b/>
          <w:bCs/>
          <w:rtl/>
        </w:rPr>
      </w:pPr>
      <w:r>
        <w:rPr>
          <w:rFonts w:hint="cs"/>
          <w:b/>
          <w:bCs/>
          <w:rtl/>
        </w:rPr>
        <w:t xml:space="preserve">בע"פ  (מחוזי י-ם) 1987/04/10 נקבע כך: </w:t>
      </w:r>
    </w:p>
    <w:p w14:paraId="46841DD8" w14:textId="77777777" w:rsidR="008D1BA6" w:rsidRDefault="008D1BA6">
      <w:pPr>
        <w:spacing w:line="360" w:lineRule="auto"/>
        <w:jc w:val="both"/>
        <w:rPr>
          <w:b/>
          <w:bCs/>
          <w:rtl/>
        </w:rPr>
      </w:pPr>
    </w:p>
    <w:p w14:paraId="5579B3BF" w14:textId="77777777" w:rsidR="008D1BA6" w:rsidRDefault="00CD3B39">
      <w:pPr>
        <w:spacing w:line="360" w:lineRule="auto"/>
        <w:jc w:val="both"/>
        <w:rPr>
          <w:b/>
          <w:bCs/>
          <w:rtl/>
        </w:rPr>
      </w:pPr>
      <w:r>
        <w:rPr>
          <w:rFonts w:hint="cs"/>
          <w:b/>
          <w:bCs/>
          <w:rtl/>
        </w:rPr>
        <w:t>"סבורים אנו, איפוא, כי יש להחמיר עם עבריינים המגדלים סמים בחצרותיהם. כך הם פני הדברים לגבי עבריינים בעלי עבר פלילי וכך הם פני הדברים גם כלפי מי שזו לו הרשעה ראשונה. נזכיר את הידוע כי עבירות סמים  חמורות הן בעיקר נוכח הנזק הרב שהן גורמות לציבור ולחברה, ואיש לא יחלוק על כך כי במלחמה הסיזיפית הוז שומה על בית המשפט לתרום את חלקו בדרך של הכבדה בהטלת עונשים מרתיעים. "</w:t>
      </w:r>
    </w:p>
    <w:p w14:paraId="38F17CC8" w14:textId="77777777" w:rsidR="008D1BA6" w:rsidRDefault="008D1BA6">
      <w:pPr>
        <w:spacing w:line="360" w:lineRule="auto"/>
        <w:jc w:val="both"/>
        <w:rPr>
          <w:b/>
          <w:bCs/>
          <w:rtl/>
        </w:rPr>
      </w:pPr>
    </w:p>
    <w:p w14:paraId="234CC8B1" w14:textId="77777777" w:rsidR="008D1BA6" w:rsidRDefault="00CD3B39">
      <w:pPr>
        <w:spacing w:line="360" w:lineRule="auto"/>
        <w:jc w:val="both"/>
        <w:rPr>
          <w:b/>
          <w:bCs/>
          <w:rtl/>
        </w:rPr>
      </w:pPr>
      <w:r>
        <w:rPr>
          <w:rFonts w:hint="cs"/>
          <w:b/>
          <w:bCs/>
          <w:rtl/>
        </w:rPr>
        <w:t>בענישה הנוהגת מנעד של עונשים המשתנה באשר לכמויות הסם, כמות השתילים, דרך הגידול , נסיבות אישיות ועוד.</w:t>
      </w:r>
    </w:p>
    <w:p w14:paraId="53BC0571" w14:textId="77777777" w:rsidR="008D1BA6" w:rsidRDefault="008D1BA6">
      <w:pPr>
        <w:spacing w:line="360" w:lineRule="auto"/>
        <w:jc w:val="both"/>
        <w:rPr>
          <w:b/>
          <w:bCs/>
          <w:rtl/>
        </w:rPr>
      </w:pPr>
    </w:p>
    <w:p w14:paraId="6F29A367" w14:textId="77777777" w:rsidR="008D1BA6" w:rsidRDefault="00CD3B39">
      <w:pPr>
        <w:spacing w:line="360" w:lineRule="auto"/>
        <w:jc w:val="both"/>
        <w:rPr>
          <w:b/>
          <w:bCs/>
          <w:rtl/>
        </w:rPr>
      </w:pPr>
      <w:r>
        <w:rPr>
          <w:rFonts w:hint="cs"/>
          <w:b/>
          <w:bCs/>
          <w:rtl/>
        </w:rPr>
        <w:t xml:space="preserve">סקירת הפסיקה שהוצגה על ידי ב"כ שני הצדדים מעלה כי מתחם הענישה בעבירה זו נע בין של"צ  ומאסר מותנה ועד 24 חודשי מאסר בפועל (לענין הרף העליון של המתחם ראה </w:t>
      </w:r>
      <w:hyperlink r:id="rId7" w:history="1">
        <w:r w:rsidRPr="00CD3B39">
          <w:rPr>
            <w:b/>
            <w:bCs/>
            <w:color w:val="0000FF"/>
            <w:u w:val="single"/>
            <w:rtl/>
          </w:rPr>
          <w:t>רע"פ 7675/13</w:t>
        </w:r>
      </w:hyperlink>
      <w:r>
        <w:rPr>
          <w:rFonts w:hint="cs"/>
          <w:b/>
          <w:bCs/>
          <w:rtl/>
        </w:rPr>
        <w:t xml:space="preserve"> סעפין נ. מ"י). </w:t>
      </w:r>
    </w:p>
    <w:p w14:paraId="2B6EA114" w14:textId="77777777" w:rsidR="008D1BA6" w:rsidRDefault="008D1BA6">
      <w:pPr>
        <w:spacing w:line="360" w:lineRule="auto"/>
        <w:jc w:val="both"/>
        <w:rPr>
          <w:b/>
          <w:bCs/>
          <w:rtl/>
        </w:rPr>
      </w:pPr>
    </w:p>
    <w:p w14:paraId="4E263D14" w14:textId="77777777" w:rsidR="008D1BA6" w:rsidRDefault="00CD3B39">
      <w:pPr>
        <w:spacing w:line="360" w:lineRule="auto"/>
        <w:jc w:val="both"/>
        <w:rPr>
          <w:b/>
          <w:bCs/>
          <w:rtl/>
        </w:rPr>
      </w:pPr>
      <w:r>
        <w:rPr>
          <w:rFonts w:hint="cs"/>
          <w:b/>
          <w:bCs/>
          <w:rtl/>
        </w:rPr>
        <w:t xml:space="preserve">בענייננו מדובר במי ששכר לצורך גידול הסם המסוכן בית מיוחד אשר יתאים לצרכיו אלה ובמרתף הבית אשר יועד להיות מעבדה לגידול סמים, אכן הקים מעבדה לצורך כך, מתוכננת ומאובזרת כראוי. </w:t>
      </w:r>
    </w:p>
    <w:p w14:paraId="2C0206AD" w14:textId="77777777" w:rsidR="008D1BA6" w:rsidRDefault="00CD3B39">
      <w:pPr>
        <w:spacing w:line="360" w:lineRule="auto"/>
        <w:jc w:val="both"/>
        <w:rPr>
          <w:b/>
          <w:bCs/>
          <w:rtl/>
        </w:rPr>
      </w:pPr>
      <w:r>
        <w:rPr>
          <w:rFonts w:hint="cs"/>
          <w:b/>
          <w:bCs/>
          <w:rtl/>
        </w:rPr>
        <w:t xml:space="preserve">הנאשם השקיע לא מעט מאמצים בתכנון המעבדה, ברכישת חומרים ומתקנים ובהקמתה. </w:t>
      </w:r>
    </w:p>
    <w:p w14:paraId="64C6EF97" w14:textId="77777777" w:rsidR="008D1BA6" w:rsidRDefault="00CD3B39">
      <w:pPr>
        <w:spacing w:line="360" w:lineRule="auto"/>
        <w:jc w:val="both"/>
        <w:rPr>
          <w:b/>
          <w:bCs/>
          <w:rtl/>
        </w:rPr>
      </w:pPr>
      <w:r>
        <w:rPr>
          <w:rFonts w:hint="cs"/>
          <w:b/>
          <w:bCs/>
          <w:rtl/>
        </w:rPr>
        <w:t xml:space="preserve">כל כולו של מרתף הבית יועד לגידול הסמים באופן המיטבי לעשות כן. במקום נמצאה כמות גדולה של שתילי צמח הקנבוס </w:t>
      </w:r>
      <w:r>
        <w:rPr>
          <w:b/>
          <w:bCs/>
          <w:rtl/>
        </w:rPr>
        <w:t>–</w:t>
      </w:r>
      <w:r>
        <w:rPr>
          <w:rFonts w:hint="cs"/>
          <w:b/>
          <w:bCs/>
          <w:rtl/>
        </w:rPr>
        <w:t xml:space="preserve"> 378 שתילים. אם כמות הסם המצויינת בכתב האישום אינה גדולה באופן יחסי, הרי זה משום שהמעבדה נמצאה זמן קצר לאחר הקמתה וכאשר השתילים עוד היו בגדר נבטים, כמופיע אף בצילומים שתעדו את המעבדה בעת החיפוש. </w:t>
      </w:r>
    </w:p>
    <w:p w14:paraId="3EE25E67" w14:textId="77777777" w:rsidR="008D1BA6" w:rsidRDefault="008D1BA6">
      <w:pPr>
        <w:spacing w:line="360" w:lineRule="auto"/>
        <w:jc w:val="both"/>
        <w:rPr>
          <w:b/>
          <w:bCs/>
          <w:rtl/>
        </w:rPr>
      </w:pPr>
    </w:p>
    <w:p w14:paraId="0D4C7A80" w14:textId="77777777" w:rsidR="008D1BA6" w:rsidRDefault="00CD3B39">
      <w:pPr>
        <w:spacing w:line="360" w:lineRule="auto"/>
        <w:jc w:val="both"/>
        <w:rPr>
          <w:b/>
          <w:bCs/>
          <w:rtl/>
        </w:rPr>
      </w:pPr>
      <w:r>
        <w:rPr>
          <w:rFonts w:hint="cs"/>
          <w:b/>
          <w:bCs/>
          <w:rtl/>
        </w:rPr>
        <w:t xml:space="preserve">על כן, אין ללמוד ממשקל הסם המצויין בכתב האישום על נסיבות האירוע ועל חומרתו, אלא שיש ללמוד על כך ממכלול הנסיבות האופפות אותו וכמתואר לעיל. </w:t>
      </w:r>
    </w:p>
    <w:p w14:paraId="4A043540" w14:textId="77777777" w:rsidR="008D1BA6" w:rsidRDefault="008D1BA6">
      <w:pPr>
        <w:spacing w:line="360" w:lineRule="auto"/>
        <w:jc w:val="both"/>
        <w:rPr>
          <w:b/>
          <w:bCs/>
          <w:rtl/>
        </w:rPr>
      </w:pPr>
    </w:p>
    <w:p w14:paraId="1E7BAD4C" w14:textId="77777777" w:rsidR="008D1BA6" w:rsidRDefault="00CD3B39">
      <w:pPr>
        <w:spacing w:line="360" w:lineRule="auto"/>
        <w:jc w:val="both"/>
        <w:rPr>
          <w:b/>
          <w:bCs/>
          <w:rtl/>
        </w:rPr>
      </w:pPr>
      <w:r>
        <w:rPr>
          <w:rFonts w:hint="cs"/>
          <w:b/>
          <w:bCs/>
          <w:rtl/>
        </w:rPr>
        <w:t xml:space="preserve">ועוד יצויין לענין זה, כי עיון בנסיבות האופפות את ביצוע העבירות וכן עיון בתמונות אשר תעדו מעבדה זו מקשה עד מאוד לקבל את קביעות שירות המבחן כי התרשם מהנאשם כי גידל את הסם לשימוש עצמי וכי מצא בו מפלט לפתרון בעיותיו חלף פנייה לקבלת סיוע. </w:t>
      </w:r>
    </w:p>
    <w:p w14:paraId="09B3F64F" w14:textId="77777777" w:rsidR="008D1BA6" w:rsidRDefault="008D1BA6">
      <w:pPr>
        <w:spacing w:line="360" w:lineRule="auto"/>
        <w:jc w:val="both"/>
        <w:rPr>
          <w:b/>
          <w:bCs/>
          <w:rtl/>
        </w:rPr>
      </w:pPr>
    </w:p>
    <w:p w14:paraId="57FCE2EE" w14:textId="77777777" w:rsidR="008D1BA6" w:rsidRDefault="00CD3B39">
      <w:pPr>
        <w:spacing w:line="360" w:lineRule="auto"/>
        <w:jc w:val="both"/>
        <w:rPr>
          <w:b/>
          <w:bCs/>
          <w:rtl/>
        </w:rPr>
      </w:pPr>
      <w:r>
        <w:rPr>
          <w:rFonts w:hint="cs"/>
          <w:b/>
          <w:bCs/>
          <w:rtl/>
        </w:rPr>
        <w:t xml:space="preserve">דברים אלה יש להביא אף בהקשר לפסיקה אשר צוטטה על ידי ב"כ הנאשם. </w:t>
      </w:r>
    </w:p>
    <w:p w14:paraId="1B9AA113" w14:textId="77777777" w:rsidR="008D1BA6" w:rsidRDefault="008D1BA6">
      <w:pPr>
        <w:spacing w:line="360" w:lineRule="auto"/>
        <w:jc w:val="both"/>
        <w:rPr>
          <w:b/>
          <w:bCs/>
          <w:rtl/>
        </w:rPr>
      </w:pPr>
    </w:p>
    <w:p w14:paraId="16221CDD" w14:textId="77777777" w:rsidR="008D1BA6" w:rsidRDefault="00CD3B39">
      <w:pPr>
        <w:spacing w:line="360" w:lineRule="auto"/>
        <w:jc w:val="both"/>
        <w:rPr>
          <w:b/>
          <w:bCs/>
          <w:rtl/>
        </w:rPr>
      </w:pPr>
      <w:r>
        <w:rPr>
          <w:rFonts w:hint="cs"/>
          <w:b/>
          <w:bCs/>
          <w:rtl/>
        </w:rPr>
        <w:t>ב"כ</w:t>
      </w:r>
      <w:r>
        <w:rPr>
          <w:b/>
          <w:bCs/>
        </w:rPr>
        <w:t xml:space="preserve"> </w:t>
      </w:r>
      <w:r>
        <w:rPr>
          <w:rFonts w:hint="cs"/>
          <w:b/>
          <w:bCs/>
          <w:rtl/>
        </w:rPr>
        <w:t xml:space="preserve">הנאשם הביא כתימוכין לטיעוניו מספר פסקי דין בהם הוטלה ענישה מחמירה פחות מזו הנטענת על ידי התביעה, כאשר כמויות הסם היו גדולות בהרבה מאוד מאשר דנן ואולם יושם אל לב כי מספר השתילים בחלק מן המקרים היה קטן ממספר השתילים שבענייננו וככל שעלה מספר השתילים אף הוחמרה הענישה. </w:t>
      </w:r>
    </w:p>
    <w:p w14:paraId="35B9FE49" w14:textId="77777777" w:rsidR="008D1BA6" w:rsidRDefault="008D1BA6">
      <w:pPr>
        <w:spacing w:line="360" w:lineRule="auto"/>
        <w:jc w:val="both"/>
        <w:rPr>
          <w:b/>
          <w:bCs/>
          <w:rtl/>
        </w:rPr>
      </w:pPr>
    </w:p>
    <w:p w14:paraId="3B5D129B" w14:textId="77777777" w:rsidR="008D1BA6" w:rsidRDefault="00CD3B39">
      <w:pPr>
        <w:spacing w:line="360" w:lineRule="auto"/>
        <w:jc w:val="both"/>
        <w:rPr>
          <w:b/>
          <w:bCs/>
          <w:rtl/>
        </w:rPr>
      </w:pPr>
      <w:r>
        <w:rPr>
          <w:rFonts w:hint="cs"/>
          <w:b/>
          <w:bCs/>
          <w:rtl/>
        </w:rPr>
        <w:t>בתיק 37242/01/13 בגין 21 שתילים ו-19.1 ק"ג של סם נגזרו על הנאשם 8 חודשי מאסר בפועל.</w:t>
      </w:r>
    </w:p>
    <w:p w14:paraId="7C9FA736" w14:textId="77777777" w:rsidR="008D1BA6" w:rsidRDefault="00CD3B39">
      <w:pPr>
        <w:spacing w:line="360" w:lineRule="auto"/>
        <w:jc w:val="both"/>
        <w:rPr>
          <w:b/>
          <w:bCs/>
          <w:rtl/>
        </w:rPr>
      </w:pPr>
      <w:r>
        <w:rPr>
          <w:rFonts w:hint="cs"/>
          <w:b/>
          <w:bCs/>
          <w:rtl/>
        </w:rPr>
        <w:t>בתיק 3138/06/13 בגין 78 שתילים  ו  - 15.02 ק"ג של סם נגזרו על הנאשם 10 חודשי מאסר בפועל</w:t>
      </w:r>
    </w:p>
    <w:p w14:paraId="13DEB9D5" w14:textId="77777777" w:rsidR="008D1BA6" w:rsidRDefault="00CD3B39">
      <w:pPr>
        <w:spacing w:line="360" w:lineRule="auto"/>
        <w:jc w:val="both"/>
        <w:rPr>
          <w:b/>
          <w:bCs/>
          <w:rtl/>
        </w:rPr>
      </w:pPr>
      <w:r>
        <w:rPr>
          <w:rFonts w:hint="cs"/>
          <w:b/>
          <w:bCs/>
          <w:rtl/>
        </w:rPr>
        <w:t xml:space="preserve">בתיק 3391/02/14 בגין 176 שתילים ו </w:t>
      </w:r>
      <w:r>
        <w:rPr>
          <w:b/>
          <w:bCs/>
          <w:rtl/>
        </w:rPr>
        <w:t>–</w:t>
      </w:r>
      <w:r>
        <w:rPr>
          <w:rFonts w:hint="cs"/>
          <w:b/>
          <w:bCs/>
          <w:rtl/>
        </w:rPr>
        <w:t xml:space="preserve"> 16.76 ק"ג של סם נגזרו על הנאשם 10 חודשי מאסר בפועל.</w:t>
      </w:r>
    </w:p>
    <w:p w14:paraId="628BD38E" w14:textId="77777777" w:rsidR="008D1BA6" w:rsidRDefault="00CD3B39">
      <w:pPr>
        <w:spacing w:line="360" w:lineRule="auto"/>
        <w:jc w:val="both"/>
        <w:rPr>
          <w:b/>
          <w:bCs/>
          <w:rtl/>
        </w:rPr>
      </w:pPr>
      <w:r>
        <w:rPr>
          <w:rFonts w:hint="cs"/>
          <w:b/>
          <w:bCs/>
          <w:rtl/>
        </w:rPr>
        <w:t xml:space="preserve">בתיק 29401/11/12 בגין 392 שתילים ו- 24.4 ק"ג של סם נגזרו על הנאשם 12 חודשי מאסר בפועל. </w:t>
      </w:r>
    </w:p>
    <w:p w14:paraId="293FCAC0" w14:textId="77777777" w:rsidR="008D1BA6" w:rsidRDefault="008D1BA6">
      <w:pPr>
        <w:spacing w:line="360" w:lineRule="auto"/>
        <w:jc w:val="both"/>
        <w:rPr>
          <w:b/>
          <w:bCs/>
          <w:rtl/>
        </w:rPr>
      </w:pPr>
    </w:p>
    <w:p w14:paraId="0F51EB44" w14:textId="77777777" w:rsidR="008D1BA6" w:rsidRDefault="00CD3B39">
      <w:pPr>
        <w:spacing w:line="360" w:lineRule="auto"/>
        <w:jc w:val="both"/>
        <w:rPr>
          <w:b/>
          <w:bCs/>
          <w:rtl/>
        </w:rPr>
      </w:pPr>
      <w:r>
        <w:rPr>
          <w:rFonts w:hint="cs"/>
          <w:b/>
          <w:bCs/>
          <w:rtl/>
        </w:rPr>
        <w:t xml:space="preserve">סקירה זו מציטוטי הסניגור מתייחסת אך ורק לכמויות הסם והשתילים ואינה מתייחסת לנסיבות אישיות וכיו"ב, שבשיקולי הענישה. </w:t>
      </w:r>
    </w:p>
    <w:p w14:paraId="54BB3611" w14:textId="77777777" w:rsidR="008D1BA6" w:rsidRDefault="008D1BA6">
      <w:pPr>
        <w:spacing w:line="360" w:lineRule="auto"/>
        <w:jc w:val="both"/>
        <w:rPr>
          <w:b/>
          <w:bCs/>
          <w:rtl/>
        </w:rPr>
      </w:pPr>
    </w:p>
    <w:p w14:paraId="2D160404" w14:textId="77777777" w:rsidR="008D1BA6" w:rsidRDefault="008D1BA6">
      <w:pPr>
        <w:spacing w:line="360" w:lineRule="auto"/>
        <w:jc w:val="both"/>
        <w:rPr>
          <w:b/>
          <w:bCs/>
          <w:rtl/>
        </w:rPr>
      </w:pPr>
    </w:p>
    <w:p w14:paraId="40A4DF20" w14:textId="77777777" w:rsidR="008D1BA6" w:rsidRDefault="00CD3B39">
      <w:pPr>
        <w:spacing w:line="360" w:lineRule="auto"/>
        <w:jc w:val="both"/>
        <w:rPr>
          <w:b/>
          <w:bCs/>
          <w:rtl/>
        </w:rPr>
      </w:pPr>
      <w:r>
        <w:rPr>
          <w:rFonts w:hint="cs"/>
          <w:b/>
          <w:bCs/>
          <w:rtl/>
        </w:rPr>
        <w:t xml:space="preserve">יינתן משקל לנסיבותיו האישיות של הנאשם כפי שתוארו על ידי בא כוחו וכפי שהובאו בתסקיר שירות המבחן, אך עם זאת יינתן להן משקל מסויים בלבד. כפי שצויין לעיל, ניתן להבין, גם אם לא להצדיק, כי בשל משבר בחייו האישיים החל הנאשם לעשות שימוש בסמים, אולם לא מצאתי כל הסבר סביר והגיוני לקשר שבין משברים אלה לגידול סמים בהיקף כזה, בתחכום כזה, ותוך הפגנת תכנון ומקצועיות כפי שעלה במקרה דנן. </w:t>
      </w:r>
    </w:p>
    <w:p w14:paraId="1010A805" w14:textId="77777777" w:rsidR="008D1BA6" w:rsidRDefault="00CD3B39">
      <w:pPr>
        <w:spacing w:line="360" w:lineRule="auto"/>
        <w:jc w:val="both"/>
        <w:rPr>
          <w:b/>
          <w:bCs/>
          <w:rtl/>
        </w:rPr>
      </w:pPr>
      <w:r>
        <w:rPr>
          <w:rFonts w:hint="cs"/>
          <w:b/>
          <w:bCs/>
          <w:rtl/>
        </w:rPr>
        <w:t xml:space="preserve">ומעבר לכך, בעבירות מעין אלה </w:t>
      </w:r>
      <w:r>
        <w:rPr>
          <w:b/>
          <w:bCs/>
          <w:rtl/>
        </w:rPr>
        <w:t>–</w:t>
      </w:r>
      <w:r>
        <w:rPr>
          <w:rFonts w:hint="cs"/>
          <w:b/>
          <w:bCs/>
          <w:rtl/>
        </w:rPr>
        <w:t xml:space="preserve"> יש להעדיף את האינטרס הציבורי. </w:t>
      </w:r>
    </w:p>
    <w:p w14:paraId="6A0A6FAD" w14:textId="77777777" w:rsidR="008D1BA6" w:rsidRDefault="00CD3B39">
      <w:pPr>
        <w:spacing w:line="360" w:lineRule="auto"/>
        <w:jc w:val="both"/>
        <w:rPr>
          <w:b/>
          <w:bCs/>
          <w:rtl/>
        </w:rPr>
      </w:pPr>
      <w:r>
        <w:rPr>
          <w:rFonts w:hint="cs"/>
          <w:b/>
          <w:bCs/>
          <w:rtl/>
        </w:rPr>
        <w:t xml:space="preserve"> נתתי משקל להודאתו של הנאשם באשמה ולנטילת האחריות כמו גם לכך שהנאשם נרתם לטיפול ואף נתרם מטיפול זה, כעולה מתסקיר שירות המבחן.</w:t>
      </w:r>
    </w:p>
    <w:p w14:paraId="2D6B31F7" w14:textId="77777777" w:rsidR="008D1BA6" w:rsidRDefault="008D1BA6">
      <w:pPr>
        <w:spacing w:line="360" w:lineRule="auto"/>
        <w:jc w:val="both"/>
        <w:rPr>
          <w:b/>
          <w:bCs/>
          <w:rtl/>
        </w:rPr>
      </w:pPr>
    </w:p>
    <w:p w14:paraId="04689CB6" w14:textId="77777777" w:rsidR="008D1BA6" w:rsidRDefault="00CD3B39">
      <w:pPr>
        <w:spacing w:line="360" w:lineRule="auto"/>
        <w:jc w:val="both"/>
        <w:rPr>
          <w:b/>
          <w:bCs/>
          <w:rtl/>
        </w:rPr>
      </w:pPr>
      <w:r>
        <w:rPr>
          <w:rFonts w:hint="cs"/>
          <w:b/>
          <w:bCs/>
          <w:rtl/>
        </w:rPr>
        <w:t xml:space="preserve">ויחד עם זאת, לא אוכל לקבל את המלצות שירות המבחן באשר לענישה. </w:t>
      </w:r>
    </w:p>
    <w:p w14:paraId="3C50ACA3" w14:textId="77777777" w:rsidR="008D1BA6" w:rsidRDefault="00CD3B39">
      <w:pPr>
        <w:spacing w:line="360" w:lineRule="auto"/>
        <w:jc w:val="both"/>
        <w:rPr>
          <w:b/>
          <w:bCs/>
          <w:rtl/>
        </w:rPr>
      </w:pPr>
      <w:r>
        <w:rPr>
          <w:rFonts w:hint="cs"/>
          <w:b/>
          <w:bCs/>
          <w:rtl/>
        </w:rPr>
        <w:t xml:space="preserve">לא אחת נאמר על ידי ביהמ"ש העליון כי המלצותיו של שירות המבחן יובאו אך כשיקול אחד במכלול שיקוליו של ביהמ"ש בבואו לגזור את הדין. </w:t>
      </w:r>
    </w:p>
    <w:p w14:paraId="7DFBBDBB" w14:textId="77777777" w:rsidR="008D1BA6" w:rsidRDefault="00CD3B39">
      <w:pPr>
        <w:spacing w:line="360" w:lineRule="auto"/>
        <w:jc w:val="both"/>
        <w:rPr>
          <w:b/>
          <w:bCs/>
          <w:rtl/>
        </w:rPr>
      </w:pPr>
      <w:r>
        <w:rPr>
          <w:rFonts w:hint="cs"/>
          <w:b/>
          <w:bCs/>
          <w:rtl/>
        </w:rPr>
        <w:t>כך נקבע ב</w:t>
      </w:r>
      <w:hyperlink r:id="rId8" w:history="1">
        <w:r w:rsidRPr="00CD3B39">
          <w:rPr>
            <w:b/>
            <w:bCs/>
            <w:color w:val="0000FF"/>
            <w:u w:val="single"/>
            <w:rtl/>
          </w:rPr>
          <w:t>רע"פ 3058/07</w:t>
        </w:r>
      </w:hyperlink>
      <w:r>
        <w:rPr>
          <w:rFonts w:hint="cs"/>
          <w:b/>
          <w:bCs/>
          <w:rtl/>
        </w:rPr>
        <w:t xml:space="preserve"> פז נ' מ"י..:</w:t>
      </w:r>
    </w:p>
    <w:p w14:paraId="3DAAAAF1" w14:textId="77777777" w:rsidR="008D1BA6" w:rsidRDefault="008D1BA6">
      <w:pPr>
        <w:spacing w:line="360" w:lineRule="auto"/>
        <w:jc w:val="both"/>
        <w:rPr>
          <w:b/>
          <w:bCs/>
          <w:rtl/>
        </w:rPr>
      </w:pPr>
    </w:p>
    <w:p w14:paraId="576CAAB4" w14:textId="77777777" w:rsidR="008D1BA6" w:rsidRDefault="00CD3B39">
      <w:pPr>
        <w:spacing w:line="360" w:lineRule="auto"/>
        <w:jc w:val="both"/>
        <w:rPr>
          <w:b/>
          <w:bCs/>
          <w:rtl/>
        </w:rPr>
      </w:pPr>
      <w:r>
        <w:rPr>
          <w:rFonts w:hint="cs"/>
          <w:b/>
          <w:bCs/>
          <w:rtl/>
        </w:rPr>
        <w:t>"מתפקידו של ביהמ"ש</w:t>
      </w:r>
      <w:r>
        <w:rPr>
          <w:b/>
          <w:bCs/>
        </w:rPr>
        <w:t xml:space="preserve"> </w:t>
      </w:r>
      <w:r>
        <w:rPr>
          <w:rFonts w:hint="cs"/>
          <w:b/>
          <w:bCs/>
          <w:rtl/>
        </w:rPr>
        <w:t>להעריך ולשקול נסיבות רבות ומגוונות, כמו למשל חומרת העבירה ונפיצותה בציבור, הגנה על שלום הציבור וביטחונו, הרתעת העבריין והעבריינים בכוח, התגמול שבענישה וכיוצא באלה. שיקולים אלה אינם מתחום שיקוליו של קצין המבחן ואין הוא אף מוסמך להמליץ לגביהם. השופט הוא אשר ישים במאזני שיקוליו, כאחד השיקולים החשובים, גם את המלצתו של קצין המבחן, אך בכך לא סגי. "</w:t>
      </w:r>
    </w:p>
    <w:p w14:paraId="7EDD9C58" w14:textId="77777777" w:rsidR="008D1BA6" w:rsidRDefault="008D1BA6">
      <w:pPr>
        <w:spacing w:line="360" w:lineRule="auto"/>
        <w:jc w:val="both"/>
        <w:rPr>
          <w:b/>
          <w:bCs/>
          <w:rtl/>
        </w:rPr>
      </w:pPr>
    </w:p>
    <w:p w14:paraId="16C3DDD3" w14:textId="77777777" w:rsidR="008D1BA6" w:rsidRDefault="00CD3B39">
      <w:pPr>
        <w:spacing w:line="360" w:lineRule="auto"/>
        <w:jc w:val="both"/>
        <w:rPr>
          <w:b/>
          <w:bCs/>
          <w:rtl/>
        </w:rPr>
      </w:pPr>
      <w:r>
        <w:rPr>
          <w:rFonts w:hint="cs"/>
          <w:b/>
          <w:bCs/>
          <w:rtl/>
        </w:rPr>
        <w:t xml:space="preserve">ראה לענין זה גם </w:t>
      </w:r>
      <w:hyperlink r:id="rId9" w:history="1">
        <w:r w:rsidRPr="00CD3B39">
          <w:rPr>
            <w:b/>
            <w:bCs/>
            <w:color w:val="0000FF"/>
            <w:u w:val="single"/>
            <w:rtl/>
          </w:rPr>
          <w:t>ע"פ 405/06</w:t>
        </w:r>
      </w:hyperlink>
      <w:r>
        <w:rPr>
          <w:rFonts w:hint="cs"/>
          <w:b/>
          <w:bCs/>
          <w:rtl/>
        </w:rPr>
        <w:t xml:space="preserve"> מ"י נ. חליחל. </w:t>
      </w:r>
    </w:p>
    <w:p w14:paraId="732192E2" w14:textId="77777777" w:rsidR="008D1BA6" w:rsidRDefault="008D1BA6">
      <w:pPr>
        <w:spacing w:line="360" w:lineRule="auto"/>
        <w:jc w:val="both"/>
        <w:rPr>
          <w:b/>
          <w:bCs/>
          <w:rtl/>
        </w:rPr>
      </w:pPr>
    </w:p>
    <w:p w14:paraId="6A0CE0E2" w14:textId="77777777" w:rsidR="008D1BA6" w:rsidRDefault="008D1BA6">
      <w:pPr>
        <w:spacing w:line="360" w:lineRule="auto"/>
        <w:jc w:val="both"/>
        <w:rPr>
          <w:b/>
          <w:bCs/>
          <w:rtl/>
        </w:rPr>
      </w:pPr>
    </w:p>
    <w:p w14:paraId="0B1C36D1" w14:textId="77777777" w:rsidR="008D1BA6" w:rsidRDefault="00CD3B39">
      <w:pPr>
        <w:spacing w:line="360" w:lineRule="auto"/>
        <w:jc w:val="both"/>
        <w:rPr>
          <w:b/>
          <w:bCs/>
          <w:rtl/>
        </w:rPr>
      </w:pPr>
      <w:r>
        <w:rPr>
          <w:rFonts w:hint="cs"/>
          <w:b/>
          <w:bCs/>
          <w:rtl/>
        </w:rPr>
        <w:t xml:space="preserve">ואף באשר לטיפול אליו נרתם הנאשם </w:t>
      </w:r>
      <w:r>
        <w:rPr>
          <w:b/>
          <w:bCs/>
          <w:rtl/>
        </w:rPr>
        <w:t>–</w:t>
      </w:r>
      <w:r>
        <w:rPr>
          <w:rFonts w:hint="cs"/>
          <w:b/>
          <w:bCs/>
          <w:rtl/>
        </w:rPr>
        <w:t xml:space="preserve"> אף הוא אינו חזות הכל וכפי שנקבע על ידי ביהמ"ש העליון:</w:t>
      </w:r>
    </w:p>
    <w:p w14:paraId="546F94F0" w14:textId="77777777" w:rsidR="008D1BA6" w:rsidRDefault="008D1BA6">
      <w:pPr>
        <w:spacing w:line="360" w:lineRule="auto"/>
        <w:jc w:val="both"/>
        <w:rPr>
          <w:b/>
          <w:bCs/>
          <w:rtl/>
        </w:rPr>
      </w:pPr>
    </w:p>
    <w:p w14:paraId="57B1B10C" w14:textId="77777777" w:rsidR="008D1BA6" w:rsidRDefault="00CD3B39">
      <w:pPr>
        <w:spacing w:line="360" w:lineRule="auto"/>
        <w:jc w:val="both"/>
        <w:rPr>
          <w:b/>
          <w:bCs/>
          <w:rtl/>
        </w:rPr>
      </w:pPr>
      <w:r>
        <w:rPr>
          <w:rFonts w:hint="cs"/>
          <w:b/>
          <w:bCs/>
          <w:rtl/>
        </w:rPr>
        <w:t xml:space="preserve">"... אך שיקול השיקום אינו בא להחליף את עיקרון ההלימה ולא בכל מקרה ומקרה הוא יביא לחריגה לקולא ממתחם הענישה שנקבע" </w:t>
      </w:r>
    </w:p>
    <w:p w14:paraId="56E20ED9" w14:textId="77777777" w:rsidR="008D1BA6" w:rsidRDefault="00CD3B39">
      <w:pPr>
        <w:spacing w:line="360" w:lineRule="auto"/>
        <w:jc w:val="both"/>
        <w:rPr>
          <w:b/>
          <w:bCs/>
          <w:rtl/>
        </w:rPr>
      </w:pPr>
      <w:hyperlink r:id="rId10" w:history="1">
        <w:r w:rsidRPr="00CD3B39">
          <w:rPr>
            <w:b/>
            <w:bCs/>
            <w:color w:val="0000FF"/>
            <w:u w:val="single"/>
            <w:rtl/>
          </w:rPr>
          <w:t>ע"פ 452/14</w:t>
        </w:r>
      </w:hyperlink>
      <w:r>
        <w:rPr>
          <w:rFonts w:hint="cs"/>
          <w:b/>
          <w:bCs/>
          <w:rtl/>
        </w:rPr>
        <w:t xml:space="preserve"> דבוש נ. מ"י. </w:t>
      </w:r>
    </w:p>
    <w:p w14:paraId="39606D7B" w14:textId="77777777" w:rsidR="008D1BA6" w:rsidRDefault="008D1BA6">
      <w:pPr>
        <w:spacing w:line="360" w:lineRule="auto"/>
        <w:jc w:val="both"/>
        <w:rPr>
          <w:b/>
          <w:bCs/>
          <w:rtl/>
        </w:rPr>
      </w:pPr>
    </w:p>
    <w:p w14:paraId="4354C892" w14:textId="77777777" w:rsidR="008D1BA6" w:rsidRDefault="008D1BA6">
      <w:pPr>
        <w:spacing w:line="360" w:lineRule="auto"/>
        <w:jc w:val="both"/>
        <w:rPr>
          <w:b/>
          <w:bCs/>
          <w:rtl/>
        </w:rPr>
      </w:pPr>
    </w:p>
    <w:p w14:paraId="269F6E6B" w14:textId="77777777" w:rsidR="008D1BA6" w:rsidRDefault="00CD3B39">
      <w:pPr>
        <w:spacing w:line="360" w:lineRule="auto"/>
        <w:jc w:val="both"/>
        <w:rPr>
          <w:b/>
          <w:bCs/>
          <w:rtl/>
        </w:rPr>
      </w:pPr>
      <w:r>
        <w:rPr>
          <w:rFonts w:hint="cs"/>
          <w:b/>
          <w:bCs/>
          <w:rtl/>
        </w:rPr>
        <w:t xml:space="preserve">סוף דבר ולאחר שיקול מכלול השיקולים, אני גוזרת על הנאשם את העונשים הבאים </w:t>
      </w:r>
      <w:r>
        <w:rPr>
          <w:b/>
          <w:bCs/>
          <w:rtl/>
        </w:rPr>
        <w:t>–</w:t>
      </w:r>
      <w:r>
        <w:rPr>
          <w:rFonts w:hint="cs"/>
          <w:b/>
          <w:bCs/>
          <w:rtl/>
        </w:rPr>
        <w:t xml:space="preserve"> </w:t>
      </w:r>
    </w:p>
    <w:p w14:paraId="4D5BCF7E" w14:textId="77777777" w:rsidR="008D1BA6" w:rsidRDefault="008D1BA6">
      <w:pPr>
        <w:spacing w:line="360" w:lineRule="auto"/>
        <w:jc w:val="both"/>
        <w:rPr>
          <w:b/>
          <w:bCs/>
          <w:rtl/>
        </w:rPr>
      </w:pPr>
    </w:p>
    <w:p w14:paraId="5633FFB2" w14:textId="77777777" w:rsidR="008D1BA6" w:rsidRDefault="00CD3B39">
      <w:pPr>
        <w:spacing w:line="360" w:lineRule="auto"/>
        <w:jc w:val="both"/>
        <w:rPr>
          <w:b/>
          <w:bCs/>
          <w:rtl/>
        </w:rPr>
      </w:pPr>
      <w:r>
        <w:rPr>
          <w:rFonts w:hint="cs"/>
          <w:b/>
          <w:bCs/>
          <w:rtl/>
        </w:rPr>
        <w:t>עשרה חודשי מאסר לריצוי בפועל .</w:t>
      </w:r>
    </w:p>
    <w:p w14:paraId="23E53139" w14:textId="77777777" w:rsidR="008D1BA6" w:rsidRDefault="00CD3B39">
      <w:pPr>
        <w:spacing w:line="360" w:lineRule="auto"/>
        <w:jc w:val="both"/>
        <w:rPr>
          <w:b/>
          <w:bCs/>
          <w:rtl/>
        </w:rPr>
      </w:pPr>
      <w:r>
        <w:rPr>
          <w:rFonts w:hint="cs"/>
          <w:b/>
          <w:bCs/>
          <w:rtl/>
        </w:rPr>
        <w:t xml:space="preserve">מתקופה זו יש לנכות את ימי מעצרו של הנאשם </w:t>
      </w:r>
      <w:r>
        <w:rPr>
          <w:b/>
          <w:bCs/>
          <w:rtl/>
        </w:rPr>
        <w:t>–</w:t>
      </w:r>
      <w:r>
        <w:rPr>
          <w:rFonts w:hint="cs"/>
          <w:b/>
          <w:bCs/>
          <w:rtl/>
        </w:rPr>
        <w:t xml:space="preserve"> 20/3/14-25/3/14.</w:t>
      </w:r>
    </w:p>
    <w:p w14:paraId="2A9E1E37" w14:textId="77777777" w:rsidR="008D1BA6" w:rsidRDefault="008D1BA6">
      <w:pPr>
        <w:spacing w:line="360" w:lineRule="auto"/>
        <w:jc w:val="both"/>
        <w:rPr>
          <w:b/>
          <w:bCs/>
          <w:rtl/>
        </w:rPr>
      </w:pPr>
    </w:p>
    <w:p w14:paraId="0EF9FAE7" w14:textId="77777777" w:rsidR="008D1BA6" w:rsidRDefault="00CD3B39">
      <w:pPr>
        <w:spacing w:line="360" w:lineRule="auto"/>
        <w:jc w:val="both"/>
        <w:rPr>
          <w:b/>
          <w:bCs/>
          <w:rtl/>
        </w:rPr>
      </w:pPr>
      <w:r>
        <w:rPr>
          <w:rFonts w:hint="cs"/>
          <w:b/>
          <w:bCs/>
          <w:rtl/>
        </w:rPr>
        <w:t xml:space="preserve">שמונה חודשי מאסר על תנאי למשך שלוש שנים לבל יעבור עבירה כלשהי על פקודת הסמים שהיא פשע. </w:t>
      </w:r>
    </w:p>
    <w:p w14:paraId="271B1802" w14:textId="77777777" w:rsidR="008D1BA6" w:rsidRDefault="008D1BA6">
      <w:pPr>
        <w:spacing w:line="360" w:lineRule="auto"/>
        <w:jc w:val="both"/>
        <w:rPr>
          <w:b/>
          <w:bCs/>
          <w:rtl/>
        </w:rPr>
      </w:pPr>
    </w:p>
    <w:p w14:paraId="5574BF05" w14:textId="77777777" w:rsidR="008D1BA6" w:rsidRDefault="00CD3B39">
      <w:pPr>
        <w:spacing w:line="360" w:lineRule="auto"/>
        <w:jc w:val="both"/>
        <w:rPr>
          <w:b/>
          <w:bCs/>
          <w:rtl/>
        </w:rPr>
      </w:pPr>
      <w:r>
        <w:rPr>
          <w:rFonts w:hint="cs"/>
          <w:b/>
          <w:bCs/>
          <w:rtl/>
        </w:rPr>
        <w:t xml:space="preserve">חמישה חודשי מאסר על תנאי למשך שלוש שנים לבל יעבור עבירה כלשהי לפי </w:t>
      </w:r>
      <w:hyperlink r:id="rId11" w:history="1">
        <w:r w:rsidRPr="00CD3B39">
          <w:rPr>
            <w:b/>
            <w:bCs/>
            <w:color w:val="0000FF"/>
            <w:u w:val="single"/>
            <w:rtl/>
          </w:rPr>
          <w:t>פקודת הסמים המסוכנים</w:t>
        </w:r>
      </w:hyperlink>
      <w:r>
        <w:rPr>
          <w:rFonts w:hint="cs"/>
          <w:b/>
          <w:bCs/>
          <w:rtl/>
        </w:rPr>
        <w:t xml:space="preserve"> שהיא עוון. </w:t>
      </w:r>
    </w:p>
    <w:p w14:paraId="7AD108CA" w14:textId="77777777" w:rsidR="008D1BA6" w:rsidRDefault="008D1BA6">
      <w:pPr>
        <w:spacing w:line="360" w:lineRule="auto"/>
        <w:jc w:val="both"/>
        <w:rPr>
          <w:b/>
          <w:bCs/>
          <w:rtl/>
        </w:rPr>
      </w:pPr>
    </w:p>
    <w:p w14:paraId="404B35C1" w14:textId="77777777" w:rsidR="008D1BA6" w:rsidRDefault="00CD3B39">
      <w:pPr>
        <w:spacing w:line="360" w:lineRule="auto"/>
        <w:jc w:val="both"/>
        <w:rPr>
          <w:b/>
          <w:bCs/>
          <w:rtl/>
        </w:rPr>
      </w:pPr>
      <w:r>
        <w:rPr>
          <w:rFonts w:hint="cs"/>
          <w:b/>
          <w:bCs/>
          <w:rtl/>
        </w:rPr>
        <w:t>אני מטילה על הנאשם קנס בסכום של 5000 ₪ או 35 ימי מאסר תמורתו.</w:t>
      </w:r>
    </w:p>
    <w:p w14:paraId="2059F712" w14:textId="77777777" w:rsidR="008D1BA6" w:rsidRDefault="00CD3B39">
      <w:pPr>
        <w:spacing w:line="360" w:lineRule="auto"/>
        <w:jc w:val="both"/>
        <w:rPr>
          <w:b/>
          <w:bCs/>
          <w:rtl/>
        </w:rPr>
      </w:pPr>
      <w:r>
        <w:rPr>
          <w:rFonts w:hint="cs"/>
          <w:b/>
          <w:bCs/>
          <w:rtl/>
        </w:rPr>
        <w:t xml:space="preserve">הקנס ישולם בשבעה תשלומים חודשיים שווים ורצופים שהראשון בהם ביום 1/5/15 והבאים אחריו בכל 1 לחודש שלאחר מכן. לא ישולם תשלום במועדו, יעמוד כל הסכום לפרעון מיידי. </w:t>
      </w:r>
    </w:p>
    <w:p w14:paraId="36682BBB" w14:textId="77777777" w:rsidR="008D1BA6" w:rsidRDefault="008D1BA6">
      <w:pPr>
        <w:spacing w:line="360" w:lineRule="auto"/>
        <w:jc w:val="both"/>
        <w:rPr>
          <w:b/>
          <w:bCs/>
          <w:rtl/>
        </w:rPr>
      </w:pPr>
    </w:p>
    <w:p w14:paraId="556275A1" w14:textId="77777777" w:rsidR="008D1BA6" w:rsidRDefault="00CD3B39">
      <w:pPr>
        <w:spacing w:line="360" w:lineRule="auto"/>
        <w:jc w:val="both"/>
        <w:rPr>
          <w:b/>
          <w:bCs/>
          <w:rtl/>
        </w:rPr>
      </w:pPr>
      <w:r>
        <w:rPr>
          <w:rFonts w:hint="cs"/>
          <w:b/>
          <w:bCs/>
          <w:rtl/>
        </w:rPr>
        <w:t xml:space="preserve">סמים שנתפסו במהלך החקירה </w:t>
      </w:r>
      <w:r>
        <w:rPr>
          <w:b/>
          <w:bCs/>
          <w:rtl/>
        </w:rPr>
        <w:t>–</w:t>
      </w:r>
      <w:r>
        <w:rPr>
          <w:rFonts w:hint="cs"/>
          <w:b/>
          <w:bCs/>
          <w:rtl/>
        </w:rPr>
        <w:t xml:space="preserve"> יושמדו.</w:t>
      </w:r>
    </w:p>
    <w:p w14:paraId="3D479361" w14:textId="77777777" w:rsidR="008D1BA6" w:rsidRDefault="00CD3B39">
      <w:pPr>
        <w:spacing w:line="360" w:lineRule="auto"/>
        <w:jc w:val="both"/>
        <w:rPr>
          <w:b/>
          <w:bCs/>
          <w:rtl/>
        </w:rPr>
      </w:pPr>
      <w:r>
        <w:rPr>
          <w:rFonts w:hint="cs"/>
          <w:b/>
          <w:bCs/>
          <w:rtl/>
        </w:rPr>
        <w:t xml:space="preserve">מוצגים נוספים יושמדו או יחולטו </w:t>
      </w:r>
      <w:r>
        <w:rPr>
          <w:b/>
          <w:bCs/>
          <w:rtl/>
        </w:rPr>
        <w:t>–</w:t>
      </w:r>
      <w:r>
        <w:rPr>
          <w:rFonts w:hint="cs"/>
          <w:b/>
          <w:bCs/>
          <w:rtl/>
        </w:rPr>
        <w:t xml:space="preserve"> על פי שיקול דעתו של קצין משטרה. </w:t>
      </w:r>
      <w:bookmarkStart w:id="8" w:name="_GoBack"/>
      <w:bookmarkEnd w:id="8"/>
    </w:p>
    <w:p w14:paraId="7DEDCDAC" w14:textId="77777777" w:rsidR="008D1BA6" w:rsidRDefault="00CD3B39">
      <w:pPr>
        <w:spacing w:line="360" w:lineRule="auto"/>
        <w:jc w:val="both"/>
        <w:rPr>
          <w:b/>
          <w:bCs/>
          <w:rtl/>
        </w:rPr>
      </w:pPr>
      <w:r>
        <w:rPr>
          <w:rFonts w:hint="cs"/>
          <w:b/>
          <w:bCs/>
          <w:rtl/>
        </w:rPr>
        <w:t>סכום של 2000 ₪ שנתפס יחולט.</w:t>
      </w:r>
    </w:p>
    <w:p w14:paraId="26F82CBB" w14:textId="77777777" w:rsidR="008D1BA6" w:rsidRDefault="008D1BA6">
      <w:pPr>
        <w:spacing w:line="360" w:lineRule="auto"/>
        <w:jc w:val="both"/>
        <w:rPr>
          <w:b/>
          <w:bCs/>
          <w:rtl/>
        </w:rPr>
      </w:pPr>
    </w:p>
    <w:p w14:paraId="19D8D57B" w14:textId="77777777" w:rsidR="008D1BA6" w:rsidRDefault="00CD3B39">
      <w:pPr>
        <w:spacing w:line="360" w:lineRule="auto"/>
        <w:jc w:val="both"/>
        <w:rPr>
          <w:b/>
          <w:bCs/>
          <w:rtl/>
        </w:rPr>
      </w:pPr>
      <w:r>
        <w:rPr>
          <w:rFonts w:hint="cs"/>
          <w:b/>
          <w:bCs/>
          <w:rtl/>
        </w:rPr>
        <w:t>זכות ערעור כחוק.</w:t>
      </w:r>
    </w:p>
    <w:p w14:paraId="2E829777" w14:textId="77777777" w:rsidR="008D1BA6" w:rsidRPr="00CD3B39" w:rsidRDefault="00CD3B39">
      <w:pPr>
        <w:spacing w:line="360" w:lineRule="auto"/>
        <w:jc w:val="both"/>
        <w:rPr>
          <w:b/>
          <w:bCs/>
          <w:color w:val="FFFFFF"/>
          <w:sz w:val="2"/>
          <w:szCs w:val="2"/>
          <w:rtl/>
        </w:rPr>
      </w:pPr>
      <w:r w:rsidRPr="00CD3B39">
        <w:rPr>
          <w:b/>
          <w:bCs/>
          <w:color w:val="FFFFFF"/>
          <w:sz w:val="2"/>
          <w:szCs w:val="2"/>
          <w:rtl/>
        </w:rPr>
        <w:t>5129371</w:t>
      </w:r>
    </w:p>
    <w:p w14:paraId="62F98A84" w14:textId="77777777" w:rsidR="008D1BA6" w:rsidRDefault="00CD3B39">
      <w:pPr>
        <w:spacing w:line="360" w:lineRule="auto"/>
        <w:jc w:val="both"/>
        <w:rPr>
          <w:rFonts w:cs="FrankRuehl"/>
          <w:b/>
          <w:bCs/>
          <w:sz w:val="28"/>
          <w:szCs w:val="28"/>
          <w:rtl/>
        </w:rPr>
      </w:pPr>
      <w:r w:rsidRPr="00CD3B39">
        <w:rPr>
          <w:rFonts w:ascii="Arial" w:hAnsi="Arial"/>
          <w:b/>
          <w:bCs/>
          <w:color w:val="FFFFFF"/>
          <w:sz w:val="2"/>
          <w:szCs w:val="2"/>
          <w:rtl/>
        </w:rPr>
        <w:t>54678313</w:t>
      </w:r>
      <w:r>
        <w:rPr>
          <w:rFonts w:ascii="Arial" w:hAnsi="Arial"/>
          <w:b/>
          <w:bCs/>
          <w:rtl/>
        </w:rPr>
        <w:t xml:space="preserve">ניתן היום,  י"ז אדר תשע"ה, 08 מרץ 2015, במעמד הצדדים. </w:t>
      </w:r>
    </w:p>
    <w:p w14:paraId="1A43E570" w14:textId="77777777" w:rsidR="008D1BA6" w:rsidRDefault="00CD3B39">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39C5BA5A" w14:textId="77777777" w:rsidR="008D1BA6" w:rsidRPr="006E32CB" w:rsidRDefault="006E32CB">
      <w:pPr>
        <w:pStyle w:val="a3"/>
        <w:spacing w:line="360" w:lineRule="auto"/>
        <w:jc w:val="both"/>
        <w:rPr>
          <w:b/>
          <w:bCs/>
          <w:color w:val="FFFFFF"/>
          <w:sz w:val="2"/>
          <w:szCs w:val="2"/>
          <w:rtl/>
        </w:rPr>
      </w:pPr>
      <w:r w:rsidRPr="006E32CB">
        <w:rPr>
          <w:b/>
          <w:bCs/>
          <w:color w:val="FFFFFF"/>
          <w:sz w:val="2"/>
          <w:szCs w:val="2"/>
          <w:rtl/>
        </w:rPr>
        <w:t>5129371</w:t>
      </w:r>
    </w:p>
    <w:p w14:paraId="718ADF2A" w14:textId="77777777" w:rsidR="00CD3B39" w:rsidRPr="006E32CB" w:rsidRDefault="006E32CB" w:rsidP="00CD3B39">
      <w:pPr>
        <w:keepNext/>
        <w:rPr>
          <w:rFonts w:ascii="David" w:hAnsi="David"/>
          <w:color w:val="FFFFFF"/>
          <w:sz w:val="2"/>
          <w:szCs w:val="2"/>
          <w:rtl/>
        </w:rPr>
      </w:pPr>
      <w:r w:rsidRPr="006E32CB">
        <w:rPr>
          <w:rFonts w:ascii="David" w:hAnsi="David"/>
          <w:color w:val="FFFFFF"/>
          <w:sz w:val="2"/>
          <w:szCs w:val="2"/>
          <w:rtl/>
        </w:rPr>
        <w:t>54678313</w:t>
      </w:r>
    </w:p>
    <w:p w14:paraId="77A0519B" w14:textId="77777777" w:rsidR="00CD3B39" w:rsidRDefault="00CD3B39" w:rsidP="00CD3B39">
      <w:r w:rsidRPr="00CD3B39">
        <w:rPr>
          <w:color w:val="000000"/>
          <w:rtl/>
        </w:rPr>
        <w:t>נוסח מסמך זה כפוף לשינויי ניסוח ועריכה</w:t>
      </w:r>
    </w:p>
    <w:p w14:paraId="5C67912E" w14:textId="77777777" w:rsidR="00CD3B39" w:rsidRDefault="00CD3B39" w:rsidP="00CD3B39">
      <w:pPr>
        <w:rPr>
          <w:rtl/>
        </w:rPr>
      </w:pPr>
    </w:p>
    <w:p w14:paraId="0C3984E1" w14:textId="77777777" w:rsidR="00CD3B39" w:rsidRDefault="00CD3B39" w:rsidP="00CD3B39">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15AB662F" w14:textId="77777777" w:rsidR="006E32CB" w:rsidRPr="006E32CB" w:rsidRDefault="006E32CB" w:rsidP="006E32CB">
      <w:pPr>
        <w:keepNext/>
        <w:rPr>
          <w:rFonts w:ascii="David" w:hAnsi="David"/>
          <w:color w:val="000000"/>
          <w:sz w:val="22"/>
          <w:szCs w:val="22"/>
          <w:rtl/>
        </w:rPr>
      </w:pPr>
    </w:p>
    <w:p w14:paraId="6B7BE69F" w14:textId="77777777" w:rsidR="006E32CB" w:rsidRDefault="006E32CB" w:rsidP="006E32CB">
      <w:pPr>
        <w:keepNext/>
        <w:rPr>
          <w:rFonts w:ascii="David" w:hAnsi="David" w:hint="cs"/>
          <w:color w:val="000000"/>
          <w:sz w:val="22"/>
          <w:szCs w:val="22"/>
          <w:rtl/>
        </w:rPr>
      </w:pPr>
      <w:r w:rsidRPr="006E32CB">
        <w:rPr>
          <w:rFonts w:ascii="David" w:hAnsi="David"/>
          <w:color w:val="000000"/>
          <w:sz w:val="22"/>
          <w:szCs w:val="22"/>
          <w:rtl/>
        </w:rPr>
        <w:t>עינת רון 54678313-/</w:t>
      </w:r>
    </w:p>
    <w:p w14:paraId="0B4B61E5" w14:textId="77777777" w:rsidR="0073030A" w:rsidRDefault="0073030A" w:rsidP="006E32CB">
      <w:pPr>
        <w:keepNext/>
        <w:rPr>
          <w:rFonts w:ascii="David" w:hAnsi="David" w:hint="cs"/>
          <w:color w:val="000000"/>
          <w:sz w:val="22"/>
          <w:szCs w:val="22"/>
          <w:rtl/>
        </w:rPr>
      </w:pPr>
    </w:p>
    <w:p w14:paraId="65F732AE" w14:textId="77777777" w:rsidR="0073030A" w:rsidRPr="006E32CB" w:rsidRDefault="0073030A" w:rsidP="006E32CB">
      <w:pPr>
        <w:keepNext/>
        <w:rPr>
          <w:rFonts w:ascii="David" w:hAnsi="David"/>
          <w:color w:val="000000"/>
          <w:sz w:val="22"/>
          <w:szCs w:val="22"/>
          <w:rtl/>
        </w:rPr>
      </w:pPr>
    </w:p>
    <w:sectPr w:rsidR="0073030A" w:rsidRPr="006E32CB" w:rsidSect="006E32CB">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4430E" w14:textId="77777777" w:rsidR="003A15D6" w:rsidRPr="00DF39FA" w:rsidRDefault="003A15D6">
      <w:pPr>
        <w:rPr>
          <w:rFonts w:cs="Arial"/>
          <w:szCs w:val="20"/>
        </w:rPr>
      </w:pPr>
      <w:r>
        <w:separator/>
      </w:r>
    </w:p>
  </w:endnote>
  <w:endnote w:type="continuationSeparator" w:id="0">
    <w:p w14:paraId="2ED2D167" w14:textId="77777777" w:rsidR="003A15D6" w:rsidRPr="00DF39FA" w:rsidRDefault="003A15D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02B4D" w14:textId="77777777" w:rsidR="003A15D6" w:rsidRDefault="003A15D6" w:rsidP="006E32C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25A23DB" w14:textId="77777777" w:rsidR="003A15D6" w:rsidRPr="006E32CB" w:rsidRDefault="003A15D6" w:rsidP="006E32CB">
    <w:pPr>
      <w:pStyle w:val="a4"/>
      <w:pBdr>
        <w:top w:val="single" w:sz="4" w:space="1" w:color="auto"/>
        <w:between w:val="single" w:sz="4" w:space="0" w:color="auto"/>
      </w:pBdr>
      <w:spacing w:after="60"/>
      <w:jc w:val="center"/>
      <w:rPr>
        <w:rFonts w:ascii="FrankRuehl" w:hAnsi="FrankRuehl" w:cs="FrankRuehl"/>
        <w:color w:val="000000"/>
      </w:rPr>
    </w:pPr>
    <w:r w:rsidRPr="006E32C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3346B" w14:textId="77777777" w:rsidR="003A15D6" w:rsidRDefault="003A15D6" w:rsidP="006E32C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A755F">
      <w:rPr>
        <w:rFonts w:ascii="FrankRuehl" w:hAnsi="FrankRuehl" w:cs="FrankRuehl"/>
        <w:noProof/>
        <w:rtl/>
      </w:rPr>
      <w:t>1</w:t>
    </w:r>
    <w:r>
      <w:rPr>
        <w:rFonts w:ascii="FrankRuehl" w:hAnsi="FrankRuehl" w:cs="FrankRuehl"/>
        <w:rtl/>
      </w:rPr>
      <w:fldChar w:fldCharType="end"/>
    </w:r>
  </w:p>
  <w:p w14:paraId="627EAF41" w14:textId="77777777" w:rsidR="003A15D6" w:rsidRPr="006E32CB" w:rsidRDefault="003A15D6" w:rsidP="006E32CB">
    <w:pPr>
      <w:pStyle w:val="a4"/>
      <w:pBdr>
        <w:top w:val="single" w:sz="4" w:space="1" w:color="auto"/>
        <w:between w:val="single" w:sz="4" w:space="0" w:color="auto"/>
      </w:pBdr>
      <w:spacing w:after="60"/>
      <w:jc w:val="center"/>
      <w:rPr>
        <w:rFonts w:ascii="FrankRuehl" w:hAnsi="FrankRuehl" w:cs="FrankRuehl"/>
        <w:color w:val="000000"/>
      </w:rPr>
    </w:pPr>
    <w:r w:rsidRPr="006E32CB">
      <w:rPr>
        <w:rFonts w:ascii="FrankRuehl" w:hAnsi="FrankRuehl" w:cs="FrankRuehl"/>
        <w:color w:val="000000"/>
      </w:rPr>
      <w:pict w14:anchorId="15993D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4A101" w14:textId="77777777" w:rsidR="003A15D6" w:rsidRPr="00DF39FA" w:rsidRDefault="003A15D6">
      <w:pPr>
        <w:rPr>
          <w:rFonts w:cs="Arial"/>
          <w:szCs w:val="20"/>
        </w:rPr>
      </w:pPr>
      <w:r>
        <w:separator/>
      </w:r>
    </w:p>
  </w:footnote>
  <w:footnote w:type="continuationSeparator" w:id="0">
    <w:p w14:paraId="3FD47681" w14:textId="77777777" w:rsidR="003A15D6" w:rsidRPr="00DF39FA" w:rsidRDefault="003A15D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CD01BE" w14:textId="77777777" w:rsidR="003A15D6" w:rsidRPr="006E32CB" w:rsidRDefault="003A15D6" w:rsidP="006E32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262-04-14</w:t>
    </w:r>
    <w:r>
      <w:rPr>
        <w:rFonts w:ascii="David" w:hAnsi="David"/>
        <w:color w:val="000000"/>
        <w:sz w:val="22"/>
        <w:szCs w:val="22"/>
        <w:rtl/>
      </w:rPr>
      <w:tab/>
      <w:t xml:space="preserve"> מדינת ישראל נ' אברהם הרוש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1B4CA" w14:textId="77777777" w:rsidR="003A15D6" w:rsidRPr="006E32CB" w:rsidRDefault="003A15D6" w:rsidP="006E32C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262-04-14</w:t>
    </w:r>
    <w:r>
      <w:rPr>
        <w:rFonts w:ascii="David" w:hAnsi="David"/>
        <w:color w:val="000000"/>
        <w:sz w:val="22"/>
        <w:szCs w:val="22"/>
        <w:rtl/>
      </w:rPr>
      <w:tab/>
      <w:t xml:space="preserve"> מדינת ישראל נ' אברהם הרוש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D1BA6"/>
    <w:rsid w:val="00212548"/>
    <w:rsid w:val="00393659"/>
    <w:rsid w:val="003A15D6"/>
    <w:rsid w:val="003D48C6"/>
    <w:rsid w:val="006E32CB"/>
    <w:rsid w:val="0073030A"/>
    <w:rsid w:val="00864F51"/>
    <w:rsid w:val="0088137D"/>
    <w:rsid w:val="008C6315"/>
    <w:rsid w:val="008D1BA6"/>
    <w:rsid w:val="0098584C"/>
    <w:rsid w:val="009A755F"/>
    <w:rsid w:val="00C65259"/>
    <w:rsid w:val="00CD3B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53C5C7"/>
  <w15:chartTrackingRefBased/>
  <w15:docId w15:val="{77791536-11C3-4E37-B266-4BE567B7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1BA6"/>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D1BA6"/>
    <w:pPr>
      <w:tabs>
        <w:tab w:val="center" w:pos="4153"/>
        <w:tab w:val="right" w:pos="8306"/>
      </w:tabs>
    </w:pPr>
  </w:style>
  <w:style w:type="paragraph" w:styleId="a4">
    <w:name w:val="footer"/>
    <w:basedOn w:val="a"/>
    <w:rsid w:val="008D1BA6"/>
    <w:pPr>
      <w:tabs>
        <w:tab w:val="center" w:pos="4153"/>
        <w:tab w:val="right" w:pos="8306"/>
      </w:tabs>
    </w:pPr>
  </w:style>
  <w:style w:type="character" w:styleId="a5">
    <w:name w:val="page number"/>
    <w:basedOn w:val="a0"/>
    <w:rsid w:val="008D1BA6"/>
  </w:style>
  <w:style w:type="character" w:styleId="Hyperlink">
    <w:name w:val="Hyperlink"/>
    <w:rsid w:val="00CD3B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873418"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case/1045911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case/11206432" TargetMode="External"/><Relationship Id="rId4" Type="http://schemas.openxmlformats.org/officeDocument/2006/relationships/footnotes" Target="footnotes.xml"/><Relationship Id="rId9" Type="http://schemas.openxmlformats.org/officeDocument/2006/relationships/hyperlink" Target="http://www.nevo.co.il/case/569944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1437</Words>
  <Characters>7185</Characters>
  <Application>Microsoft Office Word</Application>
  <DocSecurity>0</DocSecurity>
  <Lines>59</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8605</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3539057</vt:i4>
      </vt:variant>
      <vt:variant>
        <vt:i4>12</vt:i4>
      </vt:variant>
      <vt:variant>
        <vt:i4>0</vt:i4>
      </vt:variant>
      <vt:variant>
        <vt:i4>5</vt:i4>
      </vt:variant>
      <vt:variant>
        <vt:lpwstr>http://www.nevo.co.il/case/11206432</vt:lpwstr>
      </vt:variant>
      <vt:variant>
        <vt:lpwstr/>
      </vt:variant>
      <vt:variant>
        <vt:i4>4063359</vt:i4>
      </vt:variant>
      <vt:variant>
        <vt:i4>9</vt:i4>
      </vt:variant>
      <vt:variant>
        <vt:i4>0</vt:i4>
      </vt:variant>
      <vt:variant>
        <vt:i4>5</vt:i4>
      </vt:variant>
      <vt:variant>
        <vt:lpwstr>http://www.nevo.co.il/case/5699446</vt:lpwstr>
      </vt:variant>
      <vt:variant>
        <vt:lpwstr/>
      </vt:variant>
      <vt:variant>
        <vt:i4>4063358</vt:i4>
      </vt:variant>
      <vt:variant>
        <vt:i4>6</vt:i4>
      </vt:variant>
      <vt:variant>
        <vt:i4>0</vt:i4>
      </vt:variant>
      <vt:variant>
        <vt:i4>5</vt:i4>
      </vt:variant>
      <vt:variant>
        <vt:lpwstr>http://www.nevo.co.il/case/5873418</vt:lpwstr>
      </vt:variant>
      <vt:variant>
        <vt:lpwstr/>
      </vt:variant>
      <vt:variant>
        <vt:i4>3997808</vt:i4>
      </vt:variant>
      <vt:variant>
        <vt:i4>3</vt:i4>
      </vt:variant>
      <vt:variant>
        <vt:i4>0</vt:i4>
      </vt:variant>
      <vt:variant>
        <vt:i4>5</vt:i4>
      </vt:variant>
      <vt:variant>
        <vt:lpwstr>http://www.nevo.co.il/case/10459111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2025-04-22T22:17:00Z</dcterms:created>
  <dcterms:modified xsi:type="dcterms:W3CDTF">2025-04-22T22:17:00Z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262</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אברהם הרוש</vt:lpwstr>
  </property>
  <property fmtid="{D5CDD505-2E9C-101B-9397-08002B2CF9AE}" pid="10" name="LAWYER">
    <vt:lpwstr>אריאל פס;אמיר ברכה ;זאב אלוני</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20150308</vt:lpwstr>
  </property>
  <property fmtid="{D5CDD505-2E9C-101B-9397-08002B2CF9AE}" pid="14" name="TYPE_N_DATE">
    <vt:lpwstr>38020150308</vt:lpwstr>
  </property>
  <property fmtid="{D5CDD505-2E9C-101B-9397-08002B2CF9AE}" pid="15" name="WORDNUMPAGES">
    <vt:lpwstr>6</vt:lpwstr>
  </property>
  <property fmtid="{D5CDD505-2E9C-101B-9397-08002B2CF9AE}" pid="16" name="TYPE_ABS_DATE">
    <vt:lpwstr>380020150308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10459111;5873418;5699446;11206432</vt:lpwstr>
  </property>
  <property fmtid="{D5CDD505-2E9C-101B-9397-08002B2CF9AE}" pid="36" name="LAWLISTTMP1">
    <vt:lpwstr>4216</vt:lpwstr>
  </property>
</Properties>
</file>