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7126B" w:rsidRPr="007215AC" w14:paraId="3A24BCDE" w14:textId="77777777">
        <w:trPr>
          <w:trHeight w:hRule="exact" w:val="418"/>
          <w:jc w:val="center"/>
        </w:trPr>
        <w:tc>
          <w:tcPr>
            <w:tcW w:w="8721" w:type="dxa"/>
            <w:gridSpan w:val="2"/>
          </w:tcPr>
          <w:p w14:paraId="6A1EC97D" w14:textId="77777777" w:rsidR="0047126B" w:rsidRPr="007215AC" w:rsidRDefault="007215AC">
            <w:pPr>
              <w:pStyle w:val="a3"/>
              <w:jc w:val="center"/>
              <w:rPr>
                <w:rFonts w:ascii="Tahoma" w:hAnsi="Tahoma" w:cs="Tahoma"/>
                <w:color w:val="000080"/>
                <w:rtl/>
              </w:rPr>
            </w:pPr>
            <w:bookmarkStart w:id="0" w:name="FirstLawyer"/>
            <w:bookmarkStart w:id="1" w:name="LastJudge"/>
            <w:r w:rsidRPr="007215AC">
              <w:rPr>
                <w:rFonts w:ascii="Tahoma" w:hAnsi="Tahoma" w:cs="Tahoma"/>
                <w:b/>
                <w:bCs/>
                <w:color w:val="000080"/>
                <w:rtl/>
              </w:rPr>
              <w:t>בית משפט השלום בפתח תקווה</w:t>
            </w:r>
          </w:p>
        </w:tc>
      </w:tr>
      <w:tr w:rsidR="0047126B" w:rsidRPr="007215AC" w14:paraId="308AA96D" w14:textId="77777777">
        <w:trPr>
          <w:trHeight w:val="337"/>
          <w:jc w:val="center"/>
        </w:trPr>
        <w:tc>
          <w:tcPr>
            <w:tcW w:w="5054" w:type="dxa"/>
          </w:tcPr>
          <w:p w14:paraId="2E6E5F2D" w14:textId="77777777" w:rsidR="0047126B" w:rsidRPr="007215AC" w:rsidRDefault="007215AC">
            <w:pPr>
              <w:rPr>
                <w:rFonts w:cs="FrankRuehl"/>
                <w:sz w:val="28"/>
                <w:szCs w:val="28"/>
                <w:rtl/>
              </w:rPr>
            </w:pPr>
            <w:r w:rsidRPr="007215AC">
              <w:rPr>
                <w:rFonts w:cs="FrankRuehl"/>
                <w:sz w:val="28"/>
                <w:szCs w:val="28"/>
                <w:rtl/>
              </w:rPr>
              <w:t>ת"פ</w:t>
            </w:r>
            <w:r w:rsidRPr="007215AC">
              <w:rPr>
                <w:rFonts w:cs="FrankRuehl" w:hint="cs"/>
                <w:sz w:val="28"/>
                <w:szCs w:val="28"/>
                <w:rtl/>
              </w:rPr>
              <w:t xml:space="preserve"> </w:t>
            </w:r>
            <w:r w:rsidRPr="007215AC">
              <w:rPr>
                <w:rFonts w:cs="FrankRuehl"/>
                <w:sz w:val="28"/>
                <w:szCs w:val="28"/>
                <w:rtl/>
              </w:rPr>
              <w:t>47532-04-14</w:t>
            </w:r>
            <w:r w:rsidRPr="007215AC">
              <w:rPr>
                <w:rFonts w:cs="FrankRuehl" w:hint="cs"/>
                <w:sz w:val="28"/>
                <w:szCs w:val="28"/>
                <w:rtl/>
              </w:rPr>
              <w:t xml:space="preserve"> </w:t>
            </w:r>
            <w:r w:rsidRPr="007215AC">
              <w:rPr>
                <w:rFonts w:cs="FrankRuehl"/>
                <w:sz w:val="28"/>
                <w:szCs w:val="28"/>
                <w:rtl/>
              </w:rPr>
              <w:t>מדינת ישראל נ' ויצמן</w:t>
            </w:r>
          </w:p>
          <w:p w14:paraId="5B46029C" w14:textId="77777777" w:rsidR="0047126B" w:rsidRPr="007215AC" w:rsidRDefault="0047126B">
            <w:pPr>
              <w:pStyle w:val="a3"/>
              <w:rPr>
                <w:rFonts w:cs="FrankRuehl"/>
                <w:sz w:val="28"/>
                <w:szCs w:val="28"/>
                <w:rtl/>
              </w:rPr>
            </w:pPr>
          </w:p>
        </w:tc>
        <w:tc>
          <w:tcPr>
            <w:tcW w:w="3667" w:type="dxa"/>
          </w:tcPr>
          <w:p w14:paraId="27DEFC88" w14:textId="77777777" w:rsidR="0047126B" w:rsidRPr="007215AC" w:rsidRDefault="0047126B">
            <w:pPr>
              <w:pStyle w:val="a3"/>
              <w:jc w:val="right"/>
              <w:rPr>
                <w:rFonts w:cs="FrankRuehl"/>
                <w:sz w:val="28"/>
                <w:szCs w:val="28"/>
                <w:rtl/>
              </w:rPr>
            </w:pPr>
          </w:p>
        </w:tc>
      </w:tr>
    </w:tbl>
    <w:p w14:paraId="52928108" w14:textId="77777777" w:rsidR="0047126B" w:rsidRPr="007215AC" w:rsidRDefault="007215AC">
      <w:pPr>
        <w:pStyle w:val="a3"/>
        <w:rPr>
          <w:rtl/>
        </w:rPr>
      </w:pPr>
      <w:r w:rsidRPr="007215AC">
        <w:rPr>
          <w:rFonts w:hint="cs"/>
          <w:rtl/>
        </w:rPr>
        <w:t xml:space="preserve"> </w:t>
      </w:r>
    </w:p>
    <w:p w14:paraId="596CDFDA" w14:textId="77777777" w:rsidR="0047126B" w:rsidRPr="007215AC" w:rsidRDefault="0047126B">
      <w:pPr>
        <w:rPr>
          <w:rtl/>
        </w:rPr>
      </w:pPr>
    </w:p>
    <w:tbl>
      <w:tblPr>
        <w:bidiVisual/>
        <w:tblW w:w="95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9"/>
        <w:gridCol w:w="4297"/>
        <w:gridCol w:w="3924"/>
      </w:tblGrid>
      <w:tr w:rsidR="0047126B" w:rsidRPr="007215AC" w14:paraId="2CF01F2E" w14:textId="77777777">
        <w:trPr>
          <w:trHeight w:val="44"/>
          <w:jc w:val="center"/>
        </w:trPr>
        <w:tc>
          <w:tcPr>
            <w:tcW w:w="1329" w:type="dxa"/>
            <w:tcBorders>
              <w:top w:val="nil"/>
              <w:left w:val="nil"/>
              <w:bottom w:val="nil"/>
              <w:right w:val="nil"/>
            </w:tcBorders>
          </w:tcPr>
          <w:p w14:paraId="40D4A721" w14:textId="77777777" w:rsidR="0047126B" w:rsidRPr="007215AC" w:rsidRDefault="007215AC">
            <w:pPr>
              <w:jc w:val="both"/>
              <w:rPr>
                <w:rFonts w:ascii="Arial" w:hAnsi="Arial" w:cs="FrankRuehl"/>
                <w:sz w:val="28"/>
                <w:szCs w:val="28"/>
              </w:rPr>
            </w:pPr>
            <w:r w:rsidRPr="007215AC">
              <w:rPr>
                <w:rFonts w:ascii="Arial" w:hAnsi="Arial" w:cs="FrankRuehl" w:hint="cs"/>
                <w:sz w:val="28"/>
                <w:szCs w:val="28"/>
                <w:rtl/>
              </w:rPr>
              <w:t xml:space="preserve">בפני </w:t>
            </w:r>
          </w:p>
        </w:tc>
        <w:tc>
          <w:tcPr>
            <w:tcW w:w="8221" w:type="dxa"/>
            <w:gridSpan w:val="2"/>
            <w:tcBorders>
              <w:top w:val="nil"/>
              <w:left w:val="nil"/>
              <w:bottom w:val="nil"/>
              <w:right w:val="nil"/>
            </w:tcBorders>
          </w:tcPr>
          <w:p w14:paraId="391C7D46" w14:textId="77777777" w:rsidR="0047126B" w:rsidRPr="007215AC" w:rsidRDefault="007215AC">
            <w:pPr>
              <w:rPr>
                <w:rFonts w:ascii="Arial" w:hAnsi="Arial"/>
                <w:b/>
                <w:bCs/>
                <w:rtl/>
              </w:rPr>
            </w:pPr>
            <w:r w:rsidRPr="007215AC">
              <w:rPr>
                <w:rFonts w:ascii="Arial" w:hAnsi="Arial" w:hint="cs"/>
                <w:b/>
                <w:bCs/>
                <w:rtl/>
              </w:rPr>
              <w:t>כב' ה</w:t>
            </w:r>
            <w:r w:rsidRPr="007215AC">
              <w:rPr>
                <w:rFonts w:hint="cs"/>
                <w:rtl/>
              </w:rPr>
              <w:t>שופט</w:t>
            </w:r>
            <w:r w:rsidRPr="007215AC">
              <w:rPr>
                <w:rFonts w:ascii="Arial" w:hAnsi="Arial" w:hint="cs"/>
                <w:b/>
                <w:bCs/>
                <w:rtl/>
              </w:rPr>
              <w:t xml:space="preserve">  </w:t>
            </w:r>
            <w:r w:rsidRPr="007215AC">
              <w:rPr>
                <w:rFonts w:hint="cs"/>
                <w:rtl/>
              </w:rPr>
              <w:t>ארז נוריאלי</w:t>
            </w:r>
          </w:p>
          <w:p w14:paraId="14FEA992" w14:textId="77777777" w:rsidR="0047126B" w:rsidRPr="007215AC" w:rsidRDefault="0047126B">
            <w:pPr>
              <w:rPr>
                <w:rtl/>
              </w:rPr>
            </w:pPr>
          </w:p>
          <w:p w14:paraId="08BBEFED" w14:textId="77777777" w:rsidR="0047126B" w:rsidRPr="007215AC" w:rsidRDefault="0047126B">
            <w:pPr>
              <w:jc w:val="both"/>
              <w:rPr>
                <w:rFonts w:ascii="Arial" w:hAnsi="Arial" w:cs="FrankRuehl"/>
                <w:sz w:val="28"/>
                <w:szCs w:val="28"/>
              </w:rPr>
            </w:pPr>
          </w:p>
        </w:tc>
      </w:tr>
      <w:tr w:rsidR="0047126B" w:rsidRPr="007215AC" w14:paraId="6735702E" w14:textId="77777777">
        <w:trPr>
          <w:trHeight w:val="53"/>
          <w:jc w:val="center"/>
        </w:trPr>
        <w:tc>
          <w:tcPr>
            <w:tcW w:w="1329" w:type="dxa"/>
            <w:tcBorders>
              <w:top w:val="nil"/>
              <w:left w:val="nil"/>
              <w:bottom w:val="nil"/>
              <w:right w:val="nil"/>
            </w:tcBorders>
          </w:tcPr>
          <w:p w14:paraId="12E8F783" w14:textId="77777777" w:rsidR="0047126B" w:rsidRPr="007215AC" w:rsidRDefault="007215AC">
            <w:pPr>
              <w:jc w:val="both"/>
              <w:rPr>
                <w:rFonts w:ascii="Arial" w:hAnsi="Arial"/>
                <w:b/>
                <w:bCs/>
                <w:sz w:val="26"/>
                <w:szCs w:val="26"/>
              </w:rPr>
            </w:pPr>
            <w:bookmarkStart w:id="2" w:name="FirstAppellant"/>
            <w:r w:rsidRPr="007215AC">
              <w:rPr>
                <w:rFonts w:ascii="Arial" w:hAnsi="Arial" w:hint="cs"/>
                <w:b/>
                <w:bCs/>
                <w:sz w:val="26"/>
                <w:szCs w:val="26"/>
                <w:rtl/>
              </w:rPr>
              <w:t>המאשימה</w:t>
            </w:r>
          </w:p>
        </w:tc>
        <w:tc>
          <w:tcPr>
            <w:tcW w:w="4297" w:type="dxa"/>
            <w:tcBorders>
              <w:top w:val="nil"/>
              <w:left w:val="nil"/>
              <w:bottom w:val="nil"/>
              <w:right w:val="nil"/>
            </w:tcBorders>
          </w:tcPr>
          <w:p w14:paraId="0E6C213A" w14:textId="77777777" w:rsidR="0047126B" w:rsidRPr="007215AC" w:rsidRDefault="007215AC">
            <w:pPr>
              <w:rPr>
                <w:b/>
                <w:bCs/>
                <w:sz w:val="26"/>
                <w:szCs w:val="26"/>
              </w:rPr>
            </w:pPr>
            <w:r w:rsidRPr="007215AC">
              <w:rPr>
                <w:rFonts w:hint="cs"/>
                <w:b/>
                <w:bCs/>
                <w:sz w:val="26"/>
                <w:szCs w:val="26"/>
                <w:rtl/>
              </w:rPr>
              <w:t xml:space="preserve">                מדינת ישראל</w:t>
            </w:r>
            <w:r w:rsidRPr="007215AC">
              <w:rPr>
                <w:rFonts w:hint="cs"/>
                <w:b/>
                <w:bCs/>
                <w:sz w:val="26"/>
                <w:szCs w:val="26"/>
                <w:rtl/>
              </w:rPr>
              <w:br/>
              <w:t xml:space="preserve">                על ידי  ב"כ עו"ד שחר יערי</w:t>
            </w:r>
          </w:p>
        </w:tc>
        <w:tc>
          <w:tcPr>
            <w:tcW w:w="3924" w:type="dxa"/>
            <w:tcBorders>
              <w:top w:val="nil"/>
              <w:left w:val="nil"/>
              <w:bottom w:val="nil"/>
              <w:right w:val="nil"/>
            </w:tcBorders>
          </w:tcPr>
          <w:p w14:paraId="6543703B" w14:textId="77777777" w:rsidR="0047126B" w:rsidRPr="007215AC" w:rsidRDefault="0047126B">
            <w:pPr>
              <w:jc w:val="both"/>
              <w:rPr>
                <w:rFonts w:ascii="Arial" w:hAnsi="Arial"/>
                <w:b/>
                <w:bCs/>
                <w:sz w:val="26"/>
                <w:szCs w:val="26"/>
              </w:rPr>
            </w:pPr>
          </w:p>
        </w:tc>
      </w:tr>
      <w:bookmarkEnd w:id="2"/>
      <w:tr w:rsidR="0047126B" w:rsidRPr="007215AC" w14:paraId="484B4D10" w14:textId="77777777">
        <w:trPr>
          <w:trHeight w:val="53"/>
          <w:jc w:val="center"/>
        </w:trPr>
        <w:tc>
          <w:tcPr>
            <w:tcW w:w="1329" w:type="dxa"/>
            <w:tcBorders>
              <w:top w:val="nil"/>
              <w:left w:val="nil"/>
              <w:bottom w:val="nil"/>
              <w:right w:val="nil"/>
            </w:tcBorders>
          </w:tcPr>
          <w:p w14:paraId="081D925F" w14:textId="77777777" w:rsidR="0047126B" w:rsidRPr="007215AC" w:rsidRDefault="0047126B">
            <w:pPr>
              <w:jc w:val="both"/>
              <w:rPr>
                <w:rFonts w:ascii="Arial" w:hAnsi="Arial"/>
                <w:b/>
                <w:bCs/>
                <w:sz w:val="26"/>
                <w:szCs w:val="26"/>
              </w:rPr>
            </w:pPr>
          </w:p>
        </w:tc>
        <w:tc>
          <w:tcPr>
            <w:tcW w:w="8221" w:type="dxa"/>
            <w:gridSpan w:val="2"/>
            <w:tcBorders>
              <w:top w:val="nil"/>
              <w:left w:val="nil"/>
              <w:bottom w:val="nil"/>
              <w:right w:val="nil"/>
            </w:tcBorders>
          </w:tcPr>
          <w:p w14:paraId="7184EB13" w14:textId="77777777" w:rsidR="0047126B" w:rsidRPr="007215AC" w:rsidRDefault="0047126B">
            <w:pPr>
              <w:jc w:val="center"/>
              <w:rPr>
                <w:rFonts w:ascii="Arial" w:hAnsi="Arial"/>
                <w:b/>
                <w:bCs/>
                <w:sz w:val="26"/>
                <w:szCs w:val="26"/>
                <w:rtl/>
              </w:rPr>
            </w:pPr>
          </w:p>
          <w:p w14:paraId="133B2A52" w14:textId="77777777" w:rsidR="0047126B" w:rsidRPr="007215AC" w:rsidRDefault="007215AC">
            <w:pPr>
              <w:jc w:val="center"/>
              <w:rPr>
                <w:rFonts w:ascii="Arial" w:hAnsi="Arial"/>
                <w:b/>
                <w:bCs/>
                <w:sz w:val="26"/>
                <w:szCs w:val="26"/>
                <w:rtl/>
              </w:rPr>
            </w:pPr>
            <w:r w:rsidRPr="007215AC">
              <w:rPr>
                <w:rFonts w:ascii="Arial" w:hAnsi="Arial" w:hint="cs"/>
                <w:b/>
                <w:bCs/>
                <w:sz w:val="26"/>
                <w:szCs w:val="26"/>
                <w:rtl/>
              </w:rPr>
              <w:t>נגד</w:t>
            </w:r>
          </w:p>
          <w:p w14:paraId="5FD34D5A" w14:textId="77777777" w:rsidR="0047126B" w:rsidRPr="007215AC" w:rsidRDefault="0047126B">
            <w:pPr>
              <w:jc w:val="both"/>
              <w:rPr>
                <w:rFonts w:ascii="Arial" w:hAnsi="Arial"/>
                <w:b/>
                <w:bCs/>
                <w:sz w:val="26"/>
                <w:szCs w:val="26"/>
              </w:rPr>
            </w:pPr>
          </w:p>
        </w:tc>
      </w:tr>
      <w:tr w:rsidR="0047126B" w:rsidRPr="007215AC" w14:paraId="25B49972" w14:textId="77777777">
        <w:trPr>
          <w:trHeight w:val="53"/>
          <w:jc w:val="center"/>
        </w:trPr>
        <w:tc>
          <w:tcPr>
            <w:tcW w:w="1329" w:type="dxa"/>
            <w:tcBorders>
              <w:top w:val="nil"/>
              <w:left w:val="nil"/>
              <w:bottom w:val="nil"/>
              <w:right w:val="nil"/>
            </w:tcBorders>
          </w:tcPr>
          <w:p w14:paraId="0BD830B6" w14:textId="77777777" w:rsidR="0047126B" w:rsidRPr="007215AC" w:rsidRDefault="007215AC">
            <w:pPr>
              <w:rPr>
                <w:rFonts w:ascii="Arial" w:hAnsi="Arial"/>
                <w:b/>
                <w:bCs/>
                <w:sz w:val="26"/>
                <w:szCs w:val="26"/>
              </w:rPr>
            </w:pPr>
            <w:r w:rsidRPr="007215AC">
              <w:rPr>
                <w:rFonts w:ascii="Arial" w:hAnsi="Arial" w:hint="cs"/>
                <w:b/>
                <w:bCs/>
                <w:sz w:val="26"/>
                <w:szCs w:val="26"/>
                <w:rtl/>
              </w:rPr>
              <w:t>הנאשם</w:t>
            </w:r>
          </w:p>
        </w:tc>
        <w:tc>
          <w:tcPr>
            <w:tcW w:w="4297" w:type="dxa"/>
            <w:tcBorders>
              <w:top w:val="nil"/>
              <w:left w:val="nil"/>
              <w:bottom w:val="nil"/>
              <w:right w:val="nil"/>
            </w:tcBorders>
          </w:tcPr>
          <w:p w14:paraId="7FD17E0B" w14:textId="77777777" w:rsidR="0047126B" w:rsidRPr="007215AC" w:rsidRDefault="007215AC">
            <w:pPr>
              <w:rPr>
                <w:b/>
                <w:bCs/>
                <w:sz w:val="26"/>
                <w:szCs w:val="26"/>
              </w:rPr>
            </w:pPr>
            <w:r w:rsidRPr="007215AC">
              <w:rPr>
                <w:rFonts w:hint="cs"/>
                <w:b/>
                <w:bCs/>
                <w:sz w:val="26"/>
                <w:szCs w:val="26"/>
                <w:rtl/>
              </w:rPr>
              <w:t xml:space="preserve">                 חן ויצמן</w:t>
            </w:r>
            <w:r w:rsidRPr="007215AC">
              <w:rPr>
                <w:rFonts w:hint="cs"/>
                <w:b/>
                <w:bCs/>
                <w:sz w:val="26"/>
                <w:szCs w:val="26"/>
                <w:rtl/>
              </w:rPr>
              <w:br/>
              <w:t xml:space="preserve">                 </w:t>
            </w:r>
          </w:p>
        </w:tc>
        <w:tc>
          <w:tcPr>
            <w:tcW w:w="3924" w:type="dxa"/>
            <w:tcBorders>
              <w:top w:val="nil"/>
              <w:left w:val="nil"/>
              <w:bottom w:val="nil"/>
              <w:right w:val="nil"/>
            </w:tcBorders>
          </w:tcPr>
          <w:p w14:paraId="22DD7A96" w14:textId="77777777" w:rsidR="0047126B" w:rsidRPr="007215AC" w:rsidRDefault="0047126B">
            <w:pPr>
              <w:rPr>
                <w:rFonts w:ascii="Arial" w:hAnsi="Arial"/>
                <w:b/>
                <w:bCs/>
                <w:sz w:val="26"/>
                <w:szCs w:val="26"/>
              </w:rPr>
            </w:pPr>
          </w:p>
        </w:tc>
      </w:tr>
    </w:tbl>
    <w:p w14:paraId="1C6F72CC" w14:textId="77777777" w:rsidR="007215AC" w:rsidRPr="007215AC" w:rsidRDefault="007215AC" w:rsidP="007215AC">
      <w:pPr>
        <w:spacing w:after="120" w:line="240" w:lineRule="exact"/>
        <w:ind w:left="283" w:hanging="283"/>
        <w:jc w:val="both"/>
        <w:rPr>
          <w:rFonts w:ascii="FrankRuehl" w:hAnsi="FrankRuehl" w:cs="FrankRuehl"/>
          <w:rtl/>
        </w:rPr>
      </w:pPr>
    </w:p>
    <w:p w14:paraId="7A93C16A" w14:textId="77777777" w:rsidR="002237F6" w:rsidRPr="002237F6" w:rsidRDefault="002237F6" w:rsidP="002237F6">
      <w:pPr>
        <w:spacing w:after="120" w:line="240" w:lineRule="exact"/>
        <w:ind w:left="283" w:hanging="283"/>
        <w:jc w:val="both"/>
        <w:rPr>
          <w:rFonts w:ascii="FrankRuehl" w:hAnsi="FrankRuehl" w:cs="FrankRuehl"/>
          <w:rtl/>
        </w:rPr>
      </w:pPr>
      <w:r w:rsidRPr="002237F6">
        <w:rPr>
          <w:rFonts w:ascii="FrankRuehl" w:hAnsi="FrankRuehl" w:cs="FrankRuehl"/>
          <w:rtl/>
        </w:rPr>
        <w:t xml:space="preserve">חקיקה שאוזכרה: </w:t>
      </w:r>
    </w:p>
    <w:p w14:paraId="11700063" w14:textId="77777777" w:rsidR="002237F6" w:rsidRPr="002237F6" w:rsidRDefault="002237F6" w:rsidP="002237F6">
      <w:pPr>
        <w:spacing w:after="120" w:line="240" w:lineRule="exact"/>
        <w:ind w:left="283" w:hanging="283"/>
        <w:jc w:val="both"/>
        <w:rPr>
          <w:rFonts w:ascii="FrankRuehl" w:hAnsi="FrankRuehl" w:cs="FrankRuehl"/>
          <w:rtl/>
        </w:rPr>
      </w:pPr>
      <w:hyperlink r:id="rId6" w:history="1">
        <w:r w:rsidRPr="002237F6">
          <w:rPr>
            <w:rFonts w:ascii="FrankRuehl" w:hAnsi="FrankRuehl" w:cs="FrankRuehl"/>
            <w:color w:val="0000FF"/>
            <w:u w:val="single"/>
            <w:rtl/>
          </w:rPr>
          <w:t>פקודת הסמים המסוכנים [נוסח חדש], תשל"ג-1973</w:t>
        </w:r>
      </w:hyperlink>
      <w:r w:rsidRPr="002237F6">
        <w:rPr>
          <w:rFonts w:ascii="FrankRuehl" w:hAnsi="FrankRuehl" w:cs="FrankRuehl"/>
          <w:rtl/>
        </w:rPr>
        <w:t xml:space="preserve">: סע'  </w:t>
      </w:r>
      <w:hyperlink r:id="rId7" w:history="1">
        <w:r w:rsidRPr="002237F6">
          <w:rPr>
            <w:rFonts w:ascii="FrankRuehl" w:hAnsi="FrankRuehl" w:cs="FrankRuehl"/>
            <w:color w:val="0000FF"/>
            <w:u w:val="single"/>
            <w:rtl/>
          </w:rPr>
          <w:t>7.א.</w:t>
        </w:r>
      </w:hyperlink>
      <w:r w:rsidRPr="002237F6">
        <w:rPr>
          <w:rFonts w:ascii="FrankRuehl" w:hAnsi="FrankRuehl" w:cs="FrankRuehl"/>
          <w:rtl/>
        </w:rPr>
        <w:t xml:space="preserve">, </w:t>
      </w:r>
      <w:hyperlink r:id="rId8" w:history="1">
        <w:r w:rsidRPr="002237F6">
          <w:rPr>
            <w:rFonts w:ascii="FrankRuehl" w:hAnsi="FrankRuehl" w:cs="FrankRuehl"/>
            <w:color w:val="0000FF"/>
            <w:u w:val="single"/>
            <w:rtl/>
          </w:rPr>
          <w:t>7.ג</w:t>
        </w:r>
      </w:hyperlink>
    </w:p>
    <w:p w14:paraId="10CB99A1" w14:textId="77777777" w:rsidR="002237F6" w:rsidRPr="002237F6" w:rsidRDefault="002237F6" w:rsidP="002237F6">
      <w:pPr>
        <w:spacing w:after="120" w:line="240" w:lineRule="exact"/>
        <w:ind w:left="283" w:hanging="283"/>
        <w:jc w:val="both"/>
        <w:rPr>
          <w:rFonts w:ascii="FrankRuehl" w:hAnsi="FrankRuehl" w:cs="FrankRuehl"/>
          <w:rtl/>
        </w:rPr>
      </w:pPr>
      <w:hyperlink r:id="rId9" w:history="1">
        <w:r w:rsidRPr="002237F6">
          <w:rPr>
            <w:rFonts w:ascii="FrankRuehl" w:hAnsi="FrankRuehl" w:cs="FrankRuehl"/>
            <w:color w:val="0000FF"/>
            <w:u w:val="single"/>
            <w:rtl/>
          </w:rPr>
          <w:t>חוק העונשין, תשל"ז-1977</w:t>
        </w:r>
      </w:hyperlink>
      <w:r w:rsidRPr="002237F6">
        <w:rPr>
          <w:rFonts w:ascii="FrankRuehl" w:hAnsi="FrankRuehl" w:cs="FrankRuehl"/>
          <w:rtl/>
        </w:rPr>
        <w:t xml:space="preserve">: סע'  </w:t>
      </w:r>
      <w:hyperlink r:id="rId10" w:history="1">
        <w:r w:rsidRPr="002237F6">
          <w:rPr>
            <w:rFonts w:ascii="FrankRuehl" w:hAnsi="FrankRuehl" w:cs="FrankRuehl"/>
            <w:color w:val="0000FF"/>
            <w:u w:val="single"/>
            <w:rtl/>
          </w:rPr>
          <w:t>40ב</w:t>
        </w:r>
      </w:hyperlink>
      <w:r w:rsidRPr="002237F6">
        <w:rPr>
          <w:rFonts w:ascii="FrankRuehl" w:hAnsi="FrankRuehl" w:cs="FrankRuehl"/>
          <w:rtl/>
        </w:rPr>
        <w:t xml:space="preserve">, </w:t>
      </w:r>
      <w:hyperlink r:id="rId11" w:history="1">
        <w:r w:rsidRPr="002237F6">
          <w:rPr>
            <w:rFonts w:ascii="FrankRuehl" w:hAnsi="FrankRuehl" w:cs="FrankRuehl"/>
            <w:color w:val="0000FF"/>
            <w:u w:val="single"/>
            <w:rtl/>
          </w:rPr>
          <w:t>40ג'</w:t>
        </w:r>
      </w:hyperlink>
      <w:r w:rsidRPr="002237F6">
        <w:rPr>
          <w:rFonts w:ascii="FrankRuehl" w:hAnsi="FrankRuehl" w:cs="FrankRuehl"/>
          <w:rtl/>
        </w:rPr>
        <w:t xml:space="preserve">, </w:t>
      </w:r>
      <w:hyperlink r:id="rId12" w:history="1">
        <w:r w:rsidRPr="002237F6">
          <w:rPr>
            <w:rFonts w:ascii="FrankRuehl" w:hAnsi="FrankRuehl" w:cs="FrankRuehl"/>
            <w:color w:val="0000FF"/>
            <w:u w:val="single"/>
            <w:rtl/>
          </w:rPr>
          <w:t>40 יא'</w:t>
        </w:r>
      </w:hyperlink>
      <w:r w:rsidRPr="002237F6">
        <w:rPr>
          <w:rFonts w:ascii="FrankRuehl" w:hAnsi="FrankRuehl" w:cs="FrankRuehl"/>
          <w:rtl/>
        </w:rPr>
        <w:t xml:space="preserve">, </w:t>
      </w:r>
      <w:hyperlink r:id="rId13" w:history="1">
        <w:r w:rsidRPr="002237F6">
          <w:rPr>
            <w:rFonts w:ascii="FrankRuehl" w:hAnsi="FrankRuehl" w:cs="FrankRuehl"/>
            <w:color w:val="0000FF"/>
            <w:u w:val="single"/>
            <w:rtl/>
          </w:rPr>
          <w:t>40 יג'</w:t>
        </w:r>
      </w:hyperlink>
    </w:p>
    <w:p w14:paraId="6DD169C9" w14:textId="77777777" w:rsidR="002237F6" w:rsidRPr="002237F6" w:rsidRDefault="002237F6" w:rsidP="002237F6">
      <w:pPr>
        <w:spacing w:after="120" w:line="240" w:lineRule="exact"/>
        <w:ind w:left="283" w:hanging="283"/>
        <w:jc w:val="both"/>
        <w:rPr>
          <w:rFonts w:ascii="FrankRuehl" w:hAnsi="FrankRuehl" w:cs="FrankRuehl"/>
          <w:rtl/>
        </w:rPr>
      </w:pPr>
    </w:p>
    <w:p w14:paraId="15D43BFC" w14:textId="77777777" w:rsidR="00E427DA" w:rsidRDefault="00E427DA">
      <w:pPr>
        <w:rPr>
          <w:rtl/>
        </w:rPr>
      </w:pPr>
      <w:bookmarkStart w:id="3" w:name="LawTable"/>
      <w:bookmarkEnd w:id="3"/>
    </w:p>
    <w:p w14:paraId="0A0DDEAF" w14:textId="77777777" w:rsidR="00E427DA" w:rsidRPr="00E427DA" w:rsidRDefault="00E427DA" w:rsidP="00E427DA">
      <w:pPr>
        <w:spacing w:after="120" w:line="240" w:lineRule="exact"/>
        <w:ind w:left="283" w:hanging="283"/>
        <w:jc w:val="both"/>
        <w:rPr>
          <w:rFonts w:ascii="FrankRuehl" w:hAnsi="FrankRuehl" w:cs="FrankRuehl"/>
          <w:rtl/>
        </w:rPr>
      </w:pPr>
    </w:p>
    <w:p w14:paraId="51249286" w14:textId="77777777" w:rsidR="00E427DA" w:rsidRPr="00E427DA" w:rsidRDefault="00E427DA" w:rsidP="00E427DA">
      <w:pPr>
        <w:spacing w:after="120" w:line="240" w:lineRule="exact"/>
        <w:ind w:left="283" w:hanging="283"/>
        <w:jc w:val="both"/>
        <w:rPr>
          <w:rFonts w:ascii="FrankRuehl" w:hAnsi="FrankRuehl" w:cs="FrankRuehl"/>
          <w:rtl/>
        </w:rPr>
      </w:pPr>
      <w:r w:rsidRPr="00E427DA">
        <w:rPr>
          <w:rFonts w:ascii="FrankRuehl" w:hAnsi="FrankRuehl" w:cs="FrankRuehl"/>
          <w:rtl/>
        </w:rPr>
        <w:t xml:space="preserve">חקיקה שאוזכרה: </w:t>
      </w:r>
    </w:p>
    <w:p w14:paraId="03160C4E" w14:textId="77777777" w:rsidR="00E427DA" w:rsidRPr="00E427DA" w:rsidRDefault="00E427DA" w:rsidP="00E427DA">
      <w:pPr>
        <w:spacing w:after="120" w:line="240" w:lineRule="exact"/>
        <w:ind w:left="283" w:hanging="283"/>
        <w:jc w:val="both"/>
        <w:rPr>
          <w:rFonts w:ascii="FrankRuehl" w:hAnsi="FrankRuehl" w:cs="FrankRuehl"/>
          <w:color w:val="0000FF"/>
          <w:u w:val="single"/>
          <w:rtl/>
        </w:rPr>
      </w:pPr>
      <w:hyperlink r:id="rId14" w:history="1">
        <w:r w:rsidRPr="00E427DA">
          <w:rPr>
            <w:rStyle w:val="Hyperlink"/>
            <w:rFonts w:ascii="FrankRuehl" w:hAnsi="FrankRuehl" w:cs="FrankRuehl"/>
            <w:rtl/>
          </w:rPr>
          <w:t>פקודת הסמים המסוכנים [נוסח חדש], תשל"ג-1973</w:t>
        </w:r>
      </w:hyperlink>
      <w:r w:rsidRPr="00E427DA">
        <w:rPr>
          <w:rFonts w:ascii="FrankRuehl" w:hAnsi="FrankRuehl" w:cs="FrankRuehl"/>
          <w:color w:val="0000FF"/>
          <w:u w:val="single"/>
          <w:rtl/>
        </w:rPr>
        <w:t xml:space="preserve">: סע'  </w:t>
      </w:r>
      <w:hyperlink r:id="rId15" w:history="1">
        <w:r w:rsidRPr="00E427DA">
          <w:rPr>
            <w:rStyle w:val="Hyperlink"/>
            <w:rFonts w:ascii="FrankRuehl" w:hAnsi="FrankRuehl" w:cs="FrankRuehl"/>
          </w:rPr>
          <w:t>7.</w:t>
        </w:r>
        <w:r w:rsidRPr="00E427DA">
          <w:rPr>
            <w:rStyle w:val="Hyperlink"/>
            <w:rFonts w:ascii="FrankRuehl" w:hAnsi="FrankRuehl" w:cs="FrankRuehl"/>
            <w:rtl/>
          </w:rPr>
          <w:t>א</w:t>
        </w:r>
        <w:r w:rsidRPr="00E427DA">
          <w:rPr>
            <w:rStyle w:val="Hyperlink"/>
            <w:rFonts w:ascii="FrankRuehl" w:hAnsi="FrankRuehl" w:cs="FrankRuehl"/>
          </w:rPr>
          <w:t>.</w:t>
        </w:r>
      </w:hyperlink>
      <w:r w:rsidRPr="00E427DA">
        <w:rPr>
          <w:rFonts w:ascii="FrankRuehl" w:hAnsi="FrankRuehl" w:cs="FrankRuehl"/>
          <w:color w:val="0000FF"/>
          <w:u w:val="single"/>
          <w:rtl/>
        </w:rPr>
        <w:t xml:space="preserve">, </w:t>
      </w:r>
      <w:hyperlink r:id="rId16" w:history="1">
        <w:r w:rsidRPr="00E427DA">
          <w:rPr>
            <w:rStyle w:val="Hyperlink"/>
            <w:rFonts w:ascii="FrankRuehl" w:hAnsi="FrankRuehl" w:cs="FrankRuehl"/>
          </w:rPr>
          <w:t>7.</w:t>
        </w:r>
        <w:r w:rsidRPr="00E427DA">
          <w:rPr>
            <w:rStyle w:val="Hyperlink"/>
            <w:rFonts w:ascii="FrankRuehl" w:hAnsi="FrankRuehl" w:cs="FrankRuehl"/>
            <w:rtl/>
          </w:rPr>
          <w:t>ג</w:t>
        </w:r>
      </w:hyperlink>
    </w:p>
    <w:p w14:paraId="7FE2B5D8" w14:textId="77777777" w:rsidR="00E427DA" w:rsidRPr="00E427DA" w:rsidRDefault="00E427DA" w:rsidP="00E427DA">
      <w:pPr>
        <w:spacing w:after="120" w:line="240" w:lineRule="exact"/>
        <w:ind w:left="283" w:hanging="283"/>
        <w:jc w:val="both"/>
        <w:rPr>
          <w:rFonts w:ascii="FrankRuehl" w:hAnsi="FrankRuehl" w:cs="FrankRuehl"/>
          <w:color w:val="0000FF"/>
          <w:u w:val="single"/>
          <w:rtl/>
        </w:rPr>
      </w:pPr>
      <w:hyperlink r:id="rId17" w:history="1">
        <w:r w:rsidRPr="00E427DA">
          <w:rPr>
            <w:rStyle w:val="Hyperlink"/>
            <w:rFonts w:ascii="FrankRuehl" w:hAnsi="FrankRuehl" w:cs="FrankRuehl"/>
            <w:rtl/>
          </w:rPr>
          <w:t>חוק העונשין, תשל"ז-1977</w:t>
        </w:r>
      </w:hyperlink>
      <w:r w:rsidRPr="00E427DA">
        <w:rPr>
          <w:rFonts w:ascii="FrankRuehl" w:hAnsi="FrankRuehl" w:cs="FrankRuehl"/>
          <w:color w:val="0000FF"/>
          <w:u w:val="single"/>
          <w:rtl/>
        </w:rPr>
        <w:t xml:space="preserve">: סע'  </w:t>
      </w:r>
      <w:hyperlink r:id="rId18" w:history="1">
        <w:r w:rsidRPr="00E427DA">
          <w:rPr>
            <w:rStyle w:val="Hyperlink"/>
            <w:rFonts w:ascii="FrankRuehl" w:hAnsi="FrankRuehl" w:cs="FrankRuehl"/>
          </w:rPr>
          <w:t>40</w:t>
        </w:r>
        <w:r w:rsidRPr="00E427DA">
          <w:rPr>
            <w:rStyle w:val="Hyperlink"/>
            <w:rFonts w:ascii="FrankRuehl" w:hAnsi="FrankRuehl" w:cs="FrankRuehl"/>
            <w:rtl/>
          </w:rPr>
          <w:t>ב</w:t>
        </w:r>
      </w:hyperlink>
      <w:r w:rsidRPr="00E427DA">
        <w:rPr>
          <w:rFonts w:ascii="FrankRuehl" w:hAnsi="FrankRuehl" w:cs="FrankRuehl"/>
          <w:color w:val="0000FF"/>
          <w:u w:val="single"/>
          <w:rtl/>
        </w:rPr>
        <w:t xml:space="preserve">, </w:t>
      </w:r>
      <w:hyperlink r:id="rId19" w:history="1">
        <w:r w:rsidRPr="00E427DA">
          <w:rPr>
            <w:rStyle w:val="Hyperlink"/>
            <w:rFonts w:ascii="FrankRuehl" w:hAnsi="FrankRuehl" w:cs="FrankRuehl"/>
          </w:rPr>
          <w:t>40</w:t>
        </w:r>
        <w:r w:rsidRPr="00E427DA">
          <w:rPr>
            <w:rStyle w:val="Hyperlink"/>
            <w:rFonts w:ascii="FrankRuehl" w:hAnsi="FrankRuehl" w:cs="FrankRuehl"/>
            <w:rtl/>
          </w:rPr>
          <w:t>ג</w:t>
        </w:r>
        <w:r w:rsidRPr="00E427DA">
          <w:rPr>
            <w:rStyle w:val="Hyperlink"/>
            <w:rFonts w:ascii="FrankRuehl" w:hAnsi="FrankRuehl" w:cs="FrankRuehl"/>
          </w:rPr>
          <w:t>'</w:t>
        </w:r>
      </w:hyperlink>
      <w:r w:rsidRPr="00E427DA">
        <w:rPr>
          <w:rFonts w:ascii="FrankRuehl" w:hAnsi="FrankRuehl" w:cs="FrankRuehl"/>
          <w:color w:val="0000FF"/>
          <w:u w:val="single"/>
          <w:rtl/>
        </w:rPr>
        <w:t xml:space="preserve">, </w:t>
      </w:r>
      <w:hyperlink r:id="rId20" w:history="1">
        <w:r w:rsidRPr="00E427DA">
          <w:rPr>
            <w:rStyle w:val="Hyperlink"/>
            <w:rFonts w:ascii="FrankRuehl" w:hAnsi="FrankRuehl" w:cs="FrankRuehl"/>
          </w:rPr>
          <w:t xml:space="preserve">40 </w:t>
        </w:r>
        <w:r w:rsidRPr="00E427DA">
          <w:rPr>
            <w:rStyle w:val="Hyperlink"/>
            <w:rFonts w:ascii="FrankRuehl" w:hAnsi="FrankRuehl" w:cs="FrankRuehl"/>
            <w:rtl/>
          </w:rPr>
          <w:t>יא</w:t>
        </w:r>
        <w:r w:rsidRPr="00E427DA">
          <w:rPr>
            <w:rStyle w:val="Hyperlink"/>
            <w:rFonts w:ascii="FrankRuehl" w:hAnsi="FrankRuehl" w:cs="FrankRuehl"/>
          </w:rPr>
          <w:t>'</w:t>
        </w:r>
      </w:hyperlink>
      <w:r w:rsidRPr="00E427DA">
        <w:rPr>
          <w:rFonts w:ascii="FrankRuehl" w:hAnsi="FrankRuehl" w:cs="FrankRuehl"/>
          <w:color w:val="0000FF"/>
          <w:u w:val="single"/>
          <w:rtl/>
        </w:rPr>
        <w:t xml:space="preserve">, </w:t>
      </w:r>
      <w:hyperlink r:id="rId21" w:history="1">
        <w:r w:rsidRPr="00E427DA">
          <w:rPr>
            <w:rStyle w:val="Hyperlink"/>
            <w:rFonts w:ascii="FrankRuehl" w:hAnsi="FrankRuehl" w:cs="FrankRuehl"/>
          </w:rPr>
          <w:t xml:space="preserve">40 </w:t>
        </w:r>
        <w:r w:rsidRPr="00E427DA">
          <w:rPr>
            <w:rStyle w:val="Hyperlink"/>
            <w:rFonts w:ascii="FrankRuehl" w:hAnsi="FrankRuehl" w:cs="FrankRuehl"/>
            <w:rtl/>
          </w:rPr>
          <w:t>יג</w:t>
        </w:r>
        <w:r w:rsidRPr="00E427DA">
          <w:rPr>
            <w:rStyle w:val="Hyperlink"/>
            <w:rFonts w:ascii="FrankRuehl" w:hAnsi="FrankRuehl" w:cs="FrankRuehl"/>
          </w:rPr>
          <w:t>'</w:t>
        </w:r>
      </w:hyperlink>
    </w:p>
    <w:p w14:paraId="37671170" w14:textId="77777777" w:rsidR="00E427DA" w:rsidRPr="00E427DA" w:rsidRDefault="00E427DA" w:rsidP="00E427DA">
      <w:pPr>
        <w:spacing w:after="120" w:line="240" w:lineRule="exact"/>
        <w:ind w:left="283" w:hanging="283"/>
        <w:jc w:val="both"/>
        <w:rPr>
          <w:rFonts w:ascii="FrankRuehl" w:hAnsi="FrankRuehl" w:cs="FrankRuehl"/>
          <w:rtl/>
        </w:rPr>
      </w:pPr>
    </w:p>
    <w:p w14:paraId="0814CABC" w14:textId="77777777" w:rsidR="00E427DA" w:rsidRPr="00E427DA" w:rsidRDefault="00E427DA">
      <w:pPr>
        <w:rPr>
          <w:rtl/>
        </w:rPr>
      </w:pPr>
      <w:bookmarkStart w:id="4" w:name="LawTable_End"/>
      <w:bookmarkEnd w:id="4"/>
    </w:p>
    <w:p w14:paraId="20B247FE" w14:textId="77777777" w:rsidR="00E427DA" w:rsidRPr="00E427DA" w:rsidRDefault="00E427DA">
      <w:pPr>
        <w:rPr>
          <w:rtl/>
        </w:rPr>
      </w:pPr>
    </w:p>
    <w:p w14:paraId="7280AFDD" w14:textId="77777777" w:rsidR="0047126B" w:rsidRPr="00E427DA" w:rsidRDefault="0047126B"/>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7126B" w14:paraId="5C387EF9" w14:textId="77777777">
        <w:trPr>
          <w:trHeight w:val="355"/>
          <w:jc w:val="center"/>
        </w:trPr>
        <w:tc>
          <w:tcPr>
            <w:tcW w:w="8820" w:type="dxa"/>
            <w:tcBorders>
              <w:top w:val="nil"/>
              <w:left w:val="nil"/>
              <w:bottom w:val="nil"/>
              <w:right w:val="nil"/>
            </w:tcBorders>
          </w:tcPr>
          <w:p w14:paraId="4DE7B442" w14:textId="77777777" w:rsidR="007215AC" w:rsidRPr="007215AC" w:rsidRDefault="007215AC" w:rsidP="007215AC">
            <w:pPr>
              <w:jc w:val="center"/>
              <w:rPr>
                <w:rFonts w:ascii="Arial" w:hAnsi="Arial" w:cs="FrankRuehl"/>
                <w:b/>
                <w:bCs/>
                <w:sz w:val="32"/>
                <w:szCs w:val="32"/>
                <w:u w:val="single"/>
                <w:rtl/>
              </w:rPr>
            </w:pPr>
            <w:bookmarkStart w:id="5" w:name="PsakDin" w:colFirst="0" w:colLast="0"/>
            <w:bookmarkEnd w:id="0"/>
            <w:bookmarkEnd w:id="1"/>
            <w:r w:rsidRPr="007215AC">
              <w:rPr>
                <w:rFonts w:ascii="Arial" w:hAnsi="Arial" w:cs="FrankRuehl"/>
                <w:b/>
                <w:bCs/>
                <w:sz w:val="32"/>
                <w:szCs w:val="32"/>
                <w:u w:val="single"/>
                <w:rtl/>
              </w:rPr>
              <w:t>גזר דין</w:t>
            </w:r>
          </w:p>
          <w:p w14:paraId="4CFB354C" w14:textId="77777777" w:rsidR="0047126B" w:rsidRPr="007215AC" w:rsidRDefault="0047126B" w:rsidP="007215AC">
            <w:pPr>
              <w:jc w:val="center"/>
              <w:rPr>
                <w:rFonts w:ascii="Arial" w:hAnsi="Arial" w:cs="FrankRuehl"/>
                <w:bCs/>
                <w:sz w:val="32"/>
                <w:szCs w:val="32"/>
                <w:u w:val="single"/>
                <w:rtl/>
              </w:rPr>
            </w:pPr>
          </w:p>
        </w:tc>
      </w:tr>
      <w:bookmarkEnd w:id="5"/>
    </w:tbl>
    <w:p w14:paraId="7E6BF28A" w14:textId="77777777" w:rsidR="0047126B" w:rsidRDefault="0047126B">
      <w:pPr>
        <w:rPr>
          <w:rFonts w:ascii="Arial" w:hAnsi="Arial"/>
          <w:rtl/>
        </w:rPr>
      </w:pPr>
    </w:p>
    <w:p w14:paraId="0E44A168" w14:textId="77777777" w:rsidR="0047126B" w:rsidRDefault="0047126B">
      <w:pPr>
        <w:rPr>
          <w:rtl/>
        </w:rPr>
      </w:pPr>
    </w:p>
    <w:p w14:paraId="79F0BD43" w14:textId="77777777" w:rsidR="0047126B" w:rsidRDefault="007215AC">
      <w:pPr>
        <w:spacing w:line="360" w:lineRule="auto"/>
        <w:rPr>
          <w:b/>
          <w:bCs/>
          <w:u w:val="single"/>
        </w:rPr>
      </w:pPr>
      <w:r>
        <w:rPr>
          <w:rFonts w:hint="cs"/>
          <w:b/>
          <w:bCs/>
          <w:u w:val="single"/>
          <w:rtl/>
        </w:rPr>
        <w:t>רקע</w:t>
      </w:r>
    </w:p>
    <w:p w14:paraId="2399B32B" w14:textId="77777777" w:rsidR="0047126B" w:rsidRDefault="0047126B">
      <w:pPr>
        <w:spacing w:line="360" w:lineRule="auto"/>
        <w:rPr>
          <w:rtl/>
        </w:rPr>
      </w:pPr>
    </w:p>
    <w:p w14:paraId="5A7B4DF7" w14:textId="77777777" w:rsidR="0047126B" w:rsidRDefault="007215AC">
      <w:pPr>
        <w:spacing w:line="360" w:lineRule="auto"/>
        <w:ind w:left="720" w:hanging="720"/>
        <w:jc w:val="both"/>
        <w:rPr>
          <w:rtl/>
        </w:rPr>
      </w:pPr>
      <w:r>
        <w:rPr>
          <w:rFonts w:hint="cs"/>
          <w:rtl/>
        </w:rPr>
        <w:t xml:space="preserve">1. </w:t>
      </w:r>
      <w:r>
        <w:rPr>
          <w:rFonts w:hint="cs"/>
          <w:rtl/>
        </w:rPr>
        <w:tab/>
      </w:r>
      <w:bookmarkStart w:id="6" w:name="ABSTRACT_START"/>
      <w:bookmarkEnd w:id="6"/>
      <w:r>
        <w:rPr>
          <w:rFonts w:hint="cs"/>
          <w:rtl/>
        </w:rPr>
        <w:t xml:space="preserve">הנאשם הורשע לאחר ניהול הוכחות בעבירה של החזקת סם לשימוש עצמי, עבירה לפי סעיף </w:t>
      </w:r>
      <w:hyperlink r:id="rId22" w:history="1">
        <w:r w:rsidR="002237F6" w:rsidRPr="002237F6">
          <w:rPr>
            <w:color w:val="0000FF"/>
            <w:u w:val="single"/>
            <w:rtl/>
          </w:rPr>
          <w:t>7(א) +(ג)</w:t>
        </w:r>
      </w:hyperlink>
      <w:r>
        <w:rPr>
          <w:rFonts w:hint="cs"/>
          <w:rtl/>
        </w:rPr>
        <w:t xml:space="preserve"> ל</w:t>
      </w:r>
      <w:hyperlink r:id="rId23" w:history="1">
        <w:r w:rsidRPr="007215AC">
          <w:rPr>
            <w:color w:val="0000FF"/>
            <w:u w:val="single"/>
            <w:rtl/>
          </w:rPr>
          <w:t>פקודת הסמים המסוכנים</w:t>
        </w:r>
      </w:hyperlink>
      <w:r>
        <w:rPr>
          <w:rFonts w:hint="cs"/>
          <w:rtl/>
        </w:rPr>
        <w:t xml:space="preserve"> (נוסח חדש) תשל"ג </w:t>
      </w:r>
      <w:r>
        <w:rPr>
          <w:rtl/>
        </w:rPr>
        <w:t>–</w:t>
      </w:r>
      <w:r>
        <w:rPr>
          <w:rFonts w:hint="cs"/>
          <w:rtl/>
        </w:rPr>
        <w:t xml:space="preserve"> 1973 (להלן – </w:t>
      </w:r>
      <w:r>
        <w:rPr>
          <w:rFonts w:hint="cs"/>
          <w:b/>
          <w:bCs/>
          <w:rtl/>
        </w:rPr>
        <w:t>"החוק"</w:t>
      </w:r>
      <w:r>
        <w:rPr>
          <w:rFonts w:hint="cs"/>
          <w:rtl/>
        </w:rPr>
        <w:t>).</w:t>
      </w:r>
    </w:p>
    <w:p w14:paraId="476AD24C" w14:textId="77777777" w:rsidR="0047126B" w:rsidRDefault="0047126B">
      <w:pPr>
        <w:spacing w:line="360" w:lineRule="auto"/>
        <w:ind w:left="720" w:hanging="720"/>
        <w:jc w:val="both"/>
        <w:rPr>
          <w:rtl/>
        </w:rPr>
      </w:pPr>
      <w:bookmarkStart w:id="7" w:name="ABSTRACT_END"/>
      <w:bookmarkEnd w:id="7"/>
    </w:p>
    <w:p w14:paraId="68129815" w14:textId="77777777" w:rsidR="0047126B" w:rsidRDefault="007215AC">
      <w:pPr>
        <w:spacing w:line="360" w:lineRule="auto"/>
        <w:ind w:left="720" w:hanging="720"/>
        <w:jc w:val="both"/>
        <w:rPr>
          <w:rtl/>
        </w:rPr>
      </w:pPr>
      <w:r>
        <w:rPr>
          <w:rFonts w:hint="cs"/>
          <w:rtl/>
        </w:rPr>
        <w:t xml:space="preserve">2. </w:t>
      </w:r>
      <w:r>
        <w:rPr>
          <w:rFonts w:hint="cs"/>
          <w:rtl/>
        </w:rPr>
        <w:tab/>
        <w:t>בהכרעת הדין נקבע כי ביום 29.09.2013, החזיק הנאשם בביתו, לצריכתו העצמית, על המזנון בחדרו, סם מסוכן מסוג חשיש במשקל נטו של 0.52 גרם וזאת שלא כדין וללא היתר מאת המנהל.</w:t>
      </w:r>
    </w:p>
    <w:p w14:paraId="2C613BBE" w14:textId="77777777" w:rsidR="0047126B" w:rsidRDefault="0047126B">
      <w:pPr>
        <w:spacing w:line="360" w:lineRule="auto"/>
        <w:rPr>
          <w:rtl/>
        </w:rPr>
      </w:pPr>
    </w:p>
    <w:p w14:paraId="293DA0E5" w14:textId="77777777" w:rsidR="0047126B" w:rsidRDefault="007215AC">
      <w:pPr>
        <w:spacing w:line="360" w:lineRule="auto"/>
        <w:ind w:left="720" w:hanging="720"/>
        <w:jc w:val="both"/>
        <w:rPr>
          <w:rtl/>
        </w:rPr>
      </w:pPr>
      <w:r>
        <w:rPr>
          <w:rFonts w:hint="cs"/>
          <w:rtl/>
        </w:rPr>
        <w:t>3.</w:t>
      </w:r>
      <w:r>
        <w:rPr>
          <w:rFonts w:hint="cs"/>
          <w:rtl/>
        </w:rPr>
        <w:tab/>
        <w:t>בהכרעת הדין דחיתי את טענת הנאשם לפיה הסם שייך לאחר וקבעתי שהנאשם החזיקו לשימושו העצמי.</w:t>
      </w:r>
    </w:p>
    <w:p w14:paraId="3C5245DC" w14:textId="77777777" w:rsidR="0047126B" w:rsidRDefault="0047126B">
      <w:pPr>
        <w:spacing w:line="360" w:lineRule="auto"/>
        <w:jc w:val="both"/>
        <w:rPr>
          <w:rtl/>
        </w:rPr>
      </w:pPr>
    </w:p>
    <w:p w14:paraId="3B4EEC81" w14:textId="77777777" w:rsidR="0047126B" w:rsidRDefault="007215AC">
      <w:pPr>
        <w:spacing w:line="360" w:lineRule="auto"/>
        <w:rPr>
          <w:b/>
          <w:bCs/>
          <w:u w:val="single"/>
          <w:rtl/>
        </w:rPr>
      </w:pPr>
      <w:r>
        <w:rPr>
          <w:rFonts w:hint="cs"/>
          <w:b/>
          <w:bCs/>
          <w:u w:val="single"/>
          <w:rtl/>
        </w:rPr>
        <w:t>טיעוני הצדדים</w:t>
      </w:r>
    </w:p>
    <w:p w14:paraId="5DD3D3B3" w14:textId="77777777" w:rsidR="0047126B" w:rsidRDefault="0047126B">
      <w:pPr>
        <w:spacing w:line="360" w:lineRule="auto"/>
        <w:jc w:val="both"/>
        <w:rPr>
          <w:rtl/>
        </w:rPr>
      </w:pPr>
    </w:p>
    <w:p w14:paraId="226D54C5" w14:textId="77777777" w:rsidR="0047126B" w:rsidRDefault="007215AC">
      <w:pPr>
        <w:spacing w:line="360" w:lineRule="auto"/>
        <w:ind w:left="720" w:hanging="720"/>
        <w:jc w:val="both"/>
        <w:rPr>
          <w:rtl/>
        </w:rPr>
      </w:pPr>
      <w:r>
        <w:rPr>
          <w:rFonts w:hint="cs"/>
          <w:rtl/>
        </w:rPr>
        <w:t xml:space="preserve">4. </w:t>
      </w:r>
      <w:r>
        <w:rPr>
          <w:rFonts w:hint="cs"/>
          <w:rtl/>
        </w:rPr>
        <w:tab/>
        <w:t>ב"כ המאשימה טענה כי העבירה בה הורשע פוגעת בערכים המוגנים של בטחון הציבור וכי  בתי המשפט הכריזו מלחמת חורמה בתופעת הסמים על מנת להרתיע את הציבור בכללותו ואת משתמשי הסמים בפרט. עוד נטען כי הנאשם לא לקח אחריות וכי לו הרשעות קודמות רבות, לרבות בעבירות סמים. התובעת הפנתה לגזר דין ב</w:t>
      </w:r>
      <w:hyperlink r:id="rId24" w:history="1">
        <w:r w:rsidR="00E427DA" w:rsidRPr="00E427DA">
          <w:rPr>
            <w:color w:val="0000FF"/>
            <w:u w:val="single"/>
            <w:rtl/>
          </w:rPr>
          <w:t xml:space="preserve">ת.פ. 2733/09 </w:t>
        </w:r>
      </w:hyperlink>
      <w:r>
        <w:rPr>
          <w:rFonts w:hint="cs"/>
          <w:rtl/>
        </w:rPr>
        <w:t xml:space="preserve"> (מיום 14.7.10, בית משפט שלום בכפר סבא) הכולל עונש מאסר של 8 חודשים שהינו בר הפעלה, וטענה כי יש מקום להפעיל את עונש המאסר. לנוכח דברים אלו, טענה המאשימה כי מתחם העונש הראוי בנסיבות העניין הינו, מאסר על תנאי ועד לעונש של מספר חודשי מאסר בפועל שיכול וירוצו בעבודות שירות.  </w:t>
      </w:r>
    </w:p>
    <w:p w14:paraId="5759BBC4" w14:textId="77777777" w:rsidR="0047126B" w:rsidRDefault="0047126B">
      <w:pPr>
        <w:spacing w:line="360" w:lineRule="auto"/>
        <w:ind w:left="720" w:hanging="720"/>
        <w:jc w:val="both"/>
        <w:rPr>
          <w:rtl/>
        </w:rPr>
      </w:pPr>
    </w:p>
    <w:p w14:paraId="288542DE" w14:textId="77777777" w:rsidR="0047126B" w:rsidRDefault="007215AC">
      <w:pPr>
        <w:spacing w:line="360" w:lineRule="auto"/>
        <w:ind w:left="720" w:hanging="720"/>
        <w:jc w:val="both"/>
        <w:rPr>
          <w:rtl/>
        </w:rPr>
      </w:pPr>
      <w:r>
        <w:rPr>
          <w:rFonts w:hint="cs"/>
          <w:rtl/>
        </w:rPr>
        <w:t>5.</w:t>
      </w:r>
      <w:r>
        <w:rPr>
          <w:rFonts w:hint="cs"/>
          <w:rtl/>
        </w:rPr>
        <w:tab/>
        <w:t xml:space="preserve">הנאשם ביקש כי בית משפט יתחשב בנסיבותיו האישיות לרבות בעובדה שלא נפתחו נגדו תיקים נוספים מאז הרשעתו האחרונה, וביקש להימנע מהטלת עונש של מאסר בפועל שניתן לרצותו בעבודות שירות. לדבריו, נסיבות המקרה מחייבות הטלת ענישה מקלה. </w:t>
      </w:r>
    </w:p>
    <w:p w14:paraId="1B63115F" w14:textId="77777777" w:rsidR="0047126B" w:rsidRDefault="0047126B">
      <w:pPr>
        <w:spacing w:line="360" w:lineRule="auto"/>
        <w:ind w:left="720"/>
        <w:jc w:val="both"/>
        <w:rPr>
          <w:rtl/>
        </w:rPr>
      </w:pPr>
    </w:p>
    <w:p w14:paraId="429E315E" w14:textId="77777777" w:rsidR="0047126B" w:rsidRDefault="007215AC">
      <w:pPr>
        <w:spacing w:line="360" w:lineRule="auto"/>
        <w:jc w:val="both"/>
        <w:rPr>
          <w:b/>
          <w:bCs/>
          <w:u w:val="single"/>
          <w:rtl/>
        </w:rPr>
      </w:pPr>
      <w:r>
        <w:rPr>
          <w:rFonts w:hint="cs"/>
          <w:b/>
          <w:bCs/>
          <w:u w:val="single"/>
          <w:rtl/>
        </w:rPr>
        <w:t>דיון והכרעה</w:t>
      </w:r>
    </w:p>
    <w:p w14:paraId="49D8C468" w14:textId="77777777" w:rsidR="0047126B" w:rsidRDefault="0047126B">
      <w:pPr>
        <w:spacing w:line="360" w:lineRule="auto"/>
        <w:jc w:val="both"/>
        <w:rPr>
          <w:b/>
          <w:bCs/>
          <w:u w:val="single"/>
          <w:rtl/>
        </w:rPr>
      </w:pPr>
    </w:p>
    <w:p w14:paraId="1BF39AC8" w14:textId="77777777" w:rsidR="0047126B" w:rsidRDefault="007215AC">
      <w:pPr>
        <w:spacing w:line="360" w:lineRule="auto"/>
        <w:ind w:left="720" w:hanging="720"/>
        <w:jc w:val="both"/>
        <w:rPr>
          <w:rtl/>
        </w:rPr>
      </w:pPr>
      <w:r>
        <w:rPr>
          <w:rFonts w:hint="cs"/>
          <w:rtl/>
        </w:rPr>
        <w:t>6.</w:t>
      </w:r>
      <w:r>
        <w:rPr>
          <w:rFonts w:hint="cs"/>
          <w:rtl/>
        </w:rPr>
        <w:tab/>
        <w:t>לאחר ששמעתי את טיעוני הצדדים ולאחר ששקלתי את כל השיקולים לרבות נסיבות המקרה ונסיבותיו האישיות של הנאשם, אני סבור כי בנסיבות המקרה שלפני, תוך התחשבות בכמות הסם שנתפסה, יש להאריך את עונש המאסר וזאת לצד הטלת רכיבי ענישה נוספים לרבות קנס כספי.</w:t>
      </w:r>
    </w:p>
    <w:p w14:paraId="6B85ABB1" w14:textId="77777777" w:rsidR="0047126B" w:rsidRDefault="0047126B">
      <w:pPr>
        <w:spacing w:line="360" w:lineRule="auto"/>
        <w:jc w:val="both"/>
        <w:rPr>
          <w:rtl/>
        </w:rPr>
      </w:pPr>
    </w:p>
    <w:p w14:paraId="0218989F" w14:textId="77777777" w:rsidR="0047126B" w:rsidRDefault="007215AC">
      <w:pPr>
        <w:spacing w:line="360" w:lineRule="auto"/>
        <w:ind w:left="720" w:hanging="720"/>
        <w:jc w:val="both"/>
        <w:rPr>
          <w:rtl/>
        </w:rPr>
      </w:pPr>
      <w:r>
        <w:rPr>
          <w:rFonts w:hint="cs"/>
          <w:rtl/>
        </w:rPr>
        <w:t xml:space="preserve">7. </w:t>
      </w:r>
      <w:r>
        <w:rPr>
          <w:rFonts w:hint="cs"/>
          <w:rtl/>
        </w:rPr>
        <w:tab/>
        <w:t>במקרה דנן כתב האישום מתאר אירוע אחד ולכן יש לקבוע בגינו מתחם עונש הולם אחד.</w:t>
      </w:r>
    </w:p>
    <w:p w14:paraId="04A3ADDC" w14:textId="77777777" w:rsidR="0047126B" w:rsidRDefault="0047126B">
      <w:pPr>
        <w:spacing w:line="360" w:lineRule="auto"/>
        <w:rPr>
          <w:rtl/>
        </w:rPr>
      </w:pPr>
    </w:p>
    <w:p w14:paraId="165176D7" w14:textId="77777777" w:rsidR="0047126B" w:rsidRDefault="007215AC">
      <w:pPr>
        <w:spacing w:line="360" w:lineRule="auto"/>
        <w:rPr>
          <w:b/>
          <w:bCs/>
          <w:u w:val="single"/>
          <w:rtl/>
        </w:rPr>
      </w:pPr>
      <w:r>
        <w:rPr>
          <w:rFonts w:hint="cs"/>
          <w:b/>
          <w:bCs/>
          <w:u w:val="single"/>
          <w:rtl/>
        </w:rPr>
        <w:t>קביעת מתחם העונש ההולם</w:t>
      </w:r>
    </w:p>
    <w:p w14:paraId="4E48DD21" w14:textId="77777777" w:rsidR="0047126B" w:rsidRDefault="0047126B">
      <w:pPr>
        <w:spacing w:line="360" w:lineRule="auto"/>
        <w:rPr>
          <w:rtl/>
        </w:rPr>
      </w:pPr>
    </w:p>
    <w:p w14:paraId="5C580D12" w14:textId="77777777" w:rsidR="0047126B" w:rsidRDefault="007215AC">
      <w:pPr>
        <w:spacing w:line="360" w:lineRule="auto"/>
        <w:ind w:left="720" w:hanging="720"/>
        <w:jc w:val="both"/>
        <w:rPr>
          <w:rtl/>
        </w:rPr>
      </w:pPr>
      <w:r>
        <w:rPr>
          <w:rFonts w:hint="cs"/>
          <w:rtl/>
        </w:rPr>
        <w:t xml:space="preserve">8. </w:t>
      </w:r>
      <w:r>
        <w:rPr>
          <w:rFonts w:hint="cs"/>
          <w:rtl/>
        </w:rPr>
        <w:tab/>
        <w:t xml:space="preserve">עקרון ההלימה הוא העיקרון המנחה בהתאם </w:t>
      </w:r>
      <w:hyperlink r:id="rId25" w:history="1">
        <w:r w:rsidR="002237F6" w:rsidRPr="002237F6">
          <w:rPr>
            <w:color w:val="0000FF"/>
            <w:u w:val="single"/>
            <w:rtl/>
          </w:rPr>
          <w:t>לסעיף 40ב</w:t>
        </w:r>
      </w:hyperlink>
      <w:r>
        <w:rPr>
          <w:rFonts w:hint="cs"/>
          <w:rtl/>
        </w:rPr>
        <w:t xml:space="preserve"> לחוק. בקביעת מתחם העונש ההולם, יש להתחשב בערך החברתי שנפגע, כתוצאה מביצוע העבירה בה הורשע הנאשם, במידת הפגיעה באותם ערכים, במדיניות הענישה הנוהגת ובנסיבות הקשורות בביצוע העבירה. </w:t>
      </w:r>
    </w:p>
    <w:p w14:paraId="38FA5809" w14:textId="77777777" w:rsidR="0047126B" w:rsidRDefault="0047126B">
      <w:pPr>
        <w:spacing w:line="360" w:lineRule="auto"/>
        <w:ind w:left="720"/>
        <w:jc w:val="both"/>
        <w:rPr>
          <w:rtl/>
        </w:rPr>
      </w:pPr>
    </w:p>
    <w:p w14:paraId="77102BB4" w14:textId="77777777" w:rsidR="0047126B" w:rsidRDefault="007215AC">
      <w:pPr>
        <w:spacing w:line="360" w:lineRule="auto"/>
        <w:ind w:left="720"/>
        <w:jc w:val="both"/>
        <w:rPr>
          <w:rtl/>
        </w:rPr>
      </w:pPr>
      <w:r>
        <w:rPr>
          <w:rFonts w:hint="cs"/>
          <w:rtl/>
        </w:rPr>
        <w:lastRenderedPageBreak/>
        <w:t xml:space="preserve">במקרה דנן, הערך החברתי אשר נפגע בעקבות מעשיו של הנאשם, הינו בטיחות הציבור. קיימת חשיבות רבה לקדם את האינטרס הציבורי של הדברת נגע הסמים. מדיניות הפסיקה הנוהגת מעלה כי במקרים דומים הוטלו עונשי מאסר מותנה וקנס על פי רוב אם כי קיימים מקרים בהם אף הוטלו עונשי מאסר בפועל קצרים שניתן לרצותם בעבודות שירות (אף במקרים חמורים מהמקרה שלפנינו בהם הסם שנתפס לא היה "סם קל" מסוג חשיש).  ר' בעניין זה למשל, </w:t>
      </w:r>
      <w:hyperlink r:id="rId26" w:history="1">
        <w:r w:rsidRPr="007215AC">
          <w:rPr>
            <w:color w:val="0000FF"/>
            <w:u w:val="single"/>
            <w:rtl/>
          </w:rPr>
          <w:t>ת.פ. 50156-10-13</w:t>
        </w:r>
      </w:hyperlink>
      <w:r>
        <w:rPr>
          <w:rFonts w:hint="cs"/>
          <w:rtl/>
        </w:rPr>
        <w:t xml:space="preserve"> </w:t>
      </w:r>
      <w:r>
        <w:rPr>
          <w:rFonts w:hint="cs"/>
          <w:b/>
          <w:bCs/>
          <w:rtl/>
        </w:rPr>
        <w:t>מדינת ישראל נגד נשאוי</w:t>
      </w:r>
      <w:r>
        <w:rPr>
          <w:rFonts w:hint="cs"/>
          <w:rtl/>
        </w:rPr>
        <w:t xml:space="preserve">, </w:t>
      </w:r>
      <w:hyperlink r:id="rId27" w:history="1">
        <w:r w:rsidRPr="007215AC">
          <w:rPr>
            <w:color w:val="0000FF"/>
            <w:u w:val="single"/>
            <w:rtl/>
          </w:rPr>
          <w:t>ת.פ. 20364-01-10</w:t>
        </w:r>
      </w:hyperlink>
      <w:r>
        <w:rPr>
          <w:rFonts w:hint="cs"/>
          <w:rtl/>
        </w:rPr>
        <w:t xml:space="preserve"> </w:t>
      </w:r>
      <w:r>
        <w:rPr>
          <w:rFonts w:hint="cs"/>
          <w:b/>
          <w:bCs/>
          <w:rtl/>
        </w:rPr>
        <w:t>מדינת ישראל נגד דוד</w:t>
      </w:r>
      <w:r>
        <w:rPr>
          <w:rFonts w:hint="cs"/>
          <w:rtl/>
        </w:rPr>
        <w:t xml:space="preserve">, </w:t>
      </w:r>
      <w:hyperlink r:id="rId28" w:history="1">
        <w:r w:rsidRPr="007215AC">
          <w:rPr>
            <w:color w:val="0000FF"/>
            <w:u w:val="single"/>
            <w:rtl/>
          </w:rPr>
          <w:t>ת.פ. 58441-11-12</w:t>
        </w:r>
      </w:hyperlink>
      <w:r>
        <w:rPr>
          <w:rFonts w:hint="cs"/>
          <w:rtl/>
        </w:rPr>
        <w:t xml:space="preserve"> </w:t>
      </w:r>
      <w:r>
        <w:rPr>
          <w:rFonts w:hint="cs"/>
          <w:b/>
          <w:bCs/>
          <w:rtl/>
        </w:rPr>
        <w:t>מדינת ישראל נגד מהביש</w:t>
      </w:r>
      <w:r>
        <w:rPr>
          <w:rFonts w:hint="cs"/>
          <w:rtl/>
        </w:rPr>
        <w:t xml:space="preserve">, </w:t>
      </w:r>
      <w:hyperlink r:id="rId29" w:history="1">
        <w:r w:rsidRPr="007215AC">
          <w:rPr>
            <w:color w:val="0000FF"/>
            <w:u w:val="single"/>
            <w:rtl/>
          </w:rPr>
          <w:t>ת.פ. 15442-08-14</w:t>
        </w:r>
      </w:hyperlink>
      <w:r>
        <w:rPr>
          <w:rFonts w:hint="cs"/>
          <w:rtl/>
        </w:rPr>
        <w:t xml:space="preserve"> </w:t>
      </w:r>
      <w:r>
        <w:rPr>
          <w:rFonts w:hint="cs"/>
          <w:b/>
          <w:bCs/>
          <w:rtl/>
        </w:rPr>
        <w:t>מדינת ישראל נגד דבורה.</w:t>
      </w:r>
    </w:p>
    <w:p w14:paraId="4269A1CF" w14:textId="77777777" w:rsidR="0047126B" w:rsidRDefault="0047126B">
      <w:pPr>
        <w:spacing w:line="360" w:lineRule="auto"/>
        <w:ind w:left="720"/>
        <w:jc w:val="both"/>
        <w:rPr>
          <w:rtl/>
        </w:rPr>
      </w:pPr>
    </w:p>
    <w:p w14:paraId="69716122" w14:textId="77777777" w:rsidR="0047126B" w:rsidRDefault="007215AC">
      <w:pPr>
        <w:spacing w:line="360" w:lineRule="auto"/>
        <w:ind w:left="720" w:hanging="720"/>
        <w:jc w:val="both"/>
        <w:rPr>
          <w:rtl/>
        </w:rPr>
      </w:pPr>
      <w:r>
        <w:rPr>
          <w:rFonts w:hint="cs"/>
          <w:rtl/>
        </w:rPr>
        <w:t xml:space="preserve">9. </w:t>
      </w:r>
      <w:r>
        <w:rPr>
          <w:rFonts w:hint="cs"/>
          <w:rtl/>
        </w:rPr>
        <w:tab/>
        <w:t>השאלה הנשאלת בתיק זה היא האם יש מקום להורות על הארכת המאסר המותנה או להפעילו. התביעה ביקשה להפעיל את עונש המאסר המותנה בחופף ובמצטבר לכל עונש אחר באופן שיוטל על הנאשם עונש של מאסר בפועל שניתן לרצותו בעבודות שירות.</w:t>
      </w:r>
    </w:p>
    <w:p w14:paraId="3DA83483" w14:textId="77777777" w:rsidR="0047126B" w:rsidRDefault="0047126B">
      <w:pPr>
        <w:spacing w:line="360" w:lineRule="auto"/>
        <w:jc w:val="both"/>
        <w:rPr>
          <w:rtl/>
        </w:rPr>
      </w:pPr>
    </w:p>
    <w:p w14:paraId="78F3534A" w14:textId="77777777" w:rsidR="0047126B" w:rsidRDefault="007215AC">
      <w:pPr>
        <w:spacing w:line="360" w:lineRule="auto"/>
        <w:ind w:left="720" w:hanging="720"/>
        <w:jc w:val="both"/>
        <w:rPr>
          <w:rtl/>
        </w:rPr>
      </w:pPr>
      <w:r>
        <w:rPr>
          <w:rFonts w:hint="cs"/>
          <w:rtl/>
        </w:rPr>
        <w:t xml:space="preserve">10. </w:t>
      </w:r>
      <w:r>
        <w:rPr>
          <w:rFonts w:hint="cs"/>
          <w:rtl/>
        </w:rPr>
        <w:tab/>
        <w:t xml:space="preserve">באשר לנסיבות ביצוע העבירה (בהתאם </w:t>
      </w:r>
      <w:hyperlink r:id="rId30" w:history="1">
        <w:r w:rsidR="002237F6" w:rsidRPr="002237F6">
          <w:rPr>
            <w:color w:val="0000FF"/>
            <w:u w:val="single"/>
            <w:rtl/>
          </w:rPr>
          <w:t>לסעיף 40ג'</w:t>
        </w:r>
      </w:hyperlink>
      <w:r>
        <w:rPr>
          <w:rFonts w:hint="cs"/>
          <w:rtl/>
        </w:rPr>
        <w:t xml:space="preserve"> לחוק), הרי שבענייננו מדובר בנאשם שהחזיק כמות קטנה של סם מסוכן מסוג חשיש, בחדרו, ליד מיטתו. </w:t>
      </w:r>
    </w:p>
    <w:p w14:paraId="29CF2596" w14:textId="77777777" w:rsidR="0047126B" w:rsidRDefault="0047126B">
      <w:pPr>
        <w:spacing w:line="360" w:lineRule="auto"/>
        <w:jc w:val="both"/>
        <w:rPr>
          <w:rtl/>
        </w:rPr>
      </w:pPr>
    </w:p>
    <w:p w14:paraId="0AE1ADF5" w14:textId="77777777" w:rsidR="0047126B" w:rsidRDefault="007215AC">
      <w:pPr>
        <w:spacing w:line="360" w:lineRule="auto"/>
        <w:ind w:left="720" w:hanging="720"/>
        <w:jc w:val="both"/>
        <w:rPr>
          <w:rtl/>
        </w:rPr>
      </w:pPr>
      <w:r>
        <w:rPr>
          <w:rFonts w:hint="cs"/>
          <w:rtl/>
        </w:rPr>
        <w:t xml:space="preserve">11. </w:t>
      </w:r>
      <w:r>
        <w:rPr>
          <w:rFonts w:hint="cs"/>
          <w:rtl/>
        </w:rPr>
        <w:tab/>
        <w:t>לאחר שנדרשתי למכלול השיקולים הרלוונטיים ובהתאם לתיקון 113 ל</w:t>
      </w:r>
      <w:hyperlink r:id="rId31" w:history="1">
        <w:r w:rsidRPr="007215AC">
          <w:rPr>
            <w:color w:val="0000FF"/>
            <w:u w:val="single"/>
            <w:rtl/>
          </w:rPr>
          <w:t>חוק העונשין</w:t>
        </w:r>
      </w:hyperlink>
      <w:r>
        <w:rPr>
          <w:rFonts w:hint="cs"/>
          <w:rtl/>
        </w:rPr>
        <w:t xml:space="preserve"> (סעיף </w:t>
      </w:r>
      <w:hyperlink r:id="rId32" w:history="1">
        <w:r w:rsidR="002237F6" w:rsidRPr="002237F6">
          <w:rPr>
            <w:color w:val="0000FF"/>
            <w:u w:val="single"/>
            <w:rtl/>
          </w:rPr>
          <w:t>40 יג'</w:t>
        </w:r>
      </w:hyperlink>
      <w:r>
        <w:rPr>
          <w:rFonts w:hint="cs"/>
          <w:rtl/>
        </w:rPr>
        <w:t>), אני קובע מתחם עונש הולם שהינו החל מאי הרשעה ועד לשלושה חודשי עבודות שירות.</w:t>
      </w:r>
    </w:p>
    <w:p w14:paraId="0EDB47E7" w14:textId="77777777" w:rsidR="0047126B" w:rsidRDefault="0047126B">
      <w:pPr>
        <w:spacing w:line="360" w:lineRule="auto"/>
        <w:jc w:val="both"/>
        <w:rPr>
          <w:rtl/>
        </w:rPr>
      </w:pPr>
    </w:p>
    <w:p w14:paraId="0D622FBB" w14:textId="77777777" w:rsidR="0047126B" w:rsidRDefault="007215AC">
      <w:pPr>
        <w:spacing w:line="360" w:lineRule="auto"/>
        <w:ind w:left="720" w:hanging="720"/>
        <w:jc w:val="both"/>
        <w:rPr>
          <w:rtl/>
        </w:rPr>
      </w:pPr>
      <w:r>
        <w:rPr>
          <w:rFonts w:hint="cs"/>
          <w:rtl/>
        </w:rPr>
        <w:t xml:space="preserve">12. </w:t>
      </w:r>
      <w:r>
        <w:rPr>
          <w:rFonts w:hint="cs"/>
          <w:rtl/>
        </w:rPr>
        <w:tab/>
        <w:t xml:space="preserve">במקרה דנן, לא קיימים שיקולים אשר מצדיקים סטייה מהמתחם לחומרה או לקולא. </w:t>
      </w:r>
    </w:p>
    <w:p w14:paraId="0ACDBF00" w14:textId="77777777" w:rsidR="0047126B" w:rsidRDefault="0047126B">
      <w:pPr>
        <w:spacing w:line="360" w:lineRule="auto"/>
        <w:rPr>
          <w:rtl/>
        </w:rPr>
      </w:pPr>
    </w:p>
    <w:p w14:paraId="122520F8" w14:textId="77777777" w:rsidR="0047126B" w:rsidRDefault="007215AC">
      <w:pPr>
        <w:spacing w:line="360" w:lineRule="auto"/>
        <w:rPr>
          <w:b/>
          <w:bCs/>
          <w:u w:val="single"/>
          <w:rtl/>
        </w:rPr>
      </w:pPr>
      <w:r>
        <w:rPr>
          <w:rFonts w:hint="cs"/>
          <w:b/>
          <w:bCs/>
          <w:u w:val="single"/>
          <w:rtl/>
        </w:rPr>
        <w:t>גזירת העונש המתאים לנאשם</w:t>
      </w:r>
    </w:p>
    <w:p w14:paraId="356E85E3" w14:textId="77777777" w:rsidR="0047126B" w:rsidRDefault="0047126B">
      <w:pPr>
        <w:spacing w:line="360" w:lineRule="auto"/>
        <w:rPr>
          <w:b/>
          <w:bCs/>
          <w:u w:val="single"/>
          <w:rtl/>
        </w:rPr>
      </w:pPr>
    </w:p>
    <w:p w14:paraId="6C132D5A" w14:textId="77777777" w:rsidR="0047126B" w:rsidRDefault="007215AC">
      <w:pPr>
        <w:spacing w:line="360" w:lineRule="auto"/>
        <w:ind w:left="720" w:hanging="720"/>
        <w:jc w:val="both"/>
        <w:rPr>
          <w:rtl/>
        </w:rPr>
      </w:pPr>
      <w:r>
        <w:rPr>
          <w:rFonts w:hint="cs"/>
          <w:rtl/>
        </w:rPr>
        <w:t xml:space="preserve">13. </w:t>
      </w:r>
      <w:r>
        <w:rPr>
          <w:rFonts w:hint="cs"/>
          <w:rtl/>
        </w:rPr>
        <w:tab/>
        <w:t xml:space="preserve">בגזירת העונש המתאים לנאשם, בגדרי מתחם העונש ההולם, יש להתחשב בנסיבות שאינן קשורות בביצוע העבירה (סעיף </w:t>
      </w:r>
      <w:hyperlink r:id="rId33" w:history="1">
        <w:r w:rsidR="002237F6" w:rsidRPr="002237F6">
          <w:rPr>
            <w:color w:val="0000FF"/>
            <w:u w:val="single"/>
            <w:rtl/>
          </w:rPr>
          <w:t>40 יא'</w:t>
        </w:r>
      </w:hyperlink>
      <w:r>
        <w:rPr>
          <w:rFonts w:hint="cs"/>
          <w:rtl/>
        </w:rPr>
        <w:t>). במסגרת זו מן הראוי ליתן את הדעת לנסיבות הבאות לרבות הנזק שנגרם מביצוע העבירה: בהקשר זה אני סבור שמידת הפגיעה בערך המוגן הינה קטנה בהתחשב בכמות הסם וטיבו; הפגיעה של העונש בנאשם לרבות בשל גילו -  הוגשו לעיוני מסמכים המלמדים כי הנאשם עובד בצורה מסודרת והתרשמתי כי עונש של מאסר אף אם ירוצה בעבודות שירות עלול לגדוע מטה לחמו.</w:t>
      </w:r>
    </w:p>
    <w:p w14:paraId="36BFD85F" w14:textId="77777777" w:rsidR="0047126B" w:rsidRDefault="0047126B">
      <w:pPr>
        <w:spacing w:line="360" w:lineRule="auto"/>
        <w:jc w:val="both"/>
        <w:rPr>
          <w:rtl/>
        </w:rPr>
      </w:pPr>
    </w:p>
    <w:p w14:paraId="78DC85F5" w14:textId="77777777" w:rsidR="0047126B" w:rsidRDefault="007215AC">
      <w:pPr>
        <w:spacing w:line="360" w:lineRule="auto"/>
        <w:ind w:left="720"/>
        <w:jc w:val="both"/>
        <w:rPr>
          <w:rtl/>
        </w:rPr>
      </w:pPr>
      <w:r>
        <w:rPr>
          <w:rFonts w:hint="cs"/>
          <w:rtl/>
        </w:rPr>
        <w:t>במסגרת זו, התחשבתי אף בעובדה שהנאשם לא נטל אחריות מלאה למעשיו. אני סבור כי על העונש שייגזר, לרבות גובה הסנקציות הכספיות, לשקף גם את המימד המרתיע הנדרש.</w:t>
      </w:r>
    </w:p>
    <w:p w14:paraId="3F0BF2DA" w14:textId="77777777" w:rsidR="0047126B" w:rsidRDefault="0047126B">
      <w:pPr>
        <w:spacing w:line="360" w:lineRule="auto"/>
        <w:jc w:val="both"/>
        <w:rPr>
          <w:rtl/>
        </w:rPr>
      </w:pPr>
    </w:p>
    <w:p w14:paraId="48706FEF" w14:textId="77777777" w:rsidR="0047126B" w:rsidRDefault="007215AC">
      <w:pPr>
        <w:spacing w:line="360" w:lineRule="auto"/>
        <w:ind w:left="720" w:hanging="720"/>
        <w:jc w:val="both"/>
        <w:rPr>
          <w:rtl/>
        </w:rPr>
      </w:pPr>
      <w:r>
        <w:rPr>
          <w:rFonts w:hint="cs"/>
          <w:rtl/>
        </w:rPr>
        <w:t>14.</w:t>
      </w:r>
      <w:r>
        <w:rPr>
          <w:rFonts w:hint="cs"/>
          <w:rtl/>
        </w:rPr>
        <w:tab/>
        <w:t xml:space="preserve">לנאשם עבר פלילי מכביד. עיון בגיליון המרשם הפלילי (ת/1) מלמד כי לנאשם עבר פלילי בעבירות רלוונטיות. לחובתו 3 הרשעות קודמות לרבות בבית משפט לנוער, בעבירות של סחר בסמים, אלימות איומים ורכוש. הנאשם ריצה תקופות מאסר ארוכות בעברו, מאחורי סורג ובריח. </w:t>
      </w:r>
    </w:p>
    <w:p w14:paraId="1C82FC64" w14:textId="77777777" w:rsidR="0047126B" w:rsidRDefault="0047126B">
      <w:pPr>
        <w:spacing w:line="360" w:lineRule="auto"/>
        <w:ind w:left="720"/>
        <w:jc w:val="both"/>
        <w:rPr>
          <w:rtl/>
        </w:rPr>
      </w:pPr>
    </w:p>
    <w:p w14:paraId="681956A0" w14:textId="77777777" w:rsidR="0047126B" w:rsidRDefault="007215AC">
      <w:pPr>
        <w:spacing w:line="360" w:lineRule="auto"/>
        <w:ind w:left="720"/>
        <w:jc w:val="both"/>
        <w:rPr>
          <w:rtl/>
        </w:rPr>
      </w:pPr>
      <w:r>
        <w:rPr>
          <w:rFonts w:hint="cs"/>
          <w:rtl/>
        </w:rPr>
        <w:t>לחובתו של הנאשם מאסר מותנה בר הפעלה בן 8 חודשים למשך 3 שנים, שנגזר עליו בת"פ 2733/09 (שלום כפר סבא) בגין עבירות סמים מסוג עוון. עיון בגזר הדין מלמד כי בית משפט סבר שיש להרחיקו לתקופה ארוכה מהציבור על מנת שלא יגרום נזק נוסף לחברה.</w:t>
      </w:r>
    </w:p>
    <w:p w14:paraId="2F1D3136" w14:textId="77777777" w:rsidR="0047126B" w:rsidRDefault="0047126B">
      <w:pPr>
        <w:spacing w:line="360" w:lineRule="auto"/>
        <w:ind w:left="720"/>
        <w:jc w:val="both"/>
        <w:rPr>
          <w:rtl/>
        </w:rPr>
      </w:pPr>
    </w:p>
    <w:p w14:paraId="0DF5AC7A" w14:textId="77777777" w:rsidR="0047126B" w:rsidRDefault="007215AC">
      <w:pPr>
        <w:spacing w:line="360" w:lineRule="auto"/>
        <w:ind w:left="720" w:hanging="720"/>
        <w:jc w:val="both"/>
        <w:rPr>
          <w:rtl/>
        </w:rPr>
      </w:pPr>
      <w:r>
        <w:rPr>
          <w:rFonts w:hint="cs"/>
          <w:rtl/>
        </w:rPr>
        <w:t>15.</w:t>
      </w:r>
      <w:r>
        <w:rPr>
          <w:rFonts w:hint="cs"/>
          <w:rtl/>
        </w:rPr>
        <w:tab/>
        <w:t xml:space="preserve">במסגרת השיקולים לקולא, התחשבתי בעובדה שלא נפתחו לנאשם תיקים נוספים, וכי נראה, מהמסמכים שהוצגו לעיוני שמדובר במי שנמצא בהליך שיקום אמיתי. שקלתי אף את גילו (יליד 10/1989) והשתלבותו היציבה בשוק העבודה. </w:t>
      </w:r>
    </w:p>
    <w:p w14:paraId="24E67F37" w14:textId="77777777" w:rsidR="0047126B" w:rsidRDefault="0047126B">
      <w:pPr>
        <w:spacing w:line="360" w:lineRule="auto"/>
        <w:ind w:left="720"/>
        <w:jc w:val="both"/>
        <w:rPr>
          <w:rtl/>
        </w:rPr>
      </w:pPr>
    </w:p>
    <w:p w14:paraId="39AB31FB" w14:textId="77777777" w:rsidR="0047126B" w:rsidRDefault="007215AC">
      <w:pPr>
        <w:spacing w:line="360" w:lineRule="auto"/>
        <w:ind w:left="720" w:hanging="720"/>
        <w:jc w:val="both"/>
        <w:rPr>
          <w:rtl/>
        </w:rPr>
      </w:pPr>
      <w:r>
        <w:rPr>
          <w:rFonts w:hint="cs"/>
          <w:rtl/>
        </w:rPr>
        <w:t>16.</w:t>
      </w:r>
      <w:r>
        <w:rPr>
          <w:rFonts w:hint="cs"/>
          <w:rtl/>
        </w:rPr>
        <w:tab/>
        <w:t xml:space="preserve">כמו כן, שקלתי את </w:t>
      </w:r>
      <w:r>
        <w:rPr>
          <w:rFonts w:hint="cs"/>
          <w:b/>
          <w:bCs/>
          <w:rtl/>
        </w:rPr>
        <w:t>משך המאסר המותנה</w:t>
      </w:r>
      <w:r>
        <w:rPr>
          <w:rFonts w:hint="cs"/>
          <w:rtl/>
        </w:rPr>
        <w:t xml:space="preserve"> שהוטל</w:t>
      </w:r>
      <w:r>
        <w:rPr>
          <w:rFonts w:hint="cs"/>
          <w:b/>
          <w:bCs/>
          <w:rtl/>
        </w:rPr>
        <w:t xml:space="preserve">, </w:t>
      </w:r>
      <w:r>
        <w:rPr>
          <w:rFonts w:hint="cs"/>
          <w:rtl/>
        </w:rPr>
        <w:t xml:space="preserve">והבאתי בחשבון את </w:t>
      </w:r>
      <w:r>
        <w:rPr>
          <w:rFonts w:hint="cs"/>
          <w:b/>
          <w:bCs/>
          <w:rtl/>
        </w:rPr>
        <w:t>סוג העבירה בה הורשע הנאשם ובעיקר את כמות הסם וטיבו</w:t>
      </w:r>
      <w:r>
        <w:rPr>
          <w:rFonts w:hint="cs"/>
          <w:rtl/>
        </w:rPr>
        <w:t>.</w:t>
      </w:r>
    </w:p>
    <w:p w14:paraId="77A92B38" w14:textId="77777777" w:rsidR="0047126B" w:rsidRDefault="0047126B">
      <w:pPr>
        <w:spacing w:line="360" w:lineRule="auto"/>
        <w:ind w:left="720" w:hanging="720"/>
        <w:jc w:val="both"/>
        <w:rPr>
          <w:rtl/>
        </w:rPr>
      </w:pPr>
    </w:p>
    <w:p w14:paraId="2FEBF6A9" w14:textId="77777777" w:rsidR="0047126B" w:rsidRDefault="007215AC">
      <w:pPr>
        <w:spacing w:line="360" w:lineRule="auto"/>
        <w:ind w:left="720" w:hanging="720"/>
        <w:jc w:val="both"/>
        <w:rPr>
          <w:rtl/>
        </w:rPr>
      </w:pPr>
      <w:r>
        <w:rPr>
          <w:rFonts w:hint="cs"/>
          <w:rtl/>
        </w:rPr>
        <w:t>17.</w:t>
      </w:r>
      <w:r>
        <w:rPr>
          <w:rFonts w:hint="cs"/>
          <w:rtl/>
        </w:rPr>
        <w:tab/>
        <w:t>באיזון בין השיקולים השונים, סבורני כי בנסיבות תיק זה, כאמור, יש מקום להורות על הארכת  המאסר המותנה ולהשית עליו קנס כספי.</w:t>
      </w:r>
    </w:p>
    <w:p w14:paraId="0A6279DB" w14:textId="77777777" w:rsidR="0047126B" w:rsidRDefault="0047126B">
      <w:pPr>
        <w:spacing w:line="360" w:lineRule="auto"/>
        <w:rPr>
          <w:rtl/>
        </w:rPr>
      </w:pPr>
    </w:p>
    <w:p w14:paraId="7EE96C78" w14:textId="77777777" w:rsidR="0047126B" w:rsidRDefault="007215AC">
      <w:pPr>
        <w:spacing w:line="360" w:lineRule="auto"/>
        <w:rPr>
          <w:b/>
          <w:bCs/>
          <w:u w:val="single"/>
          <w:rtl/>
        </w:rPr>
      </w:pPr>
      <w:r>
        <w:rPr>
          <w:rFonts w:hint="cs"/>
          <w:b/>
          <w:bCs/>
          <w:u w:val="single"/>
          <w:rtl/>
        </w:rPr>
        <w:t>סוף דבר</w:t>
      </w:r>
    </w:p>
    <w:p w14:paraId="5BF33459" w14:textId="77777777" w:rsidR="0047126B" w:rsidRDefault="0047126B">
      <w:pPr>
        <w:spacing w:line="360" w:lineRule="auto"/>
        <w:rPr>
          <w:rtl/>
        </w:rPr>
      </w:pPr>
    </w:p>
    <w:p w14:paraId="1C2C24CF" w14:textId="77777777" w:rsidR="0047126B" w:rsidRDefault="007215AC">
      <w:pPr>
        <w:spacing w:line="360" w:lineRule="auto"/>
        <w:jc w:val="both"/>
        <w:rPr>
          <w:rtl/>
        </w:rPr>
      </w:pPr>
      <w:r>
        <w:rPr>
          <w:rFonts w:hint="cs"/>
          <w:rtl/>
        </w:rPr>
        <w:t xml:space="preserve">17. </w:t>
      </w:r>
      <w:r>
        <w:rPr>
          <w:rFonts w:hint="cs"/>
          <w:rtl/>
        </w:rPr>
        <w:tab/>
        <w:t>אשר על כן הנני גוזר על הנאשם את העונשים הבאים:</w:t>
      </w:r>
    </w:p>
    <w:p w14:paraId="648CD0F2" w14:textId="77777777" w:rsidR="0047126B" w:rsidRDefault="0047126B">
      <w:pPr>
        <w:spacing w:line="360" w:lineRule="auto"/>
        <w:jc w:val="both"/>
        <w:rPr>
          <w:rtl/>
        </w:rPr>
      </w:pPr>
    </w:p>
    <w:p w14:paraId="0938B327" w14:textId="77777777" w:rsidR="0047126B" w:rsidRDefault="007215AC">
      <w:pPr>
        <w:spacing w:line="360" w:lineRule="auto"/>
        <w:ind w:left="1440" w:hanging="720"/>
        <w:jc w:val="both"/>
        <w:rPr>
          <w:rtl/>
        </w:rPr>
      </w:pPr>
      <w:r>
        <w:rPr>
          <w:rFonts w:hint="cs"/>
          <w:rtl/>
        </w:rPr>
        <w:t>א.</w:t>
      </w:r>
      <w:r>
        <w:rPr>
          <w:rFonts w:hint="cs"/>
          <w:rtl/>
        </w:rPr>
        <w:tab/>
        <w:t>הנני מורה על הארכת עונש המאסר המותנה שהוטל על הנאשם ביום 14.7.10 במסגרת ת.פ. 2733/09 בבית משפט השלום בכפר סבא למשך שנתיים נוספות.</w:t>
      </w:r>
      <w:r>
        <w:rPr>
          <w:rFonts w:hint="cs"/>
          <w:rtl/>
        </w:rPr>
        <w:tab/>
      </w:r>
    </w:p>
    <w:p w14:paraId="5F3D8D79" w14:textId="77777777" w:rsidR="0047126B" w:rsidRDefault="007215AC">
      <w:pPr>
        <w:spacing w:line="360" w:lineRule="auto"/>
        <w:ind w:left="1440" w:hanging="720"/>
        <w:jc w:val="both"/>
        <w:rPr>
          <w:rtl/>
        </w:rPr>
      </w:pPr>
      <w:r>
        <w:rPr>
          <w:rFonts w:hint="cs"/>
          <w:rtl/>
        </w:rPr>
        <w:t>ב</w:t>
      </w:r>
      <w:r>
        <w:rPr>
          <w:rFonts w:hint="cs"/>
          <w:rtl/>
        </w:rPr>
        <w:tab/>
        <w:t>קנס כספי בסך 1,000 ₪ או 5 ימי מאסר תמורתו. הקנס ישולם עד ליום 15.2.15.</w:t>
      </w:r>
    </w:p>
    <w:p w14:paraId="57693E89" w14:textId="77777777" w:rsidR="0047126B" w:rsidRDefault="0047126B">
      <w:pPr>
        <w:spacing w:line="360" w:lineRule="auto"/>
        <w:jc w:val="both"/>
        <w:rPr>
          <w:rtl/>
        </w:rPr>
      </w:pPr>
    </w:p>
    <w:p w14:paraId="7B90F6F7" w14:textId="77777777" w:rsidR="0047126B" w:rsidRDefault="007215AC">
      <w:pPr>
        <w:spacing w:line="360" w:lineRule="auto"/>
        <w:ind w:left="1440"/>
        <w:jc w:val="both"/>
        <w:rPr>
          <w:rtl/>
        </w:rPr>
      </w:pPr>
      <w:r>
        <w:rPr>
          <w:rFonts w:hint="cs"/>
          <w:rtl/>
        </w:rPr>
        <w:t>ככל שקיימת הפקדה בתיק המ"ת אשר קשור לתיק זה תושב למפקיד בכפוף לכל הוראה חוקית.</w:t>
      </w:r>
    </w:p>
    <w:p w14:paraId="035F62D6" w14:textId="77777777" w:rsidR="0047126B" w:rsidRDefault="0047126B">
      <w:pPr>
        <w:spacing w:line="360" w:lineRule="auto"/>
        <w:ind w:left="1440"/>
        <w:jc w:val="both"/>
        <w:rPr>
          <w:rtl/>
        </w:rPr>
      </w:pPr>
    </w:p>
    <w:p w14:paraId="7D5F5E04" w14:textId="77777777" w:rsidR="0047126B" w:rsidRDefault="007215AC">
      <w:pPr>
        <w:spacing w:line="360" w:lineRule="auto"/>
        <w:ind w:left="1440"/>
        <w:jc w:val="both"/>
        <w:rPr>
          <w:rtl/>
        </w:rPr>
      </w:pPr>
      <w:r>
        <w:rPr>
          <w:rFonts w:hint="cs"/>
          <w:rtl/>
        </w:rPr>
        <w:t>מורה על השמדת הסם.</w:t>
      </w:r>
    </w:p>
    <w:p w14:paraId="4EA6BB16" w14:textId="77777777" w:rsidR="0047126B" w:rsidRDefault="0047126B">
      <w:pPr>
        <w:spacing w:line="360" w:lineRule="auto"/>
        <w:ind w:left="1440"/>
        <w:jc w:val="both"/>
        <w:rPr>
          <w:rtl/>
        </w:rPr>
      </w:pPr>
    </w:p>
    <w:p w14:paraId="6D6409BD" w14:textId="77777777" w:rsidR="0047126B" w:rsidRDefault="007215AC">
      <w:pPr>
        <w:spacing w:line="360" w:lineRule="auto"/>
        <w:jc w:val="both"/>
        <w:rPr>
          <w:b/>
          <w:bCs/>
          <w:rtl/>
        </w:rPr>
      </w:pPr>
      <w:r>
        <w:rPr>
          <w:rFonts w:hint="cs"/>
          <w:b/>
          <w:bCs/>
          <w:rtl/>
        </w:rPr>
        <w:t>זכות ערעור לבימ"ש המחוזי תוך 45 יום מהיום.</w:t>
      </w:r>
    </w:p>
    <w:p w14:paraId="31D69431" w14:textId="77777777" w:rsidR="0047126B" w:rsidRDefault="0047126B">
      <w:pPr>
        <w:rPr>
          <w:rtl/>
        </w:rPr>
      </w:pPr>
    </w:p>
    <w:p w14:paraId="0FFFF172" w14:textId="77777777" w:rsidR="0047126B" w:rsidRPr="007215AC" w:rsidRDefault="007215AC">
      <w:pPr>
        <w:rPr>
          <w:color w:val="FFFFFF"/>
          <w:sz w:val="2"/>
          <w:szCs w:val="2"/>
          <w:rtl/>
        </w:rPr>
      </w:pPr>
      <w:r w:rsidRPr="007215AC">
        <w:rPr>
          <w:color w:val="FFFFFF"/>
          <w:sz w:val="2"/>
          <w:szCs w:val="2"/>
          <w:rtl/>
        </w:rPr>
        <w:t>5129371</w:t>
      </w:r>
    </w:p>
    <w:p w14:paraId="68DE6D7D" w14:textId="77777777" w:rsidR="0047126B" w:rsidRDefault="002237F6">
      <w:pPr>
        <w:rPr>
          <w:rFonts w:cs="FrankRuehl"/>
          <w:sz w:val="28"/>
          <w:szCs w:val="28"/>
          <w:rtl/>
        </w:rPr>
      </w:pPr>
      <w:r w:rsidRPr="002237F6">
        <w:rPr>
          <w:rFonts w:ascii="Arial" w:hAnsi="Arial"/>
          <w:color w:val="FFFFFF"/>
          <w:sz w:val="2"/>
          <w:szCs w:val="2"/>
          <w:rtl/>
        </w:rPr>
        <w:t>5129371</w:t>
      </w:r>
      <w:r w:rsidR="007215AC" w:rsidRPr="007215AC">
        <w:rPr>
          <w:rFonts w:ascii="Arial" w:hAnsi="Arial"/>
          <w:color w:val="FFFFFF"/>
          <w:sz w:val="2"/>
          <w:szCs w:val="2"/>
          <w:rtl/>
        </w:rPr>
        <w:t>54678313</w:t>
      </w:r>
      <w:r w:rsidR="007215AC">
        <w:rPr>
          <w:rFonts w:ascii="Arial" w:hAnsi="Arial"/>
          <w:rtl/>
        </w:rPr>
        <w:t xml:space="preserve">ניתן היום,  ח' שבט תשע"ה, 28 ינואר 2015, במעמד הצדדים. </w:t>
      </w:r>
    </w:p>
    <w:p w14:paraId="381B54C3" w14:textId="77777777" w:rsidR="0047126B" w:rsidRPr="002237F6" w:rsidRDefault="002237F6">
      <w:pPr>
        <w:jc w:val="center"/>
        <w:rPr>
          <w:color w:val="FFFFFF"/>
          <w:sz w:val="2"/>
          <w:szCs w:val="2"/>
        </w:rPr>
      </w:pPr>
      <w:r w:rsidRPr="002237F6">
        <w:rPr>
          <w:color w:val="FFFFFF"/>
          <w:sz w:val="2"/>
          <w:szCs w:val="2"/>
          <w:rtl/>
        </w:rPr>
        <w:t>54678313</w:t>
      </w:r>
      <w:r w:rsidR="007215AC" w:rsidRPr="002237F6">
        <w:rPr>
          <w:rFonts w:hint="cs"/>
          <w:color w:val="FFFFFF"/>
          <w:sz w:val="2"/>
          <w:szCs w:val="2"/>
          <w:rtl/>
        </w:rPr>
        <w:t xml:space="preserve">   </w:t>
      </w:r>
      <w:r w:rsidR="007215AC" w:rsidRPr="002237F6">
        <w:rPr>
          <w:rFonts w:hint="cs"/>
          <w:color w:val="FFFFFF"/>
          <w:sz w:val="2"/>
          <w:szCs w:val="2"/>
          <w:rtl/>
        </w:rPr>
        <w:tab/>
      </w:r>
      <w:r w:rsidR="007215AC" w:rsidRPr="002237F6">
        <w:rPr>
          <w:rFonts w:hint="cs"/>
          <w:color w:val="FFFFFF"/>
          <w:sz w:val="2"/>
          <w:szCs w:val="2"/>
          <w:rtl/>
        </w:rPr>
        <w:tab/>
      </w:r>
      <w:r w:rsidR="007215AC" w:rsidRPr="002237F6">
        <w:rPr>
          <w:rFonts w:hint="cs"/>
          <w:color w:val="FFFFFF"/>
          <w:sz w:val="2"/>
          <w:szCs w:val="2"/>
          <w:rtl/>
        </w:rPr>
        <w:tab/>
      </w:r>
      <w:r w:rsidR="007215AC" w:rsidRPr="002237F6">
        <w:rPr>
          <w:rFonts w:hint="cs"/>
          <w:color w:val="FFFFFF"/>
          <w:sz w:val="2"/>
          <w:szCs w:val="2"/>
          <w:rtl/>
        </w:rPr>
        <w:tab/>
      </w:r>
      <w:r w:rsidR="007215AC" w:rsidRPr="002237F6">
        <w:rPr>
          <w:rFonts w:hint="cs"/>
          <w:color w:val="FFFFFF"/>
          <w:sz w:val="2"/>
          <w:szCs w:val="2"/>
          <w:rtl/>
        </w:rPr>
        <w:tab/>
      </w:r>
    </w:p>
    <w:p w14:paraId="0B8F9C74" w14:textId="77777777" w:rsidR="007215AC" w:rsidRDefault="007215AC" w:rsidP="007215AC">
      <w:r w:rsidRPr="007215AC">
        <w:rPr>
          <w:color w:val="000000"/>
          <w:rtl/>
        </w:rPr>
        <w:t>נוסח מסמך זה כפוף לשינויי ניסוח ועריכה</w:t>
      </w:r>
    </w:p>
    <w:p w14:paraId="1F71B8ED" w14:textId="77777777" w:rsidR="007215AC" w:rsidRDefault="007215AC" w:rsidP="007215AC">
      <w:pPr>
        <w:rPr>
          <w:rtl/>
        </w:rPr>
      </w:pPr>
    </w:p>
    <w:p w14:paraId="68D02B12" w14:textId="77777777" w:rsidR="007215AC" w:rsidRDefault="007215AC" w:rsidP="007215AC">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r w:rsidR="00E427DA">
        <w:rPr>
          <w:rFonts w:hint="cs"/>
          <w:color w:val="0000FF"/>
          <w:u w:val="single"/>
          <w:rtl/>
        </w:rPr>
        <w:t xml:space="preserve"> </w:t>
      </w:r>
    </w:p>
    <w:p w14:paraId="15113C9D" w14:textId="77777777" w:rsidR="002237F6" w:rsidRPr="002237F6" w:rsidRDefault="002237F6" w:rsidP="002237F6">
      <w:pPr>
        <w:keepNext/>
        <w:rPr>
          <w:rFonts w:ascii="David" w:hAnsi="David"/>
          <w:color w:val="000000"/>
          <w:sz w:val="22"/>
          <w:szCs w:val="22"/>
          <w:rtl/>
        </w:rPr>
      </w:pPr>
    </w:p>
    <w:p w14:paraId="514F1C2A" w14:textId="77777777" w:rsidR="002237F6" w:rsidRPr="002237F6" w:rsidRDefault="002237F6" w:rsidP="002237F6">
      <w:pPr>
        <w:keepNext/>
        <w:rPr>
          <w:rFonts w:ascii="David" w:hAnsi="David"/>
          <w:color w:val="000000"/>
          <w:sz w:val="22"/>
          <w:szCs w:val="22"/>
          <w:rtl/>
        </w:rPr>
      </w:pPr>
      <w:r w:rsidRPr="002237F6">
        <w:rPr>
          <w:rFonts w:ascii="David" w:hAnsi="David"/>
          <w:color w:val="000000"/>
          <w:sz w:val="22"/>
          <w:szCs w:val="22"/>
          <w:rtl/>
        </w:rPr>
        <w:t>ארז נוריאלי 54678313-/</w:t>
      </w:r>
    </w:p>
    <w:sectPr w:rsidR="002237F6" w:rsidRPr="002237F6" w:rsidSect="002237F6">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977190" w14:textId="77777777" w:rsidR="00CB4BEE" w:rsidRPr="004F02E7" w:rsidRDefault="00CB4BEE">
      <w:pPr>
        <w:rPr>
          <w:rFonts w:cs="Arial"/>
          <w:szCs w:val="20"/>
        </w:rPr>
      </w:pPr>
      <w:r>
        <w:separator/>
      </w:r>
    </w:p>
  </w:endnote>
  <w:endnote w:type="continuationSeparator" w:id="0">
    <w:p w14:paraId="6647A7E6" w14:textId="77777777" w:rsidR="00CB4BEE" w:rsidRPr="004F02E7" w:rsidRDefault="00CB4BE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557DA" w14:textId="77777777" w:rsidR="002237F6" w:rsidRDefault="002237F6" w:rsidP="002237F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39E80CC7" w14:textId="77777777" w:rsidR="0047126B" w:rsidRPr="002237F6" w:rsidRDefault="002237F6" w:rsidP="002237F6">
    <w:pPr>
      <w:pStyle w:val="a4"/>
      <w:pBdr>
        <w:top w:val="single" w:sz="4" w:space="1" w:color="auto"/>
        <w:between w:val="single" w:sz="4" w:space="0" w:color="auto"/>
      </w:pBdr>
      <w:spacing w:after="60"/>
      <w:jc w:val="center"/>
      <w:rPr>
        <w:rFonts w:ascii="FrankRuehl" w:hAnsi="FrankRuehl" w:cs="FrankRuehl"/>
        <w:color w:val="000000"/>
      </w:rPr>
    </w:pPr>
    <w:r w:rsidRPr="002237F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30B0B" w14:textId="77777777" w:rsidR="002237F6" w:rsidRDefault="002237F6" w:rsidP="002237F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47ECD">
      <w:rPr>
        <w:rFonts w:ascii="FrankRuehl" w:hAnsi="FrankRuehl" w:cs="FrankRuehl"/>
        <w:noProof/>
        <w:rtl/>
      </w:rPr>
      <w:t>1</w:t>
    </w:r>
    <w:r>
      <w:rPr>
        <w:rFonts w:ascii="FrankRuehl" w:hAnsi="FrankRuehl" w:cs="FrankRuehl"/>
        <w:rtl/>
      </w:rPr>
      <w:fldChar w:fldCharType="end"/>
    </w:r>
  </w:p>
  <w:p w14:paraId="548B5FAA" w14:textId="77777777" w:rsidR="0047126B" w:rsidRPr="002237F6" w:rsidRDefault="002237F6" w:rsidP="002237F6">
    <w:pPr>
      <w:pStyle w:val="a4"/>
      <w:pBdr>
        <w:top w:val="single" w:sz="4" w:space="1" w:color="auto"/>
        <w:between w:val="single" w:sz="4" w:space="0" w:color="auto"/>
      </w:pBdr>
      <w:spacing w:after="60"/>
      <w:jc w:val="center"/>
      <w:rPr>
        <w:rFonts w:ascii="FrankRuehl" w:hAnsi="FrankRuehl" w:cs="FrankRuehl"/>
        <w:color w:val="000000"/>
      </w:rPr>
    </w:pPr>
    <w:r w:rsidRPr="002237F6">
      <w:rPr>
        <w:rFonts w:ascii="FrankRuehl" w:hAnsi="FrankRuehl" w:cs="FrankRuehl"/>
        <w:color w:val="000000"/>
      </w:rPr>
      <w:pict w14:anchorId="2E5D91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E9EB21" w14:textId="77777777" w:rsidR="00CB4BEE" w:rsidRPr="004F02E7" w:rsidRDefault="00CB4BEE">
      <w:pPr>
        <w:rPr>
          <w:rFonts w:cs="Arial"/>
          <w:szCs w:val="20"/>
        </w:rPr>
      </w:pPr>
      <w:r>
        <w:separator/>
      </w:r>
    </w:p>
  </w:footnote>
  <w:footnote w:type="continuationSeparator" w:id="0">
    <w:p w14:paraId="22EA765D" w14:textId="77777777" w:rsidR="00CB4BEE" w:rsidRPr="004F02E7" w:rsidRDefault="00CB4BE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C5E47" w14:textId="77777777" w:rsidR="007215AC" w:rsidRPr="002237F6" w:rsidRDefault="002237F6" w:rsidP="002237F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47532-04-14</w:t>
    </w:r>
    <w:r>
      <w:rPr>
        <w:rFonts w:ascii="David" w:hAnsi="David"/>
        <w:color w:val="000000"/>
        <w:sz w:val="22"/>
        <w:szCs w:val="22"/>
        <w:rtl/>
      </w:rPr>
      <w:tab/>
      <w:t xml:space="preserve"> מדינת ישראל נ' חן ויצמן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4292F" w14:textId="77777777" w:rsidR="007215AC" w:rsidRPr="002237F6" w:rsidRDefault="002237F6" w:rsidP="002237F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47532-04-14</w:t>
    </w:r>
    <w:r>
      <w:rPr>
        <w:rFonts w:ascii="David" w:hAnsi="David"/>
        <w:color w:val="000000"/>
        <w:sz w:val="22"/>
        <w:szCs w:val="22"/>
        <w:rtl/>
      </w:rPr>
      <w:tab/>
      <w:t xml:space="preserve"> מדינת ישראל נ' חן ויצמן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7126B"/>
    <w:rsid w:val="002237F6"/>
    <w:rsid w:val="003007F1"/>
    <w:rsid w:val="00447ECD"/>
    <w:rsid w:val="0047126B"/>
    <w:rsid w:val="005657C0"/>
    <w:rsid w:val="007215AC"/>
    <w:rsid w:val="00A44479"/>
    <w:rsid w:val="00C97B99"/>
    <w:rsid w:val="00CB4BEE"/>
    <w:rsid w:val="00E427DA"/>
    <w:rsid w:val="00F056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C5F4856"/>
  <w15:chartTrackingRefBased/>
  <w15:docId w15:val="{54D60658-38ED-4C8C-9363-51177A853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126B"/>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7126B"/>
    <w:pPr>
      <w:tabs>
        <w:tab w:val="center" w:pos="4153"/>
        <w:tab w:val="right" w:pos="8306"/>
      </w:tabs>
    </w:pPr>
  </w:style>
  <w:style w:type="paragraph" w:styleId="a4">
    <w:name w:val="footer"/>
    <w:basedOn w:val="a"/>
    <w:rsid w:val="0047126B"/>
    <w:pPr>
      <w:tabs>
        <w:tab w:val="center" w:pos="4153"/>
        <w:tab w:val="right" w:pos="8306"/>
      </w:tabs>
    </w:pPr>
  </w:style>
  <w:style w:type="character" w:styleId="a5">
    <w:name w:val="page number"/>
    <w:basedOn w:val="a0"/>
    <w:rsid w:val="0047126B"/>
  </w:style>
  <w:style w:type="character" w:styleId="a6">
    <w:name w:val="line number"/>
    <w:basedOn w:val="a0"/>
    <w:rsid w:val="0047126B"/>
  </w:style>
  <w:style w:type="character" w:styleId="Hyperlink">
    <w:name w:val="Hyperlink"/>
    <w:rsid w:val="00721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law/70301/40b" TargetMode="External"/><Relationship Id="rId26" Type="http://schemas.openxmlformats.org/officeDocument/2006/relationships/hyperlink" Target="http://www.nevo.co.il/case/8461646" TargetMode="External"/><Relationship Id="rId39" Type="http://schemas.openxmlformats.org/officeDocument/2006/relationships/fontTable" Target="fontTable.xml"/><Relationship Id="rId21" Type="http://schemas.openxmlformats.org/officeDocument/2006/relationships/hyperlink" Target="http://www.nevo.co.il/law/70301/40jc"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7.a."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40b" TargetMode="External"/><Relationship Id="rId33" Type="http://schemas.openxmlformats.org/officeDocument/2006/relationships/hyperlink" Target="http://www.nevo.co.il/law/70301/40ja"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4216/7.c" TargetMode="External"/><Relationship Id="rId20" Type="http://schemas.openxmlformats.org/officeDocument/2006/relationships/hyperlink" Target="http://www.nevo.co.il/law/70301/40ja" TargetMode="External"/><Relationship Id="rId29" Type="http://schemas.openxmlformats.org/officeDocument/2006/relationships/hyperlink" Target="http://www.nevo.co.il/case/17962836"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c" TargetMode="External"/><Relationship Id="rId24" Type="http://schemas.openxmlformats.org/officeDocument/2006/relationships/hyperlink" Target="http://www.nevo.co.il/case/2412310" TargetMode="External"/><Relationship Id="rId32" Type="http://schemas.openxmlformats.org/officeDocument/2006/relationships/hyperlink" Target="http://www.nevo.co.il/law/70301/40jc"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4216/7.a." TargetMode="External"/><Relationship Id="rId23" Type="http://schemas.openxmlformats.org/officeDocument/2006/relationships/hyperlink" Target="http://www.nevo.co.il/law/4216" TargetMode="External"/><Relationship Id="rId28" Type="http://schemas.openxmlformats.org/officeDocument/2006/relationships/hyperlink" Target="http://www.nevo.co.il/case/4074100" TargetMode="External"/><Relationship Id="rId36" Type="http://schemas.openxmlformats.org/officeDocument/2006/relationships/header" Target="header2.xml"/><Relationship Id="rId10" Type="http://schemas.openxmlformats.org/officeDocument/2006/relationships/hyperlink" Target="http://www.nevo.co.il/law/70301/40b" TargetMode="External"/><Relationship Id="rId19" Type="http://schemas.openxmlformats.org/officeDocument/2006/relationships/hyperlink" Target="http://www.nevo.co.il/law/70301/40c" TargetMode="External"/><Relationship Id="rId31"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4216" TargetMode="External"/><Relationship Id="rId22" Type="http://schemas.openxmlformats.org/officeDocument/2006/relationships/hyperlink" Target="http://www.nevo.co.il/law/4216/7.a.;7.c" TargetMode="External"/><Relationship Id="rId27" Type="http://schemas.openxmlformats.org/officeDocument/2006/relationships/hyperlink" Target="http://www.nevo.co.il/case/4810198" TargetMode="External"/><Relationship Id="rId30" Type="http://schemas.openxmlformats.org/officeDocument/2006/relationships/hyperlink" Target="http://www.nevo.co.il/law/70301/40c" TargetMode="External"/><Relationship Id="rId35" Type="http://schemas.openxmlformats.org/officeDocument/2006/relationships/header" Target="header1.xml"/><Relationship Id="rId8" Type="http://schemas.openxmlformats.org/officeDocument/2006/relationships/hyperlink" Target="http://www.nevo.co.il/law/4216/7.c"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1202</Words>
  <Characters>6015</Characters>
  <Application>Microsoft Office Word</Application>
  <DocSecurity>0</DocSecurity>
  <Lines>50</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7203</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262155</vt:i4>
      </vt:variant>
      <vt:variant>
        <vt:i4>81</vt:i4>
      </vt:variant>
      <vt:variant>
        <vt:i4>0</vt:i4>
      </vt:variant>
      <vt:variant>
        <vt:i4>5</vt:i4>
      </vt:variant>
      <vt:variant>
        <vt:lpwstr>http://www.nevo.co.il/law/70301/40ja</vt:lpwstr>
      </vt:variant>
      <vt:variant>
        <vt:lpwstr/>
      </vt:variant>
      <vt:variant>
        <vt:i4>393227</vt:i4>
      </vt:variant>
      <vt:variant>
        <vt:i4>78</vt:i4>
      </vt:variant>
      <vt:variant>
        <vt:i4>0</vt:i4>
      </vt:variant>
      <vt:variant>
        <vt:i4>5</vt:i4>
      </vt:variant>
      <vt:variant>
        <vt:lpwstr>http://www.nevo.co.il/law/70301/40jc</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http://www.nevo.co.il/law/70301/40c</vt:lpwstr>
      </vt:variant>
      <vt:variant>
        <vt:lpwstr/>
      </vt:variant>
      <vt:variant>
        <vt:i4>3735677</vt:i4>
      </vt:variant>
      <vt:variant>
        <vt:i4>69</vt:i4>
      </vt:variant>
      <vt:variant>
        <vt:i4>0</vt:i4>
      </vt:variant>
      <vt:variant>
        <vt:i4>5</vt:i4>
      </vt:variant>
      <vt:variant>
        <vt:lpwstr>http://www.nevo.co.il/case/17962836</vt:lpwstr>
      </vt:variant>
      <vt:variant>
        <vt:lpwstr/>
      </vt:variant>
      <vt:variant>
        <vt:i4>3276912</vt:i4>
      </vt:variant>
      <vt:variant>
        <vt:i4>66</vt:i4>
      </vt:variant>
      <vt:variant>
        <vt:i4>0</vt:i4>
      </vt:variant>
      <vt:variant>
        <vt:i4>5</vt:i4>
      </vt:variant>
      <vt:variant>
        <vt:lpwstr>http://www.nevo.co.il/case/4074100</vt:lpwstr>
      </vt:variant>
      <vt:variant>
        <vt:lpwstr/>
      </vt:variant>
      <vt:variant>
        <vt:i4>3932277</vt:i4>
      </vt:variant>
      <vt:variant>
        <vt:i4>63</vt:i4>
      </vt:variant>
      <vt:variant>
        <vt:i4>0</vt:i4>
      </vt:variant>
      <vt:variant>
        <vt:i4>5</vt:i4>
      </vt:variant>
      <vt:variant>
        <vt:lpwstr>http://www.nevo.co.il/case/4810198</vt:lpwstr>
      </vt:variant>
      <vt:variant>
        <vt:lpwstr/>
      </vt:variant>
      <vt:variant>
        <vt:i4>4063349</vt:i4>
      </vt:variant>
      <vt:variant>
        <vt:i4>60</vt:i4>
      </vt:variant>
      <vt:variant>
        <vt:i4>0</vt:i4>
      </vt:variant>
      <vt:variant>
        <vt:i4>5</vt:i4>
      </vt:variant>
      <vt:variant>
        <vt:lpwstr>http://www.nevo.co.il/case/8461646</vt:lpwstr>
      </vt:variant>
      <vt:variant>
        <vt:lpwstr/>
      </vt:variant>
      <vt:variant>
        <vt:i4>6619233</vt:i4>
      </vt:variant>
      <vt:variant>
        <vt:i4>57</vt:i4>
      </vt:variant>
      <vt:variant>
        <vt:i4>0</vt:i4>
      </vt:variant>
      <vt:variant>
        <vt:i4>5</vt:i4>
      </vt:variant>
      <vt:variant>
        <vt:lpwstr>http://www.nevo.co.il/law/70301/40b</vt:lpwstr>
      </vt:variant>
      <vt:variant>
        <vt:lpwstr/>
      </vt:variant>
      <vt:variant>
        <vt:i4>3145843</vt:i4>
      </vt:variant>
      <vt:variant>
        <vt:i4>54</vt:i4>
      </vt:variant>
      <vt:variant>
        <vt:i4>0</vt:i4>
      </vt:variant>
      <vt:variant>
        <vt:i4>5</vt:i4>
      </vt:variant>
      <vt:variant>
        <vt:lpwstr>http://www.nevo.co.il/case/2412310</vt:lpwstr>
      </vt:variant>
      <vt:variant>
        <vt:lpwstr/>
      </vt:variant>
      <vt:variant>
        <vt:i4>8257637</vt:i4>
      </vt:variant>
      <vt:variant>
        <vt:i4>51</vt:i4>
      </vt:variant>
      <vt:variant>
        <vt:i4>0</vt:i4>
      </vt:variant>
      <vt:variant>
        <vt:i4>5</vt:i4>
      </vt:variant>
      <vt:variant>
        <vt:lpwstr>http://www.nevo.co.il/law/4216</vt:lpwstr>
      </vt:variant>
      <vt:variant>
        <vt:lpwstr/>
      </vt:variant>
      <vt:variant>
        <vt:i4>3997821</vt:i4>
      </vt:variant>
      <vt:variant>
        <vt:i4>48</vt:i4>
      </vt:variant>
      <vt:variant>
        <vt:i4>0</vt:i4>
      </vt:variant>
      <vt:variant>
        <vt:i4>5</vt:i4>
      </vt:variant>
      <vt:variant>
        <vt:lpwstr>http://www.nevo.co.il/law/4216/7.a.;7.c</vt:lpwstr>
      </vt:variant>
      <vt:variant>
        <vt:lpwstr/>
      </vt:variant>
      <vt:variant>
        <vt:i4>393227</vt:i4>
      </vt:variant>
      <vt:variant>
        <vt:i4>45</vt:i4>
      </vt:variant>
      <vt:variant>
        <vt:i4>0</vt:i4>
      </vt:variant>
      <vt:variant>
        <vt:i4>5</vt:i4>
      </vt:variant>
      <vt:variant>
        <vt:lpwstr>http://www.nevo.co.il/law/70301/40jc</vt:lpwstr>
      </vt:variant>
      <vt:variant>
        <vt:lpwstr/>
      </vt:variant>
      <vt:variant>
        <vt:i4>262155</vt:i4>
      </vt:variant>
      <vt:variant>
        <vt:i4>42</vt:i4>
      </vt:variant>
      <vt:variant>
        <vt:i4>0</vt:i4>
      </vt:variant>
      <vt:variant>
        <vt:i4>5</vt:i4>
      </vt:variant>
      <vt:variant>
        <vt:lpwstr>http://www.nevo.co.il/law/70301/40ja</vt:lpwstr>
      </vt:variant>
      <vt:variant>
        <vt:lpwstr/>
      </vt:variant>
      <vt:variant>
        <vt:i4>6619233</vt:i4>
      </vt:variant>
      <vt:variant>
        <vt:i4>39</vt:i4>
      </vt:variant>
      <vt:variant>
        <vt:i4>0</vt:i4>
      </vt:variant>
      <vt:variant>
        <vt:i4>5</vt:i4>
      </vt:variant>
      <vt:variant>
        <vt:lpwstr>http://www.nevo.co.il/law/70301/40c</vt:lpwstr>
      </vt:variant>
      <vt:variant>
        <vt:lpwstr/>
      </vt:variant>
      <vt:variant>
        <vt:i4>6619233</vt:i4>
      </vt:variant>
      <vt:variant>
        <vt:i4>36</vt:i4>
      </vt:variant>
      <vt:variant>
        <vt:i4>0</vt:i4>
      </vt:variant>
      <vt:variant>
        <vt:i4>5</vt:i4>
      </vt:variant>
      <vt:variant>
        <vt:lpwstr>http://www.nevo.co.il/law/70301/40b</vt:lpwstr>
      </vt:variant>
      <vt:variant>
        <vt:lpwstr/>
      </vt:variant>
      <vt:variant>
        <vt:i4>7995492</vt:i4>
      </vt:variant>
      <vt:variant>
        <vt:i4>33</vt:i4>
      </vt:variant>
      <vt:variant>
        <vt:i4>0</vt:i4>
      </vt:variant>
      <vt:variant>
        <vt:i4>5</vt:i4>
      </vt:variant>
      <vt:variant>
        <vt:lpwstr>http://www.nevo.co.il/law/70301</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8257637</vt:i4>
      </vt:variant>
      <vt:variant>
        <vt:i4>24</vt:i4>
      </vt:variant>
      <vt:variant>
        <vt:i4>0</vt:i4>
      </vt:variant>
      <vt:variant>
        <vt:i4>5</vt:i4>
      </vt:variant>
      <vt:variant>
        <vt:lpwstr>http://www.nevo.co.il/law/4216</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http://www.nevo.co.il/law/70301/40c</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2025-04-22T22:18:00Z</dcterms:created>
  <dcterms:modified xsi:type="dcterms:W3CDTF">2025-04-22T22:18:00Z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47532</vt:lpwstr>
  </property>
  <property fmtid="{D5CDD505-2E9C-101B-9397-08002B2CF9AE}" pid="6" name="NEWPARTB">
    <vt:lpwstr>04</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חן ויצמן</vt:lpwstr>
  </property>
  <property fmtid="{D5CDD505-2E9C-101B-9397-08002B2CF9AE}" pid="10" name="LAWYER">
    <vt:lpwstr>שחר יערי</vt:lpwstr>
  </property>
  <property fmtid="{D5CDD505-2E9C-101B-9397-08002B2CF9AE}" pid="11" name="JUDGE">
    <vt:lpwstr>ארז נוריאלי</vt:lpwstr>
  </property>
  <property fmtid="{D5CDD505-2E9C-101B-9397-08002B2CF9AE}" pid="12" name="CITY">
    <vt:lpwstr>פ"ת</vt:lpwstr>
  </property>
  <property fmtid="{D5CDD505-2E9C-101B-9397-08002B2CF9AE}" pid="13" name="DATE">
    <vt:lpwstr>20150128</vt:lpwstr>
  </property>
  <property fmtid="{D5CDD505-2E9C-101B-9397-08002B2CF9AE}" pid="14" name="TYPE_N_DATE">
    <vt:lpwstr>38020150128</vt:lpwstr>
  </property>
  <property fmtid="{D5CDD505-2E9C-101B-9397-08002B2CF9AE}" pid="15" name="WORDNUMPAGES">
    <vt:lpwstr>4</vt:lpwstr>
  </property>
  <property fmtid="{D5CDD505-2E9C-101B-9397-08002B2CF9AE}" pid="16" name="TYPE_ABS_DATE">
    <vt:lpwstr>380020150128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2412310;8461646;4810198;4074100;17962836</vt:lpwstr>
  </property>
  <property fmtid="{D5CDD505-2E9C-101B-9397-08002B2CF9AE}" pid="36" name="LAWLISTTMP1">
    <vt:lpwstr>4216/007.a;007.c</vt:lpwstr>
  </property>
  <property fmtid="{D5CDD505-2E9C-101B-9397-08002B2CF9AE}" pid="37" name="LAWLISTTMP2">
    <vt:lpwstr>70301/040b;040c;40ja;40jc</vt:lpwstr>
  </property>
</Properties>
</file>