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2613E" w:rsidRPr="00DE7AF5" w14:paraId="513AD010" w14:textId="77777777">
        <w:trPr>
          <w:trHeight w:hRule="exact" w:val="418"/>
          <w:jc w:val="center"/>
        </w:trPr>
        <w:tc>
          <w:tcPr>
            <w:tcW w:w="8721" w:type="dxa"/>
            <w:gridSpan w:val="2"/>
          </w:tcPr>
          <w:p w14:paraId="4438C719" w14:textId="77777777" w:rsidR="00A2613E" w:rsidRPr="00DE7AF5" w:rsidRDefault="00DE7AF5">
            <w:pPr>
              <w:pStyle w:val="a3"/>
              <w:jc w:val="center"/>
              <w:rPr>
                <w:rFonts w:ascii="Tahoma" w:hAnsi="Tahoma" w:cs="Tahoma"/>
                <w:color w:val="000080"/>
                <w:rtl/>
              </w:rPr>
            </w:pPr>
            <w:bookmarkStart w:id="0" w:name="LastJudge"/>
            <w:r w:rsidRPr="00DE7AF5">
              <w:rPr>
                <w:rFonts w:ascii="Tahoma" w:hAnsi="Tahoma" w:cs="Tahoma"/>
                <w:b/>
                <w:bCs/>
                <w:color w:val="000080"/>
                <w:rtl/>
              </w:rPr>
              <w:t>בית משפט השלום בירושלים</w:t>
            </w:r>
          </w:p>
        </w:tc>
      </w:tr>
      <w:tr w:rsidR="00A2613E" w:rsidRPr="00DE7AF5" w14:paraId="5A1D6596" w14:textId="77777777">
        <w:trPr>
          <w:trHeight w:val="337"/>
          <w:jc w:val="center"/>
        </w:trPr>
        <w:tc>
          <w:tcPr>
            <w:tcW w:w="5058" w:type="dxa"/>
          </w:tcPr>
          <w:p w14:paraId="584CE8AD" w14:textId="77777777" w:rsidR="00A2613E" w:rsidRPr="00DE7AF5" w:rsidRDefault="00DE7AF5">
            <w:pPr>
              <w:rPr>
                <w:rtl/>
              </w:rPr>
            </w:pPr>
            <w:r w:rsidRPr="00DE7AF5">
              <w:rPr>
                <w:rFonts w:cs="FrankRuehl"/>
                <w:sz w:val="28"/>
                <w:szCs w:val="28"/>
                <w:rtl/>
              </w:rPr>
              <w:t>ת"פ</w:t>
            </w:r>
            <w:r w:rsidRPr="00DE7AF5">
              <w:rPr>
                <w:rFonts w:cs="FrankRuehl" w:hint="cs"/>
                <w:sz w:val="28"/>
                <w:szCs w:val="28"/>
                <w:rtl/>
              </w:rPr>
              <w:t xml:space="preserve"> </w:t>
            </w:r>
            <w:r w:rsidRPr="00DE7AF5">
              <w:rPr>
                <w:rFonts w:cs="FrankRuehl"/>
                <w:sz w:val="28"/>
                <w:szCs w:val="28"/>
                <w:rtl/>
              </w:rPr>
              <w:t>9620-04-14</w:t>
            </w:r>
            <w:r w:rsidRPr="00DE7AF5">
              <w:rPr>
                <w:rFonts w:cs="FrankRuehl" w:hint="cs"/>
                <w:sz w:val="28"/>
                <w:szCs w:val="28"/>
                <w:rtl/>
              </w:rPr>
              <w:t xml:space="preserve"> </w:t>
            </w:r>
            <w:r w:rsidRPr="00DE7AF5">
              <w:rPr>
                <w:rFonts w:cs="FrankRuehl"/>
                <w:sz w:val="28"/>
                <w:szCs w:val="28"/>
                <w:rtl/>
              </w:rPr>
              <w:t>מדינת ישראל נ' חא</w:t>
            </w:r>
            <w:r w:rsidRPr="00DE7AF5">
              <w:rPr>
                <w:rFonts w:cs="FrankRuehl" w:hint="cs"/>
                <w:sz w:val="28"/>
                <w:szCs w:val="28"/>
                <w:rtl/>
              </w:rPr>
              <w:t>ל</w:t>
            </w:r>
            <w:r w:rsidRPr="00DE7AF5">
              <w:rPr>
                <w:rFonts w:cs="FrankRuehl"/>
                <w:sz w:val="28"/>
                <w:szCs w:val="28"/>
                <w:rtl/>
              </w:rPr>
              <w:t>ס(אחר/נוסף)</w:t>
            </w:r>
          </w:p>
          <w:p w14:paraId="19872026" w14:textId="77777777" w:rsidR="00A2613E" w:rsidRPr="00DE7AF5" w:rsidRDefault="00A2613E">
            <w:pPr>
              <w:rPr>
                <w:rFonts w:cs="FrankRuehl"/>
                <w:sz w:val="28"/>
                <w:szCs w:val="28"/>
                <w:rtl/>
              </w:rPr>
            </w:pPr>
          </w:p>
        </w:tc>
        <w:tc>
          <w:tcPr>
            <w:tcW w:w="3663" w:type="dxa"/>
          </w:tcPr>
          <w:p w14:paraId="6FE90979" w14:textId="77777777" w:rsidR="00A2613E" w:rsidRPr="00DE7AF5" w:rsidRDefault="00DE7AF5">
            <w:pPr>
              <w:pStyle w:val="a3"/>
              <w:jc w:val="right"/>
              <w:rPr>
                <w:rFonts w:cs="FrankRuehl"/>
                <w:sz w:val="28"/>
                <w:szCs w:val="28"/>
                <w:rtl/>
              </w:rPr>
            </w:pPr>
            <w:r w:rsidRPr="00DE7AF5">
              <w:rPr>
                <w:rFonts w:cs="FrankRuehl"/>
                <w:sz w:val="28"/>
                <w:szCs w:val="28"/>
                <w:rtl/>
              </w:rPr>
              <w:t>12 יולי 2015</w:t>
            </w:r>
          </w:p>
        </w:tc>
      </w:tr>
    </w:tbl>
    <w:p w14:paraId="34CF046F" w14:textId="77777777" w:rsidR="00A2613E" w:rsidRPr="00DE7AF5" w:rsidRDefault="00DE7AF5">
      <w:pPr>
        <w:pStyle w:val="a3"/>
        <w:rPr>
          <w:rtl/>
        </w:rPr>
      </w:pPr>
      <w:r w:rsidRPr="00DE7AF5">
        <w:rPr>
          <w:rFonts w:hint="cs"/>
          <w:rtl/>
        </w:rPr>
        <w:t xml:space="preserve"> </w:t>
      </w:r>
    </w:p>
    <w:p w14:paraId="04E9E11B" w14:textId="77777777" w:rsidR="00A2613E" w:rsidRPr="00DE7AF5" w:rsidRDefault="00DE7AF5">
      <w:pPr>
        <w:pStyle w:val="a3"/>
      </w:pPr>
      <w:r w:rsidRPr="00DE7AF5">
        <w:rPr>
          <w:rFonts w:cs="Times New Roman" w:hint="cs"/>
          <w:b/>
          <w:bCs/>
          <w:sz w:val="26"/>
          <w:szCs w:val="28"/>
          <w:rtl/>
        </w:rPr>
        <w:t xml:space="preserve"> </w:t>
      </w:r>
    </w:p>
    <w:p w14:paraId="1B6D86ED" w14:textId="77777777" w:rsidR="00A2613E" w:rsidRPr="00DE7AF5" w:rsidRDefault="00A2613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2613E" w:rsidRPr="00DE7AF5" w14:paraId="5454BD4D" w14:textId="77777777">
        <w:trPr>
          <w:trHeight w:val="295"/>
          <w:jc w:val="center"/>
        </w:trPr>
        <w:tc>
          <w:tcPr>
            <w:tcW w:w="923" w:type="dxa"/>
            <w:tcBorders>
              <w:top w:val="nil"/>
              <w:left w:val="nil"/>
              <w:bottom w:val="nil"/>
              <w:right w:val="nil"/>
            </w:tcBorders>
            <w:shd w:val="clear" w:color="auto" w:fill="auto"/>
          </w:tcPr>
          <w:p w14:paraId="53DDFBD4" w14:textId="77777777" w:rsidR="00A2613E" w:rsidRPr="00DE7AF5" w:rsidRDefault="00DE7AF5">
            <w:pPr>
              <w:jc w:val="both"/>
              <w:rPr>
                <w:rFonts w:ascii="Arial" w:hAnsi="Arial" w:cs="FrankRuehl"/>
                <w:sz w:val="28"/>
                <w:szCs w:val="28"/>
              </w:rPr>
            </w:pPr>
            <w:r w:rsidRPr="00DE7AF5">
              <w:rPr>
                <w:rFonts w:ascii="Arial" w:hAnsi="Arial" w:cs="FrankRuehl" w:hint="cs"/>
                <w:sz w:val="28"/>
                <w:szCs w:val="28"/>
                <w:rtl/>
              </w:rPr>
              <w:t>ב</w:t>
            </w:r>
            <w:r w:rsidRPr="00DE7AF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612C3AB" w14:textId="77777777" w:rsidR="00A2613E" w:rsidRPr="00DE7AF5" w:rsidRDefault="00DE7AF5">
            <w:pPr>
              <w:rPr>
                <w:rFonts w:ascii="Arial" w:hAnsi="Arial" w:cs="FrankRuehl"/>
                <w:b/>
                <w:bCs/>
                <w:sz w:val="28"/>
                <w:szCs w:val="28"/>
                <w:rtl/>
              </w:rPr>
            </w:pPr>
            <w:r w:rsidRPr="00DE7AF5">
              <w:rPr>
                <w:rFonts w:ascii="Arial" w:hAnsi="Arial" w:cs="FrankRuehl" w:hint="cs"/>
                <w:b/>
                <w:bCs/>
                <w:sz w:val="28"/>
                <w:szCs w:val="28"/>
                <w:rtl/>
              </w:rPr>
              <w:t>כב' השופטת דנה כהן-לקח</w:t>
            </w:r>
          </w:p>
          <w:p w14:paraId="18E92DD2" w14:textId="77777777" w:rsidR="00A2613E" w:rsidRPr="00DE7AF5" w:rsidRDefault="00A2613E">
            <w:pPr>
              <w:rPr>
                <w:rFonts w:ascii="Arial" w:hAnsi="Arial" w:cs="FrankRuehl"/>
                <w:sz w:val="28"/>
                <w:szCs w:val="28"/>
                <w:rtl/>
              </w:rPr>
            </w:pPr>
          </w:p>
          <w:p w14:paraId="448F9BB1" w14:textId="77777777" w:rsidR="00A2613E" w:rsidRPr="00DE7AF5" w:rsidRDefault="00A2613E">
            <w:pPr>
              <w:jc w:val="both"/>
              <w:rPr>
                <w:rFonts w:ascii="Arial" w:hAnsi="Arial" w:cs="FrankRuehl"/>
                <w:sz w:val="28"/>
                <w:szCs w:val="28"/>
              </w:rPr>
            </w:pPr>
          </w:p>
        </w:tc>
      </w:tr>
      <w:tr w:rsidR="00A2613E" w:rsidRPr="00DE7AF5" w14:paraId="472DC7D4" w14:textId="77777777">
        <w:trPr>
          <w:trHeight w:val="355"/>
          <w:jc w:val="center"/>
        </w:trPr>
        <w:tc>
          <w:tcPr>
            <w:tcW w:w="923" w:type="dxa"/>
            <w:tcBorders>
              <w:top w:val="nil"/>
              <w:left w:val="nil"/>
              <w:bottom w:val="nil"/>
              <w:right w:val="nil"/>
            </w:tcBorders>
            <w:shd w:val="clear" w:color="auto" w:fill="auto"/>
          </w:tcPr>
          <w:p w14:paraId="51EF114E" w14:textId="77777777" w:rsidR="00A2613E" w:rsidRPr="00DE7AF5" w:rsidRDefault="00DE7AF5">
            <w:pPr>
              <w:jc w:val="both"/>
              <w:rPr>
                <w:rFonts w:ascii="Arial" w:hAnsi="Arial" w:cs="FrankRuehl"/>
                <w:sz w:val="28"/>
                <w:szCs w:val="28"/>
              </w:rPr>
            </w:pPr>
            <w:bookmarkStart w:id="1" w:name="FirstAppellant"/>
            <w:r w:rsidRPr="00DE7AF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B77D179" w14:textId="77777777" w:rsidR="00A2613E" w:rsidRPr="00DE7AF5" w:rsidRDefault="00DE7AF5">
            <w:r w:rsidRPr="00DE7AF5">
              <w:rPr>
                <w:rFonts w:hint="cs"/>
                <w:rtl/>
              </w:rPr>
              <w:t>מדינת ישראל</w:t>
            </w:r>
          </w:p>
        </w:tc>
        <w:tc>
          <w:tcPr>
            <w:tcW w:w="3771" w:type="dxa"/>
            <w:tcBorders>
              <w:top w:val="nil"/>
              <w:left w:val="nil"/>
              <w:bottom w:val="nil"/>
              <w:right w:val="nil"/>
            </w:tcBorders>
            <w:shd w:val="clear" w:color="auto" w:fill="auto"/>
          </w:tcPr>
          <w:p w14:paraId="1EABFDA1" w14:textId="77777777" w:rsidR="00A2613E" w:rsidRPr="00DE7AF5" w:rsidRDefault="00A2613E">
            <w:pPr>
              <w:jc w:val="both"/>
              <w:rPr>
                <w:rFonts w:ascii="Arial" w:hAnsi="Arial" w:cs="FrankRuehl"/>
                <w:sz w:val="28"/>
                <w:szCs w:val="28"/>
              </w:rPr>
            </w:pPr>
          </w:p>
        </w:tc>
      </w:tr>
      <w:bookmarkEnd w:id="1"/>
      <w:tr w:rsidR="00A2613E" w:rsidRPr="00DE7AF5" w14:paraId="272CF1DB" w14:textId="77777777">
        <w:trPr>
          <w:trHeight w:val="355"/>
          <w:jc w:val="center"/>
        </w:trPr>
        <w:tc>
          <w:tcPr>
            <w:tcW w:w="923" w:type="dxa"/>
            <w:tcBorders>
              <w:top w:val="nil"/>
              <w:left w:val="nil"/>
              <w:bottom w:val="nil"/>
              <w:right w:val="nil"/>
            </w:tcBorders>
            <w:shd w:val="clear" w:color="auto" w:fill="auto"/>
          </w:tcPr>
          <w:p w14:paraId="4257EEA6" w14:textId="77777777" w:rsidR="00A2613E" w:rsidRPr="00DE7AF5" w:rsidRDefault="00A2613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26B3FF4" w14:textId="77777777" w:rsidR="00A2613E" w:rsidRPr="00DE7AF5" w:rsidRDefault="00A2613E">
            <w:pPr>
              <w:jc w:val="both"/>
              <w:rPr>
                <w:rtl/>
              </w:rPr>
            </w:pPr>
          </w:p>
        </w:tc>
        <w:tc>
          <w:tcPr>
            <w:tcW w:w="3771" w:type="dxa"/>
            <w:tcBorders>
              <w:top w:val="nil"/>
              <w:left w:val="nil"/>
              <w:bottom w:val="nil"/>
              <w:right w:val="nil"/>
            </w:tcBorders>
            <w:shd w:val="clear" w:color="auto" w:fill="auto"/>
          </w:tcPr>
          <w:p w14:paraId="278151D4" w14:textId="77777777" w:rsidR="00A2613E" w:rsidRPr="00DE7AF5" w:rsidRDefault="00DE7AF5">
            <w:pPr>
              <w:jc w:val="right"/>
              <w:rPr>
                <w:rFonts w:ascii="Arial" w:hAnsi="Arial" w:cs="FrankRuehl"/>
                <w:sz w:val="28"/>
                <w:szCs w:val="28"/>
                <w:rtl/>
              </w:rPr>
            </w:pPr>
            <w:r w:rsidRPr="00DE7AF5">
              <w:rPr>
                <w:rFonts w:ascii="Arial" w:hAnsi="Arial" w:cs="FrankRuehl" w:hint="cs"/>
                <w:sz w:val="28"/>
                <w:szCs w:val="28"/>
                <w:rtl/>
              </w:rPr>
              <w:t>ה</w:t>
            </w:r>
            <w:r w:rsidRPr="00DE7AF5">
              <w:rPr>
                <w:rFonts w:hint="cs"/>
                <w:rtl/>
              </w:rPr>
              <w:t>מאשימה</w:t>
            </w:r>
          </w:p>
        </w:tc>
      </w:tr>
      <w:tr w:rsidR="00A2613E" w:rsidRPr="00DE7AF5" w14:paraId="41748A83" w14:textId="77777777">
        <w:trPr>
          <w:trHeight w:val="355"/>
          <w:jc w:val="center"/>
        </w:trPr>
        <w:tc>
          <w:tcPr>
            <w:tcW w:w="923" w:type="dxa"/>
            <w:tcBorders>
              <w:top w:val="nil"/>
              <w:left w:val="nil"/>
              <w:bottom w:val="nil"/>
              <w:right w:val="nil"/>
            </w:tcBorders>
            <w:shd w:val="clear" w:color="auto" w:fill="auto"/>
          </w:tcPr>
          <w:p w14:paraId="02472F1C" w14:textId="77777777" w:rsidR="00A2613E" w:rsidRPr="00DE7AF5" w:rsidRDefault="00A2613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FE702C2" w14:textId="77777777" w:rsidR="00A2613E" w:rsidRPr="00DE7AF5" w:rsidRDefault="00A2613E">
            <w:pPr>
              <w:jc w:val="center"/>
              <w:rPr>
                <w:rFonts w:ascii="Arial" w:hAnsi="Arial" w:cs="FrankRuehl"/>
                <w:b/>
                <w:bCs/>
                <w:sz w:val="28"/>
                <w:szCs w:val="28"/>
                <w:rtl/>
              </w:rPr>
            </w:pPr>
          </w:p>
          <w:p w14:paraId="5C61D885" w14:textId="77777777" w:rsidR="00A2613E" w:rsidRPr="00DE7AF5" w:rsidRDefault="00DE7AF5">
            <w:pPr>
              <w:jc w:val="center"/>
              <w:rPr>
                <w:rFonts w:ascii="Arial" w:hAnsi="Arial" w:cs="FrankRuehl"/>
                <w:b/>
                <w:bCs/>
                <w:sz w:val="28"/>
                <w:szCs w:val="28"/>
                <w:rtl/>
              </w:rPr>
            </w:pPr>
            <w:r w:rsidRPr="00DE7AF5">
              <w:rPr>
                <w:rFonts w:ascii="Arial" w:hAnsi="Arial" w:cs="FrankRuehl"/>
                <w:b/>
                <w:bCs/>
                <w:sz w:val="28"/>
                <w:szCs w:val="28"/>
                <w:rtl/>
              </w:rPr>
              <w:t>נגד</w:t>
            </w:r>
          </w:p>
          <w:p w14:paraId="30BC4374" w14:textId="77777777" w:rsidR="00A2613E" w:rsidRPr="00DE7AF5" w:rsidRDefault="00A2613E">
            <w:pPr>
              <w:jc w:val="both"/>
              <w:rPr>
                <w:rFonts w:ascii="Arial" w:hAnsi="Arial" w:cs="FrankRuehl"/>
                <w:sz w:val="28"/>
                <w:szCs w:val="28"/>
              </w:rPr>
            </w:pPr>
          </w:p>
        </w:tc>
      </w:tr>
      <w:tr w:rsidR="00A2613E" w:rsidRPr="00DE7AF5" w14:paraId="6F8439EB" w14:textId="77777777">
        <w:trPr>
          <w:trHeight w:val="355"/>
          <w:jc w:val="center"/>
        </w:trPr>
        <w:tc>
          <w:tcPr>
            <w:tcW w:w="923" w:type="dxa"/>
            <w:tcBorders>
              <w:top w:val="nil"/>
              <w:left w:val="nil"/>
              <w:bottom w:val="nil"/>
              <w:right w:val="nil"/>
            </w:tcBorders>
            <w:shd w:val="clear" w:color="auto" w:fill="auto"/>
          </w:tcPr>
          <w:p w14:paraId="2EF2A778" w14:textId="77777777" w:rsidR="00A2613E" w:rsidRPr="00DE7AF5" w:rsidRDefault="00A2613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E0F854E" w14:textId="77777777" w:rsidR="00A2613E" w:rsidRPr="00DE7AF5" w:rsidRDefault="00DE7AF5">
            <w:pPr>
              <w:jc w:val="both"/>
              <w:rPr>
                <w:rtl/>
              </w:rPr>
            </w:pPr>
            <w:r w:rsidRPr="00DE7AF5">
              <w:rPr>
                <w:rFonts w:hint="cs"/>
                <w:rtl/>
              </w:rPr>
              <w:t>אמיר חאלס</w:t>
            </w:r>
          </w:p>
        </w:tc>
        <w:tc>
          <w:tcPr>
            <w:tcW w:w="3771" w:type="dxa"/>
            <w:tcBorders>
              <w:top w:val="nil"/>
              <w:left w:val="nil"/>
              <w:bottom w:val="nil"/>
              <w:right w:val="nil"/>
            </w:tcBorders>
            <w:shd w:val="clear" w:color="auto" w:fill="auto"/>
          </w:tcPr>
          <w:p w14:paraId="2479CB98" w14:textId="77777777" w:rsidR="00A2613E" w:rsidRPr="00DE7AF5" w:rsidRDefault="00A2613E">
            <w:pPr>
              <w:jc w:val="right"/>
              <w:rPr>
                <w:rFonts w:ascii="Arial" w:hAnsi="Arial" w:cs="FrankRuehl"/>
                <w:sz w:val="28"/>
                <w:szCs w:val="28"/>
              </w:rPr>
            </w:pPr>
          </w:p>
        </w:tc>
      </w:tr>
      <w:tr w:rsidR="00A2613E" w:rsidRPr="00DE7AF5" w14:paraId="1FE6F705" w14:textId="77777777">
        <w:trPr>
          <w:trHeight w:val="355"/>
          <w:jc w:val="center"/>
        </w:trPr>
        <w:tc>
          <w:tcPr>
            <w:tcW w:w="923" w:type="dxa"/>
            <w:tcBorders>
              <w:top w:val="nil"/>
              <w:left w:val="nil"/>
              <w:bottom w:val="nil"/>
              <w:right w:val="nil"/>
            </w:tcBorders>
            <w:shd w:val="clear" w:color="auto" w:fill="auto"/>
          </w:tcPr>
          <w:p w14:paraId="3EAED2F3" w14:textId="77777777" w:rsidR="00A2613E" w:rsidRPr="00DE7AF5" w:rsidRDefault="00A2613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3DF8161" w14:textId="77777777" w:rsidR="00A2613E" w:rsidRPr="00DE7AF5" w:rsidRDefault="00A2613E">
            <w:pPr>
              <w:jc w:val="both"/>
              <w:rPr>
                <w:rtl/>
              </w:rPr>
            </w:pPr>
          </w:p>
        </w:tc>
        <w:tc>
          <w:tcPr>
            <w:tcW w:w="3771" w:type="dxa"/>
            <w:tcBorders>
              <w:top w:val="nil"/>
              <w:left w:val="nil"/>
              <w:bottom w:val="nil"/>
              <w:right w:val="nil"/>
            </w:tcBorders>
            <w:shd w:val="clear" w:color="auto" w:fill="auto"/>
          </w:tcPr>
          <w:p w14:paraId="40733C8E" w14:textId="77777777" w:rsidR="00A2613E" w:rsidRPr="00DE7AF5" w:rsidRDefault="00DE7AF5">
            <w:pPr>
              <w:jc w:val="right"/>
              <w:rPr>
                <w:rFonts w:ascii="Arial" w:hAnsi="Arial" w:cs="FrankRuehl"/>
                <w:sz w:val="28"/>
                <w:szCs w:val="28"/>
              </w:rPr>
            </w:pPr>
            <w:r w:rsidRPr="00DE7AF5">
              <w:rPr>
                <w:rFonts w:ascii="Arial" w:hAnsi="Arial" w:cs="FrankRuehl" w:hint="cs"/>
                <w:sz w:val="28"/>
                <w:szCs w:val="28"/>
                <w:rtl/>
              </w:rPr>
              <w:t>ה</w:t>
            </w:r>
            <w:r w:rsidRPr="00DE7AF5">
              <w:rPr>
                <w:rFonts w:hint="cs"/>
                <w:rtl/>
              </w:rPr>
              <w:t>נאשם</w:t>
            </w:r>
          </w:p>
        </w:tc>
      </w:tr>
      <w:tr w:rsidR="00A2613E" w14:paraId="3CBBA9B0" w14:textId="77777777">
        <w:trPr>
          <w:trHeight w:val="355"/>
          <w:jc w:val="center"/>
        </w:trPr>
        <w:tc>
          <w:tcPr>
            <w:tcW w:w="8820" w:type="dxa"/>
            <w:gridSpan w:val="3"/>
            <w:tcBorders>
              <w:top w:val="nil"/>
              <w:left w:val="nil"/>
              <w:bottom w:val="nil"/>
              <w:right w:val="nil"/>
            </w:tcBorders>
            <w:shd w:val="clear" w:color="auto" w:fill="auto"/>
          </w:tcPr>
          <w:p w14:paraId="7A9F2FB6" w14:textId="77777777" w:rsidR="00B95393" w:rsidRDefault="00B95393" w:rsidP="00DE7AF5">
            <w:pPr>
              <w:jc w:val="center"/>
              <w:rPr>
                <w:rFonts w:ascii="Arial" w:hAnsi="Arial" w:cs="FrankRuehl"/>
                <w:sz w:val="32"/>
                <w:szCs w:val="32"/>
                <w:rtl/>
              </w:rPr>
            </w:pPr>
            <w:bookmarkStart w:id="2" w:name="PsakDin" w:colFirst="0" w:colLast="0"/>
            <w:bookmarkStart w:id="3" w:name="LawTable"/>
            <w:bookmarkEnd w:id="0"/>
            <w:bookmarkEnd w:id="3"/>
          </w:p>
          <w:p w14:paraId="47F66276" w14:textId="77777777" w:rsidR="00B95393" w:rsidRPr="00B95393" w:rsidRDefault="00B95393" w:rsidP="00B95393">
            <w:pPr>
              <w:spacing w:after="120" w:line="240" w:lineRule="exact"/>
              <w:ind w:left="283" w:hanging="283"/>
              <w:jc w:val="both"/>
              <w:rPr>
                <w:rFonts w:ascii="FrankRuehl" w:hAnsi="FrankRuehl" w:cs="FrankRuehl"/>
                <w:rtl/>
              </w:rPr>
            </w:pPr>
          </w:p>
          <w:p w14:paraId="522C20C2" w14:textId="77777777" w:rsidR="00B95393" w:rsidRPr="00B95393" w:rsidRDefault="00B95393" w:rsidP="00B95393">
            <w:pPr>
              <w:spacing w:after="120" w:line="240" w:lineRule="exact"/>
              <w:ind w:left="283" w:hanging="283"/>
              <w:jc w:val="both"/>
              <w:rPr>
                <w:rFonts w:ascii="FrankRuehl" w:hAnsi="FrankRuehl" w:cs="FrankRuehl"/>
                <w:rtl/>
              </w:rPr>
            </w:pPr>
            <w:r w:rsidRPr="00B95393">
              <w:rPr>
                <w:rFonts w:ascii="FrankRuehl" w:hAnsi="FrankRuehl" w:cs="FrankRuehl"/>
                <w:rtl/>
              </w:rPr>
              <w:t xml:space="preserve">חקיקה שאוזכרה: </w:t>
            </w:r>
          </w:p>
          <w:p w14:paraId="01F18ECB" w14:textId="77777777" w:rsidR="00B95393" w:rsidRPr="00B95393" w:rsidRDefault="00B95393" w:rsidP="00B95393">
            <w:pPr>
              <w:spacing w:after="120" w:line="240" w:lineRule="exact"/>
              <w:ind w:left="283" w:hanging="283"/>
              <w:jc w:val="both"/>
              <w:rPr>
                <w:rFonts w:ascii="FrankRuehl" w:hAnsi="FrankRuehl" w:cs="FrankRuehl"/>
                <w:color w:val="0000FF"/>
                <w:u w:val="single"/>
                <w:rtl/>
              </w:rPr>
            </w:pPr>
            <w:hyperlink r:id="rId6" w:history="1">
              <w:r w:rsidRPr="00B95393">
                <w:rPr>
                  <w:rStyle w:val="Hyperlink"/>
                  <w:rFonts w:ascii="FrankRuehl" w:hAnsi="FrankRuehl" w:cs="FrankRuehl"/>
                  <w:rtl/>
                </w:rPr>
                <w:t>פקודת הסמים המסוכנים [נוסח חדש], תשל"ג-1973</w:t>
              </w:r>
            </w:hyperlink>
            <w:r w:rsidRPr="00B95393">
              <w:rPr>
                <w:rFonts w:ascii="FrankRuehl" w:hAnsi="FrankRuehl" w:cs="FrankRuehl"/>
                <w:color w:val="0000FF"/>
                <w:u w:val="single"/>
                <w:rtl/>
              </w:rPr>
              <w:t xml:space="preserve">: סע'  </w:t>
            </w:r>
            <w:hyperlink r:id="rId7" w:history="1">
              <w:r w:rsidRPr="00B95393">
                <w:rPr>
                  <w:rStyle w:val="Hyperlink"/>
                  <w:rFonts w:ascii="FrankRuehl" w:hAnsi="FrankRuehl" w:cs="FrankRuehl"/>
                </w:rPr>
                <w:t>13</w:t>
              </w:r>
            </w:hyperlink>
            <w:r w:rsidRPr="00B95393">
              <w:rPr>
                <w:rFonts w:ascii="FrankRuehl" w:hAnsi="FrankRuehl" w:cs="FrankRuehl"/>
                <w:color w:val="0000FF"/>
                <w:u w:val="single"/>
                <w:rtl/>
              </w:rPr>
              <w:t xml:space="preserve">, </w:t>
            </w:r>
            <w:hyperlink r:id="rId8" w:history="1">
              <w:r w:rsidRPr="00B95393">
                <w:rPr>
                  <w:rStyle w:val="Hyperlink"/>
                  <w:rFonts w:ascii="FrankRuehl" w:hAnsi="FrankRuehl" w:cs="FrankRuehl"/>
                </w:rPr>
                <w:t>19</w:t>
              </w:r>
              <w:r w:rsidRPr="00B95393">
                <w:rPr>
                  <w:rStyle w:val="Hyperlink"/>
                  <w:rFonts w:ascii="FrankRuehl" w:hAnsi="FrankRuehl" w:cs="FrankRuehl"/>
                  <w:rtl/>
                </w:rPr>
                <w:t>א</w:t>
              </w:r>
            </w:hyperlink>
            <w:r w:rsidRPr="00B95393">
              <w:rPr>
                <w:rFonts w:ascii="FrankRuehl" w:hAnsi="FrankRuehl" w:cs="FrankRuehl"/>
                <w:color w:val="0000FF"/>
                <w:u w:val="single"/>
                <w:rtl/>
              </w:rPr>
              <w:t xml:space="preserve">, </w:t>
            </w:r>
            <w:hyperlink r:id="rId9" w:history="1">
              <w:r w:rsidRPr="00B95393">
                <w:rPr>
                  <w:rStyle w:val="Hyperlink"/>
                  <w:rFonts w:ascii="FrankRuehl" w:hAnsi="FrankRuehl" w:cs="FrankRuehl"/>
                </w:rPr>
                <w:t>36</w:t>
              </w:r>
              <w:r w:rsidRPr="00B95393">
                <w:rPr>
                  <w:rStyle w:val="Hyperlink"/>
                  <w:rFonts w:ascii="FrankRuehl" w:hAnsi="FrankRuehl" w:cs="FrankRuehl"/>
                  <w:rtl/>
                </w:rPr>
                <w:t>א(ב</w:t>
              </w:r>
              <w:r w:rsidRPr="00B95393">
                <w:rPr>
                  <w:rStyle w:val="Hyperlink"/>
                  <w:rFonts w:ascii="FrankRuehl" w:hAnsi="FrankRuehl" w:cs="FrankRuehl"/>
                </w:rPr>
                <w:t>)</w:t>
              </w:r>
            </w:hyperlink>
          </w:p>
          <w:p w14:paraId="2AFFACD5" w14:textId="77777777" w:rsidR="00B95393" w:rsidRPr="00B95393" w:rsidRDefault="00B95393" w:rsidP="00B95393">
            <w:pPr>
              <w:spacing w:after="120" w:line="240" w:lineRule="exact"/>
              <w:ind w:left="283" w:hanging="283"/>
              <w:jc w:val="both"/>
              <w:rPr>
                <w:rFonts w:ascii="FrankRuehl" w:hAnsi="FrankRuehl" w:cs="FrankRuehl"/>
                <w:color w:val="0000FF"/>
                <w:u w:val="single"/>
                <w:rtl/>
              </w:rPr>
            </w:pPr>
            <w:hyperlink r:id="rId10" w:history="1">
              <w:r w:rsidRPr="00B95393">
                <w:rPr>
                  <w:rStyle w:val="Hyperlink"/>
                  <w:rFonts w:ascii="FrankRuehl" w:hAnsi="FrankRuehl" w:cs="FrankRuehl"/>
                  <w:rtl/>
                </w:rPr>
                <w:t>חוק העונשין, תשל"ז-1977</w:t>
              </w:r>
            </w:hyperlink>
            <w:r w:rsidRPr="00B95393">
              <w:rPr>
                <w:rFonts w:ascii="FrankRuehl" w:hAnsi="FrankRuehl" w:cs="FrankRuehl"/>
                <w:color w:val="0000FF"/>
                <w:u w:val="single"/>
                <w:rtl/>
              </w:rPr>
              <w:t xml:space="preserve">: סע'  </w:t>
            </w:r>
            <w:hyperlink r:id="rId11" w:history="1">
              <w:r w:rsidRPr="00B95393">
                <w:rPr>
                  <w:rStyle w:val="Hyperlink"/>
                  <w:rFonts w:ascii="FrankRuehl" w:hAnsi="FrankRuehl" w:cs="FrankRuehl"/>
                </w:rPr>
                <w:t>40</w:t>
              </w:r>
              <w:r w:rsidRPr="00B95393">
                <w:rPr>
                  <w:rStyle w:val="Hyperlink"/>
                  <w:rFonts w:ascii="FrankRuehl" w:hAnsi="FrankRuehl" w:cs="FrankRuehl"/>
                  <w:rtl/>
                </w:rPr>
                <w:t>ג(א</w:t>
              </w:r>
              <w:r w:rsidRPr="00B95393">
                <w:rPr>
                  <w:rStyle w:val="Hyperlink"/>
                  <w:rFonts w:ascii="FrankRuehl" w:hAnsi="FrankRuehl" w:cs="FrankRuehl"/>
                </w:rPr>
                <w:t>)</w:t>
              </w:r>
            </w:hyperlink>
            <w:r w:rsidRPr="00B95393">
              <w:rPr>
                <w:rFonts w:ascii="FrankRuehl" w:hAnsi="FrankRuehl" w:cs="FrankRuehl"/>
                <w:color w:val="0000FF"/>
                <w:u w:val="single"/>
                <w:rtl/>
              </w:rPr>
              <w:t xml:space="preserve">, </w:t>
            </w:r>
            <w:hyperlink r:id="rId12" w:history="1">
              <w:r w:rsidRPr="00B95393">
                <w:rPr>
                  <w:rStyle w:val="Hyperlink"/>
                  <w:rFonts w:ascii="FrankRuehl" w:hAnsi="FrankRuehl" w:cs="FrankRuehl"/>
                </w:rPr>
                <w:t>40</w:t>
              </w:r>
              <w:r w:rsidRPr="00B95393">
                <w:rPr>
                  <w:rStyle w:val="Hyperlink"/>
                  <w:rFonts w:ascii="FrankRuehl" w:hAnsi="FrankRuehl" w:cs="FrankRuehl"/>
                  <w:rtl/>
                </w:rPr>
                <w:t>יא</w:t>
              </w:r>
            </w:hyperlink>
            <w:r w:rsidRPr="00B95393">
              <w:rPr>
                <w:rFonts w:ascii="FrankRuehl" w:hAnsi="FrankRuehl" w:cs="FrankRuehl"/>
                <w:color w:val="0000FF"/>
                <w:u w:val="single"/>
                <w:rtl/>
              </w:rPr>
              <w:t xml:space="preserve">, </w:t>
            </w:r>
            <w:hyperlink r:id="rId13" w:history="1">
              <w:r w:rsidRPr="00B95393">
                <w:rPr>
                  <w:rStyle w:val="Hyperlink"/>
                  <w:rFonts w:ascii="FrankRuehl" w:hAnsi="FrankRuehl" w:cs="FrankRuehl"/>
                </w:rPr>
                <w:t>40</w:t>
              </w:r>
              <w:r w:rsidRPr="00B95393">
                <w:rPr>
                  <w:rStyle w:val="Hyperlink"/>
                  <w:rFonts w:ascii="FrankRuehl" w:hAnsi="FrankRuehl" w:cs="FrankRuehl"/>
                  <w:rtl/>
                </w:rPr>
                <w:t>יג</w:t>
              </w:r>
            </w:hyperlink>
            <w:r w:rsidRPr="00B95393">
              <w:rPr>
                <w:rFonts w:ascii="FrankRuehl" w:hAnsi="FrankRuehl" w:cs="FrankRuehl"/>
                <w:color w:val="0000FF"/>
                <w:u w:val="single"/>
                <w:rtl/>
              </w:rPr>
              <w:t xml:space="preserve">, </w:t>
            </w:r>
            <w:hyperlink r:id="rId14" w:history="1">
              <w:r w:rsidRPr="00B95393">
                <w:rPr>
                  <w:rStyle w:val="Hyperlink"/>
                  <w:rFonts w:ascii="FrankRuehl" w:hAnsi="FrankRuehl" w:cs="FrankRuehl"/>
                </w:rPr>
                <w:t>40</w:t>
              </w:r>
              <w:r w:rsidRPr="00B95393">
                <w:rPr>
                  <w:rStyle w:val="Hyperlink"/>
                  <w:rFonts w:ascii="FrankRuehl" w:hAnsi="FrankRuehl" w:cs="FrankRuehl"/>
                  <w:rtl/>
                </w:rPr>
                <w:t>יג(ב</w:t>
              </w:r>
              <w:r w:rsidRPr="00B95393">
                <w:rPr>
                  <w:rStyle w:val="Hyperlink"/>
                  <w:rFonts w:ascii="FrankRuehl" w:hAnsi="FrankRuehl" w:cs="FrankRuehl"/>
                </w:rPr>
                <w:t>)</w:t>
              </w:r>
            </w:hyperlink>
          </w:p>
          <w:p w14:paraId="2D962BDE" w14:textId="77777777" w:rsidR="00B95393" w:rsidRPr="00B95393" w:rsidRDefault="00B95393" w:rsidP="00B95393">
            <w:pPr>
              <w:spacing w:after="120" w:line="240" w:lineRule="exact"/>
              <w:ind w:left="283" w:hanging="283"/>
              <w:jc w:val="both"/>
              <w:rPr>
                <w:rFonts w:ascii="FrankRuehl" w:hAnsi="FrankRuehl" w:cs="FrankRuehl"/>
                <w:color w:val="0000FF"/>
                <w:u w:val="single"/>
                <w:rtl/>
              </w:rPr>
            </w:pPr>
            <w:hyperlink r:id="rId15" w:history="1">
              <w:r w:rsidRPr="00B95393">
                <w:rPr>
                  <w:rStyle w:val="Hyperlink"/>
                  <w:rFonts w:ascii="FrankRuehl" w:hAnsi="FrankRuehl" w:cs="FrankRuehl"/>
                  <w:rtl/>
                </w:rPr>
                <w:t>חוק סדר הדין הפלילי [נוסח משולב], תשמ"ב-1982</w:t>
              </w:r>
            </w:hyperlink>
            <w:r w:rsidRPr="00B95393">
              <w:rPr>
                <w:rFonts w:ascii="FrankRuehl" w:hAnsi="FrankRuehl" w:cs="FrankRuehl"/>
                <w:color w:val="0000FF"/>
                <w:u w:val="single"/>
                <w:rtl/>
              </w:rPr>
              <w:t xml:space="preserve">: סע'  </w:t>
            </w:r>
            <w:hyperlink r:id="rId16" w:history="1">
              <w:r w:rsidRPr="00B95393">
                <w:rPr>
                  <w:rStyle w:val="Hyperlink"/>
                  <w:rFonts w:ascii="FrankRuehl" w:hAnsi="FrankRuehl" w:cs="FrankRuehl"/>
                </w:rPr>
                <w:t>186</w:t>
              </w:r>
            </w:hyperlink>
          </w:p>
          <w:p w14:paraId="751DAEE0" w14:textId="77777777" w:rsidR="00B95393" w:rsidRPr="00B95393" w:rsidRDefault="00B95393" w:rsidP="00B95393">
            <w:pPr>
              <w:spacing w:after="120" w:line="240" w:lineRule="exact"/>
              <w:ind w:left="283" w:hanging="283"/>
              <w:jc w:val="both"/>
              <w:rPr>
                <w:rFonts w:ascii="FrankRuehl" w:hAnsi="FrankRuehl" w:cs="FrankRuehl"/>
                <w:rtl/>
              </w:rPr>
            </w:pPr>
          </w:p>
          <w:p w14:paraId="0ECAAF4E" w14:textId="77777777" w:rsidR="00B95393" w:rsidRPr="00B95393" w:rsidRDefault="00B95393" w:rsidP="00DE7AF5">
            <w:pPr>
              <w:jc w:val="center"/>
              <w:rPr>
                <w:rFonts w:ascii="Arial" w:hAnsi="Arial" w:cs="FrankRuehl"/>
                <w:sz w:val="32"/>
                <w:szCs w:val="32"/>
                <w:rtl/>
              </w:rPr>
            </w:pPr>
            <w:bookmarkStart w:id="4" w:name="LawTable_End"/>
            <w:bookmarkEnd w:id="4"/>
          </w:p>
          <w:p w14:paraId="10B3F46B" w14:textId="77777777" w:rsidR="00DE7AF5" w:rsidRPr="00DE7AF5" w:rsidRDefault="00DE7AF5" w:rsidP="00DE7AF5">
            <w:pPr>
              <w:jc w:val="center"/>
              <w:rPr>
                <w:rFonts w:ascii="Arial" w:hAnsi="Arial" w:cs="FrankRuehl"/>
                <w:b/>
                <w:bCs/>
                <w:sz w:val="32"/>
                <w:szCs w:val="32"/>
                <w:u w:val="single"/>
                <w:rtl/>
              </w:rPr>
            </w:pPr>
            <w:r w:rsidRPr="00DE7AF5">
              <w:rPr>
                <w:rFonts w:ascii="Arial" w:hAnsi="Arial" w:cs="FrankRuehl"/>
                <w:b/>
                <w:bCs/>
                <w:sz w:val="32"/>
                <w:szCs w:val="32"/>
                <w:u w:val="single"/>
                <w:rtl/>
              </w:rPr>
              <w:t>גזר-דין</w:t>
            </w:r>
          </w:p>
          <w:p w14:paraId="62B45F5F" w14:textId="77777777" w:rsidR="00A2613E" w:rsidRPr="00DE7AF5" w:rsidRDefault="00A2613E" w:rsidP="00DE7AF5">
            <w:pPr>
              <w:jc w:val="center"/>
              <w:rPr>
                <w:rFonts w:ascii="Arial" w:hAnsi="Arial" w:cs="FrankRuehl"/>
                <w:bCs/>
                <w:sz w:val="32"/>
                <w:szCs w:val="32"/>
                <w:u w:val="single"/>
                <w:rtl/>
              </w:rPr>
            </w:pPr>
          </w:p>
        </w:tc>
      </w:tr>
      <w:bookmarkEnd w:id="2"/>
    </w:tbl>
    <w:p w14:paraId="0669872E" w14:textId="77777777" w:rsidR="00A2613E" w:rsidRDefault="00A2613E">
      <w:pPr>
        <w:spacing w:line="480" w:lineRule="auto"/>
        <w:rPr>
          <w:rFonts w:ascii="Arial" w:hAnsi="Arial" w:cs="FrankRuehl"/>
          <w:sz w:val="28"/>
          <w:szCs w:val="28"/>
          <w:rtl/>
        </w:rPr>
      </w:pPr>
    </w:p>
    <w:p w14:paraId="197392B5" w14:textId="77777777" w:rsidR="00A2613E" w:rsidRDefault="00DE7AF5">
      <w:pPr>
        <w:spacing w:line="360" w:lineRule="auto"/>
        <w:jc w:val="both"/>
        <w:rPr>
          <w:rFonts w:cs="FrankRuehl"/>
          <w:sz w:val="28"/>
          <w:szCs w:val="28"/>
          <w:u w:val="single"/>
          <w:rtl/>
        </w:rPr>
      </w:pPr>
      <w:r>
        <w:rPr>
          <w:rFonts w:cs="FrankRuehl" w:hint="cs"/>
          <w:sz w:val="28"/>
          <w:szCs w:val="28"/>
          <w:u w:val="single"/>
          <w:rtl/>
        </w:rPr>
        <w:t>רקע</w:t>
      </w:r>
    </w:p>
    <w:p w14:paraId="01CFD691" w14:textId="77777777" w:rsidR="00A2613E" w:rsidRDefault="00DE7AF5">
      <w:pPr>
        <w:spacing w:after="120"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5" w:name="ABSTRACT_START"/>
      <w:bookmarkEnd w:id="5"/>
      <w:r>
        <w:rPr>
          <w:rFonts w:cs="FrankRuehl" w:hint="cs"/>
          <w:sz w:val="28"/>
          <w:szCs w:val="28"/>
          <w:rtl/>
        </w:rPr>
        <w:t xml:space="preserve">ביום 18.3.2015 הורשע הנאשם בהתאם להודאתו, בשתי עבירות של סחר בסם מסוכן לפי </w:t>
      </w:r>
      <w:hyperlink r:id="rId17" w:history="1">
        <w:r w:rsidR="006C51F3" w:rsidRPr="006C51F3">
          <w:rPr>
            <w:rFonts w:cs="FrankRuehl"/>
            <w:color w:val="0000FF"/>
            <w:sz w:val="28"/>
            <w:szCs w:val="28"/>
            <w:u w:val="single"/>
            <w:rtl/>
          </w:rPr>
          <w:t>סעיף 13</w:t>
        </w:r>
      </w:hyperlink>
      <w:r>
        <w:rPr>
          <w:rFonts w:cs="FrankRuehl" w:hint="cs"/>
          <w:sz w:val="28"/>
          <w:szCs w:val="28"/>
          <w:rtl/>
        </w:rPr>
        <w:t xml:space="preserve"> בצירוף </w:t>
      </w:r>
      <w:hyperlink r:id="rId18" w:history="1">
        <w:r w:rsidR="006C51F3" w:rsidRPr="006C51F3">
          <w:rPr>
            <w:rFonts w:cs="FrankRuehl"/>
            <w:color w:val="0000FF"/>
            <w:sz w:val="28"/>
            <w:szCs w:val="28"/>
            <w:u w:val="single"/>
            <w:rtl/>
          </w:rPr>
          <w:t>סעיף 19א</w:t>
        </w:r>
      </w:hyperlink>
      <w:r>
        <w:rPr>
          <w:rFonts w:cs="FrankRuehl" w:hint="cs"/>
          <w:sz w:val="28"/>
          <w:szCs w:val="28"/>
          <w:rtl/>
        </w:rPr>
        <w:t xml:space="preserve"> ל</w:t>
      </w:r>
      <w:hyperlink r:id="rId19" w:history="1">
        <w:r w:rsidRPr="00DE7AF5">
          <w:rPr>
            <w:rFonts w:cs="FrankRuehl"/>
            <w:color w:val="0000FF"/>
            <w:sz w:val="28"/>
            <w:szCs w:val="28"/>
            <w:u w:val="single"/>
            <w:rtl/>
          </w:rPr>
          <w:t>פקודת הסמים המסוכנים</w:t>
        </w:r>
      </w:hyperlink>
      <w:r>
        <w:rPr>
          <w:rFonts w:cs="FrankRuehl" w:hint="cs"/>
          <w:sz w:val="28"/>
          <w:szCs w:val="28"/>
          <w:rtl/>
        </w:rPr>
        <w:t xml:space="preserve"> [נוסח חדש], התשל"ג-1973 (להלן: </w:t>
      </w:r>
      <w:r>
        <w:rPr>
          <w:rFonts w:cs="Miriam" w:hint="cs"/>
          <w:rtl/>
        </w:rPr>
        <w:t>פקודת הסמים</w:t>
      </w:r>
      <w:r>
        <w:rPr>
          <w:rFonts w:cs="FrankRuehl" w:hint="cs"/>
          <w:sz w:val="28"/>
          <w:szCs w:val="28"/>
          <w:rtl/>
        </w:rPr>
        <w:t xml:space="preserve"> או </w:t>
      </w:r>
      <w:r>
        <w:rPr>
          <w:rFonts w:cs="Miriam" w:hint="cs"/>
          <w:rtl/>
        </w:rPr>
        <w:t>הפקודה</w:t>
      </w:r>
      <w:r>
        <w:rPr>
          <w:rFonts w:cs="FrankRuehl" w:hint="cs"/>
          <w:sz w:val="28"/>
          <w:szCs w:val="28"/>
          <w:rtl/>
        </w:rPr>
        <w:t xml:space="preserve">). </w:t>
      </w:r>
    </w:p>
    <w:p w14:paraId="1D671D9E" w14:textId="77777777" w:rsidR="00A2613E" w:rsidRDefault="00A2613E">
      <w:pPr>
        <w:rPr>
          <w:rFonts w:cs="Times New Roman"/>
        </w:rPr>
      </w:pPr>
      <w:bookmarkStart w:id="6" w:name="ABSTRACT_END"/>
      <w:bookmarkEnd w:id="6"/>
    </w:p>
    <w:p w14:paraId="17E7FEEF" w14:textId="77777777" w:rsidR="00A2613E" w:rsidRDefault="00DE7AF5">
      <w:pPr>
        <w:spacing w:after="120" w:line="360" w:lineRule="auto"/>
        <w:jc w:val="both"/>
        <w:rPr>
          <w:rFonts w:cs="FrankRuehl"/>
          <w:sz w:val="28"/>
          <w:szCs w:val="28"/>
          <w:rtl/>
        </w:rPr>
      </w:pPr>
      <w:r>
        <w:rPr>
          <w:rFonts w:cs="FrankRuehl" w:hint="cs"/>
          <w:sz w:val="28"/>
          <w:szCs w:val="28"/>
          <w:rtl/>
        </w:rPr>
        <w:t>2.</w:t>
      </w:r>
      <w:r>
        <w:rPr>
          <w:rFonts w:cs="FrankRuehl" w:hint="cs"/>
          <w:sz w:val="28"/>
          <w:szCs w:val="28"/>
          <w:rtl/>
        </w:rPr>
        <w:tab/>
        <w:t xml:space="preserve">כתב-האישום המתוקן שבעובדותיו הודה הנאשם, מחזיק שני אישומים: </w:t>
      </w:r>
      <w:r>
        <w:rPr>
          <w:rFonts w:cs="Miriam" w:hint="cs"/>
          <w:rtl/>
        </w:rPr>
        <w:t>בהתאם לעובדות</w:t>
      </w:r>
      <w:r>
        <w:rPr>
          <w:rFonts w:cs="FrankRuehl" w:hint="cs"/>
          <w:sz w:val="28"/>
          <w:szCs w:val="28"/>
          <w:rtl/>
        </w:rPr>
        <w:t xml:space="preserve"> </w:t>
      </w:r>
      <w:r>
        <w:rPr>
          <w:rFonts w:cs="Miriam" w:hint="cs"/>
          <w:rtl/>
        </w:rPr>
        <w:t>האישום הראשון</w:t>
      </w:r>
      <w:r>
        <w:rPr>
          <w:rFonts w:cs="FrankRuehl" w:hint="cs"/>
          <w:sz w:val="28"/>
          <w:szCs w:val="28"/>
          <w:rtl/>
        </w:rPr>
        <w:t xml:space="preserve">, ביום 7.1.2014 בשעות 10:00-12:00 בגבעת שאול בירושלים, מכר הנאשם לשוטר סמוי נ.פ. 7-13 (להלן: </w:t>
      </w:r>
      <w:r>
        <w:rPr>
          <w:rFonts w:cs="Miriam" w:hint="cs"/>
          <w:rtl/>
        </w:rPr>
        <w:t>השוטר</w:t>
      </w:r>
      <w:r>
        <w:rPr>
          <w:rFonts w:cs="FrankRuehl" w:hint="cs"/>
          <w:sz w:val="28"/>
          <w:szCs w:val="28"/>
          <w:rtl/>
        </w:rPr>
        <w:t xml:space="preserve">) סם מסוג חשיש במשקל </w:t>
      </w:r>
      <w:smartTag w:uri="urn:schemas-microsoft-com:office:smarttags" w:element="metricconverter">
        <w:smartTagPr>
          <w:attr w:name="ProductID" w:val="38.74 גרם"/>
        </w:smartTagPr>
        <w:r>
          <w:rPr>
            <w:rFonts w:cs="FrankRuehl" w:hint="cs"/>
            <w:sz w:val="28"/>
            <w:szCs w:val="28"/>
            <w:rtl/>
          </w:rPr>
          <w:t>38.74 גרם</w:t>
        </w:r>
      </w:smartTag>
      <w:r>
        <w:rPr>
          <w:rFonts w:cs="FrankRuehl" w:hint="cs"/>
          <w:sz w:val="28"/>
          <w:szCs w:val="28"/>
          <w:rtl/>
        </w:rPr>
        <w:t xml:space="preserve"> נטו. יום קודם למועד האמור, בסמוך לשעה 15:00, בתחנת דלק פיראטית המופעלת על-ידי הנאשם, הציע הנאשם לשוטר למכור לו סמים מסוג חשיש, וכן הוציא מתוך ארון שהיה בתחנת הדלק אצבע חשיש והציג אותה לשוטר. בהמשך, מסר הנאשם לשוטר את מספר הטלפון הנייד שלו. לאחר </w:t>
      </w:r>
      <w:r>
        <w:rPr>
          <w:rFonts w:cs="FrankRuehl" w:hint="cs"/>
          <w:sz w:val="28"/>
          <w:szCs w:val="28"/>
          <w:rtl/>
        </w:rPr>
        <w:lastRenderedPageBreak/>
        <w:t xml:space="preserve">תיאום טלפוני, נפגשו הנאשם והשוטר ביום 7.1.2014 וסיכמו כי הנאשם ימכור לשוטר 13 אצבעות חשיש, כל אחת במחיר של 200 ₪. הנאשם נכנס לתוך תחנת הדלק ובחלוף מספר דקות יצא ונכנס לרכבו של השוטר. ברכב מסר הנאשם לשוטר את הסם המחולק ל- 12 אצבעות חשיש עטופות בשטר של 200 ₪ ועוד 3 אצבעות חשיש עטופות בשטר של 100 ש"ח והבהיר כי זה מה שיש לו כרגע. בתמורה לסם, מסר השוטר לנאשם 2,300 ₪. בגין אישום זה, הורשע הנאשם בעבירה אחת של סחר בסם מסוכן. </w:t>
      </w:r>
    </w:p>
    <w:p w14:paraId="3A2BDAB6" w14:textId="77777777" w:rsidR="00A2613E" w:rsidRDefault="00A2613E">
      <w:pPr>
        <w:spacing w:after="120" w:line="360" w:lineRule="auto"/>
        <w:jc w:val="both"/>
        <w:rPr>
          <w:rFonts w:cs="FrankRuehl"/>
          <w:sz w:val="28"/>
          <w:szCs w:val="28"/>
          <w:rtl/>
        </w:rPr>
      </w:pPr>
    </w:p>
    <w:p w14:paraId="3F724153" w14:textId="77777777" w:rsidR="00A2613E" w:rsidRDefault="00DE7AF5">
      <w:pPr>
        <w:spacing w:after="120" w:line="360" w:lineRule="auto"/>
        <w:jc w:val="both"/>
        <w:rPr>
          <w:rFonts w:cs="FrankRuehl"/>
          <w:sz w:val="28"/>
          <w:szCs w:val="28"/>
          <w:rtl/>
        </w:rPr>
      </w:pPr>
      <w:r>
        <w:rPr>
          <w:rFonts w:cs="FrankRuehl" w:hint="cs"/>
          <w:sz w:val="28"/>
          <w:szCs w:val="28"/>
          <w:rtl/>
        </w:rPr>
        <w:tab/>
      </w:r>
      <w:r>
        <w:rPr>
          <w:rFonts w:cs="Miriam" w:hint="cs"/>
          <w:rtl/>
        </w:rPr>
        <w:t>בהתאם לעובדות האישום השני</w:t>
      </w:r>
      <w:r>
        <w:rPr>
          <w:rFonts w:cs="FrankRuehl" w:hint="cs"/>
          <w:sz w:val="28"/>
          <w:szCs w:val="28"/>
          <w:rtl/>
        </w:rPr>
        <w:t xml:space="preserve">, ביום 19.2.2014 בשעות 15:00-16:40 בגבעת שאול בירושלים, מכר הנאשם לשוטר סם מסוג חשיש במשקל </w:t>
      </w:r>
      <w:smartTag w:uri="urn:schemas-microsoft-com:office:smarttags" w:element="metricconverter">
        <w:smartTagPr>
          <w:attr w:name="ProductID" w:val="9.44 גרם"/>
        </w:smartTagPr>
        <w:r>
          <w:rPr>
            <w:rFonts w:cs="FrankRuehl" w:hint="cs"/>
            <w:sz w:val="28"/>
            <w:szCs w:val="28"/>
            <w:rtl/>
          </w:rPr>
          <w:t>9.44 גרם</w:t>
        </w:r>
      </w:smartTag>
      <w:r>
        <w:rPr>
          <w:rFonts w:cs="FrankRuehl" w:hint="cs"/>
          <w:sz w:val="28"/>
          <w:szCs w:val="28"/>
          <w:rtl/>
        </w:rPr>
        <w:t xml:space="preserve"> נטו. באותן נסיבות, בתחנת הדלק המופעלת על-ידי הנאשם, הציע הנאשם לשוטר למכור לו סם מסוג חשיש אותו כינה "שוקו". בהמשך, ולאחר תיאום טלפוני, נפגשו הנאשם והשוטר, והנאשם מסר לשוטר את הסם הנ"ל בתמורה לסך של 800 ₪. בגין אישום זה, הורשע הנאשם בעבירה נוספת של סחר בסם מסוכן.</w:t>
      </w:r>
    </w:p>
    <w:p w14:paraId="1D40D263" w14:textId="77777777" w:rsidR="00A2613E" w:rsidRDefault="00A2613E">
      <w:pPr>
        <w:spacing w:after="120" w:line="360" w:lineRule="auto"/>
        <w:jc w:val="both"/>
        <w:rPr>
          <w:rFonts w:cs="FrankRuehl"/>
          <w:sz w:val="28"/>
          <w:szCs w:val="28"/>
          <w:rtl/>
        </w:rPr>
      </w:pPr>
    </w:p>
    <w:p w14:paraId="5AD3F382" w14:textId="77777777" w:rsidR="00A2613E" w:rsidRDefault="00DE7AF5">
      <w:pPr>
        <w:spacing w:after="120" w:line="360" w:lineRule="auto"/>
        <w:jc w:val="both"/>
        <w:rPr>
          <w:rtl/>
        </w:rPr>
      </w:pPr>
      <w:r>
        <w:rPr>
          <w:rFonts w:cs="FrankRuehl" w:hint="cs"/>
          <w:sz w:val="28"/>
          <w:szCs w:val="28"/>
          <w:rtl/>
        </w:rPr>
        <w:t>3.</w:t>
      </w:r>
      <w:r>
        <w:rPr>
          <w:rFonts w:cs="FrankRuehl" w:hint="cs"/>
          <w:sz w:val="28"/>
          <w:szCs w:val="28"/>
          <w:rtl/>
        </w:rPr>
        <w:tab/>
        <w:t xml:space="preserve">הסדר הטיעון לא כלל הסכמה לעניין העונש והצדדים נותרו חופשיים בטיעוניהם. לבקשת הסנגור, הופנה הנאשם לשירות המבחן לצורך עריכת תסקיר בעניינו טרם שמיעת הטיעונים לעונש. </w:t>
      </w:r>
    </w:p>
    <w:p w14:paraId="1031B060" w14:textId="77777777" w:rsidR="00A2613E" w:rsidRDefault="00A2613E">
      <w:pPr>
        <w:spacing w:after="120" w:line="360" w:lineRule="auto"/>
        <w:jc w:val="both"/>
        <w:rPr>
          <w:rFonts w:cs="FrankRuehl"/>
          <w:sz w:val="28"/>
          <w:szCs w:val="28"/>
          <w:u w:val="single"/>
          <w:rtl/>
        </w:rPr>
      </w:pPr>
    </w:p>
    <w:p w14:paraId="5D4806CD" w14:textId="77777777" w:rsidR="00A2613E" w:rsidRDefault="00DE7AF5">
      <w:pPr>
        <w:spacing w:after="120" w:line="360" w:lineRule="auto"/>
        <w:jc w:val="both"/>
        <w:rPr>
          <w:rFonts w:cs="FrankRuehl"/>
          <w:sz w:val="28"/>
          <w:szCs w:val="28"/>
          <w:u w:val="single"/>
          <w:rtl/>
        </w:rPr>
      </w:pPr>
      <w:r>
        <w:rPr>
          <w:rFonts w:cs="FrankRuehl" w:hint="cs"/>
          <w:sz w:val="28"/>
          <w:szCs w:val="28"/>
          <w:u w:val="single"/>
          <w:rtl/>
        </w:rPr>
        <w:t xml:space="preserve">תסקיר שירות המבחן </w:t>
      </w:r>
    </w:p>
    <w:p w14:paraId="2F39BB98" w14:textId="77777777" w:rsidR="00A2613E" w:rsidRDefault="00DE7AF5">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 xml:space="preserve">מתסקיר שירות המבחן עולה כי הנאשם כבן 29, נשוי ואב לשלושה ילדים קטנים. טרם מעצרו, עבד במחזור בקבוקים. הנאשם גדל במשפחה שסבלה מדוחק כלכלי קשה, ומקשיים נוספים הנעוצים בכך שאחת מאחיותיו של הנאשם סובלת מנכות. </w:t>
      </w:r>
    </w:p>
    <w:p w14:paraId="54DE76E2" w14:textId="77777777" w:rsidR="00A2613E" w:rsidRDefault="00A2613E">
      <w:pPr>
        <w:spacing w:after="120" w:line="360" w:lineRule="auto"/>
        <w:jc w:val="both"/>
        <w:rPr>
          <w:rFonts w:cs="FrankRuehl"/>
          <w:sz w:val="28"/>
          <w:szCs w:val="28"/>
          <w:rtl/>
        </w:rPr>
      </w:pPr>
    </w:p>
    <w:p w14:paraId="75838C92" w14:textId="77777777" w:rsidR="00A2613E" w:rsidRDefault="00DE7AF5">
      <w:pPr>
        <w:spacing w:after="120" w:line="360" w:lineRule="auto"/>
        <w:ind w:firstLine="720"/>
        <w:jc w:val="both"/>
        <w:rPr>
          <w:rFonts w:cs="FrankRuehl"/>
          <w:sz w:val="28"/>
          <w:szCs w:val="28"/>
          <w:rtl/>
        </w:rPr>
      </w:pPr>
      <w:r>
        <w:rPr>
          <w:rFonts w:cs="FrankRuehl" w:hint="cs"/>
          <w:sz w:val="28"/>
          <w:szCs w:val="28"/>
          <w:rtl/>
        </w:rPr>
        <w:t>שירות המבחן ציין כי שהיית הנאשם במעצר ממש ולאחר מכן במעצר בית ממושך בתיק זה, היווּ חוויה מטלטלת עבור הנאשם תוך מצוקה רגשית וכלכלית, שכן הנאשם לא הצליח לפרנס בתקופה זו את בני-משפחתו והתקשה לספק מזון לילדיו. הנאשם נטל אחריות למעשים בגינם הורשע והביע חרטה כנה בגין כך. בדיקות שנערכו לנאשם העידו על ניקיון מסמים. שירות המבחן התרשם כי אין לנאשם דפוסי עבריינות מושרשים באישיותו על-אף עברו הפלילי, והעריך כי הנאשם ביצע את העבירות על רקע נטייה לאימפולסיביות בשעת לחץ, תוך קושי בהפעלת חשיבה מעמיקה על השלכות מעשיו.</w:t>
      </w:r>
    </w:p>
    <w:p w14:paraId="52B4C063" w14:textId="77777777" w:rsidR="00A2613E" w:rsidRDefault="00A2613E">
      <w:pPr>
        <w:spacing w:after="120" w:line="360" w:lineRule="auto"/>
        <w:jc w:val="both"/>
        <w:rPr>
          <w:rFonts w:cs="FrankRuehl"/>
          <w:sz w:val="28"/>
          <w:szCs w:val="28"/>
          <w:rtl/>
        </w:rPr>
      </w:pPr>
    </w:p>
    <w:p w14:paraId="7B457FD6" w14:textId="77777777" w:rsidR="00A2613E" w:rsidRDefault="00DE7AF5">
      <w:pPr>
        <w:spacing w:after="120" w:line="360" w:lineRule="auto"/>
        <w:jc w:val="both"/>
        <w:rPr>
          <w:rFonts w:cs="FrankRuehl"/>
          <w:sz w:val="28"/>
          <w:szCs w:val="28"/>
          <w:rtl/>
        </w:rPr>
      </w:pPr>
      <w:r>
        <w:rPr>
          <w:rFonts w:cs="FrankRuehl" w:hint="cs"/>
          <w:sz w:val="28"/>
          <w:szCs w:val="28"/>
          <w:rtl/>
        </w:rPr>
        <w:tab/>
        <w:t>המלצת שירות המבחן הנה להימנע ממאסר בפועל מאחורי סורג ובריח שיהווה עבור הנאשם גורם מדרדר, ויפגע בתא המשפחתי הצעיר של הנאשם. בהתאם לכך, המליץ שירות המבחן על מאסר בפועל לריצוי בדרך של עבודות שירות, בצירוף מאסר מותנה וכן צו מבחן פיקוחי.</w:t>
      </w:r>
    </w:p>
    <w:p w14:paraId="344627D5" w14:textId="77777777" w:rsidR="00A2613E" w:rsidRDefault="00A2613E">
      <w:pPr>
        <w:spacing w:after="120" w:line="360" w:lineRule="auto"/>
        <w:jc w:val="both"/>
        <w:rPr>
          <w:rFonts w:cs="FrankRuehl"/>
          <w:sz w:val="28"/>
          <w:szCs w:val="28"/>
          <w:rtl/>
        </w:rPr>
      </w:pPr>
    </w:p>
    <w:p w14:paraId="0272F039" w14:textId="77777777" w:rsidR="00A2613E" w:rsidRDefault="00DE7AF5">
      <w:pPr>
        <w:spacing w:after="120" w:line="360" w:lineRule="auto"/>
        <w:jc w:val="both"/>
        <w:rPr>
          <w:rtl/>
        </w:rPr>
      </w:pPr>
      <w:r>
        <w:rPr>
          <w:rFonts w:cs="FrankRuehl" w:hint="cs"/>
          <w:sz w:val="28"/>
          <w:szCs w:val="28"/>
          <w:u w:val="single"/>
          <w:rtl/>
        </w:rPr>
        <w:t xml:space="preserve">טיעוני הצדדים לעונש </w:t>
      </w:r>
    </w:p>
    <w:p w14:paraId="0E766605" w14:textId="77777777" w:rsidR="00A2613E" w:rsidRDefault="00DE7AF5">
      <w:pPr>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בא-כוח המאשימה, עו"ד ניר בינשטוק, טען כי מתחם הענישה ההולמת </w:t>
      </w:r>
      <w:r>
        <w:rPr>
          <w:rFonts w:cs="FrankRuehl" w:hint="cs"/>
          <w:sz w:val="28"/>
          <w:szCs w:val="28"/>
          <w:u w:val="single"/>
          <w:rtl/>
        </w:rPr>
        <w:t>לכל אחת</w:t>
      </w:r>
      <w:r>
        <w:rPr>
          <w:rFonts w:cs="FrankRuehl" w:hint="cs"/>
          <w:sz w:val="28"/>
          <w:szCs w:val="28"/>
          <w:rtl/>
        </w:rPr>
        <w:t xml:space="preserve"> משתי עבירות הסחר בסם מסוכן בהן הורשע הנאשם, נע מ- 6 עד 12 חודשי מאסר בפועל. אשר לקביעת העונש המתאים - בא-כוח המאשימה עתר למקם את העונש ברף הבינוני של המתחמים ולהשית על הנאשם 16 חודשי מאסר בפועל (9 חודשי מאסר בפועל עבור האישום הראשון ו- 7 חודשי מאסר בפועל עבור האישום השני). כמו כן, בא-כוח המאשימה עתר להכרזת הנאשם כסוחר סמים, חילוט הקטנוע שנתפס, והטלת קנס כספי לצד מאסרים מותנים. </w:t>
      </w:r>
    </w:p>
    <w:p w14:paraId="6F3480D8" w14:textId="77777777" w:rsidR="00A2613E" w:rsidRDefault="00A2613E">
      <w:pPr>
        <w:spacing w:after="120" w:line="360" w:lineRule="auto"/>
        <w:jc w:val="both"/>
        <w:rPr>
          <w:rFonts w:cs="FrankRuehl"/>
          <w:sz w:val="28"/>
          <w:szCs w:val="28"/>
          <w:rtl/>
        </w:rPr>
      </w:pPr>
    </w:p>
    <w:p w14:paraId="4C3FC3B2" w14:textId="77777777" w:rsidR="00A2613E" w:rsidRDefault="00DE7AF5">
      <w:pPr>
        <w:spacing w:after="120" w:line="360" w:lineRule="auto"/>
        <w:jc w:val="both"/>
        <w:rPr>
          <w:rFonts w:cs="FrankRuehl"/>
          <w:sz w:val="28"/>
          <w:szCs w:val="28"/>
          <w:rtl/>
        </w:rPr>
      </w:pPr>
      <w:r>
        <w:rPr>
          <w:rFonts w:cs="FrankRuehl" w:hint="cs"/>
          <w:sz w:val="28"/>
          <w:szCs w:val="28"/>
          <w:rtl/>
        </w:rPr>
        <w:t>6.</w:t>
      </w:r>
      <w:r>
        <w:rPr>
          <w:rFonts w:cs="FrankRuehl" w:hint="cs"/>
          <w:sz w:val="28"/>
          <w:szCs w:val="28"/>
          <w:rtl/>
        </w:rPr>
        <w:tab/>
        <w:t>מנגד, בא-כוח הנאשם, עו"ד רמי עותמאן, עתר לקביעת מתחם ענישה הולמת אחד בגין שני האישומים בעטים הורשע מרשו, וטען שהמתחם נע מצו של"צ ועד 6 חודשי עבודות שירות. הסנגור עמד על מכלול הנסיבות לקולא בעניינו של הנאשם (לרבות ההפסדים הכספיים וקשיי הפרנסה שחוו הנאשם ובני משפחתו במהלך התקופה הארוכה בה שהה הנאשם במעצר בית מלא), וביקש לאמץ את המלצת שירות המבחן לעונש. הסנגור הסכים לחילוט הקטנוע שנתפס.</w:t>
      </w:r>
    </w:p>
    <w:p w14:paraId="45436CCA" w14:textId="77777777" w:rsidR="00A2613E" w:rsidRDefault="00A2613E">
      <w:pPr>
        <w:spacing w:after="120" w:line="360" w:lineRule="auto"/>
        <w:jc w:val="both"/>
        <w:rPr>
          <w:rFonts w:cs="FrankRuehl"/>
          <w:sz w:val="28"/>
          <w:szCs w:val="28"/>
          <w:rtl/>
        </w:rPr>
      </w:pPr>
    </w:p>
    <w:p w14:paraId="46B15527" w14:textId="77777777" w:rsidR="00A2613E" w:rsidRDefault="00DE7AF5">
      <w:pPr>
        <w:spacing w:after="120" w:line="360" w:lineRule="auto"/>
        <w:ind w:firstLine="720"/>
        <w:jc w:val="both"/>
        <w:rPr>
          <w:rFonts w:cs="FrankRuehl"/>
          <w:sz w:val="28"/>
          <w:szCs w:val="28"/>
          <w:rtl/>
        </w:rPr>
      </w:pPr>
      <w:r>
        <w:rPr>
          <w:rFonts w:cs="FrankRuehl" w:hint="cs"/>
          <w:sz w:val="28"/>
          <w:szCs w:val="28"/>
          <w:rtl/>
        </w:rPr>
        <w:t>יוער כי באי-כוח שני הצדדים הפנו לאסמכתאות מן הפסיקה לתמיכה בטיעוניהם.</w:t>
      </w:r>
    </w:p>
    <w:p w14:paraId="1C1C95DB" w14:textId="77777777" w:rsidR="00A2613E" w:rsidRDefault="00A2613E">
      <w:pPr>
        <w:spacing w:after="120" w:line="360" w:lineRule="auto"/>
        <w:jc w:val="both"/>
        <w:rPr>
          <w:rFonts w:cs="FrankRuehl"/>
          <w:sz w:val="28"/>
          <w:szCs w:val="28"/>
          <w:rtl/>
        </w:rPr>
      </w:pPr>
    </w:p>
    <w:p w14:paraId="0FADC07D" w14:textId="77777777" w:rsidR="00A2613E" w:rsidRDefault="00DE7AF5">
      <w:pPr>
        <w:spacing w:after="120" w:line="360" w:lineRule="auto"/>
        <w:jc w:val="both"/>
        <w:rPr>
          <w:rFonts w:cs="FrankRuehl"/>
          <w:sz w:val="28"/>
          <w:szCs w:val="28"/>
          <w:rtl/>
        </w:rPr>
      </w:pPr>
      <w:r>
        <w:rPr>
          <w:rFonts w:cs="FrankRuehl" w:hint="cs"/>
          <w:sz w:val="28"/>
          <w:szCs w:val="28"/>
          <w:rtl/>
        </w:rPr>
        <w:tab/>
        <w:t xml:space="preserve">הנאשם בדבריו לפניי הביע חרטה על העבירות בהן הורשע וטען שסבל במעצר הבית ששהה בו, במהלכו לא יכול היה לפרנס את ילדיו.                                                                                                                                                                                                                                                                                                                                                                                                                                                                                                                                                                                                                                                                                                                                                                                                                 </w:t>
      </w:r>
    </w:p>
    <w:p w14:paraId="17BE2B4B" w14:textId="77777777" w:rsidR="00A2613E" w:rsidRDefault="00A2613E">
      <w:pPr>
        <w:spacing w:after="120" w:line="360" w:lineRule="auto"/>
        <w:jc w:val="both"/>
        <w:rPr>
          <w:rFonts w:cs="FrankRuehl"/>
          <w:sz w:val="28"/>
          <w:szCs w:val="28"/>
          <w:rtl/>
        </w:rPr>
      </w:pPr>
    </w:p>
    <w:p w14:paraId="758F9257" w14:textId="77777777" w:rsidR="00A2613E" w:rsidRDefault="00DE7AF5">
      <w:pPr>
        <w:spacing w:after="120" w:line="360" w:lineRule="auto"/>
        <w:jc w:val="both"/>
        <w:rPr>
          <w:rtl/>
        </w:rPr>
      </w:pPr>
      <w:r>
        <w:rPr>
          <w:rFonts w:cs="FrankRuehl" w:hint="cs"/>
          <w:sz w:val="28"/>
          <w:szCs w:val="28"/>
          <w:u w:val="single"/>
          <w:rtl/>
        </w:rPr>
        <w:t>ריבוי עבירות - האם יש לקבוע מתחם אחד לשני האישומים או שמא יש לקבוע מתחם נפרד לכל אישום?</w:t>
      </w:r>
    </w:p>
    <w:p w14:paraId="1FEE195B" w14:textId="77777777" w:rsidR="00A2613E" w:rsidRDefault="00DE7AF5">
      <w:pPr>
        <w:spacing w:after="120" w:line="360" w:lineRule="auto"/>
        <w:jc w:val="both"/>
        <w:rPr>
          <w:rFonts w:cs="FrankRuehl"/>
          <w:sz w:val="28"/>
          <w:szCs w:val="28"/>
          <w:rtl/>
        </w:rPr>
      </w:pPr>
      <w:r>
        <w:rPr>
          <w:rFonts w:cs="FrankRuehl" w:hint="cs"/>
          <w:sz w:val="28"/>
          <w:szCs w:val="28"/>
          <w:rtl/>
        </w:rPr>
        <w:t>7.</w:t>
      </w:r>
      <w:r>
        <w:rPr>
          <w:rFonts w:cs="FrankRuehl" w:hint="cs"/>
          <w:sz w:val="28"/>
          <w:szCs w:val="28"/>
          <w:rtl/>
        </w:rPr>
        <w:tab/>
        <w:t xml:space="preserve">מאחר שהנאשם הורשע בשני אישומים בכתב-האישום המתוקן, מתעוררת שאלה האם כל אישום מהווה אירוע נפרד לצורך קביעת מתחמי ענישה הולמת, או שמא יש להשקיף על האישומים כאירוע אחד לצורך קביעתו של מתחם עונש הולם כולל. זאת, בשים לב להסדר הקבוע </w:t>
      </w:r>
      <w:hyperlink r:id="rId20" w:history="1">
        <w:r w:rsidR="006C51F3" w:rsidRPr="006C51F3">
          <w:rPr>
            <w:rFonts w:cs="FrankRuehl"/>
            <w:color w:val="0000FF"/>
            <w:sz w:val="28"/>
            <w:szCs w:val="28"/>
            <w:u w:val="single"/>
            <w:rtl/>
          </w:rPr>
          <w:t>בסעיף 40יג</w:t>
        </w:r>
      </w:hyperlink>
      <w:r>
        <w:rPr>
          <w:rFonts w:cs="FrankRuehl" w:hint="cs"/>
          <w:sz w:val="28"/>
          <w:szCs w:val="28"/>
          <w:rtl/>
        </w:rPr>
        <w:t xml:space="preserve"> ל</w:t>
      </w:r>
      <w:hyperlink r:id="rId21" w:history="1">
        <w:r w:rsidRPr="00DE7AF5">
          <w:rPr>
            <w:rFonts w:cs="FrankRuehl"/>
            <w:color w:val="0000FF"/>
            <w:sz w:val="28"/>
            <w:szCs w:val="28"/>
            <w:u w:val="single"/>
            <w:rtl/>
          </w:rPr>
          <w:t>חוק העונשין</w:t>
        </w:r>
      </w:hyperlink>
      <w:r>
        <w:rPr>
          <w:rFonts w:cs="FrankRuehl" w:hint="cs"/>
          <w:sz w:val="28"/>
          <w:szCs w:val="28"/>
          <w:rtl/>
        </w:rPr>
        <w:t>.</w:t>
      </w:r>
    </w:p>
    <w:p w14:paraId="0C4F7461" w14:textId="77777777" w:rsidR="00A2613E" w:rsidRDefault="00A2613E">
      <w:pPr>
        <w:spacing w:after="120" w:line="360" w:lineRule="auto"/>
        <w:jc w:val="both"/>
        <w:rPr>
          <w:rFonts w:cs="FrankRuehl"/>
          <w:sz w:val="28"/>
          <w:szCs w:val="28"/>
          <w:rtl/>
        </w:rPr>
      </w:pPr>
    </w:p>
    <w:p w14:paraId="5F30692E" w14:textId="77777777" w:rsidR="00A2613E" w:rsidRDefault="00DE7AF5">
      <w:pPr>
        <w:spacing w:after="120" w:line="360" w:lineRule="auto"/>
        <w:jc w:val="both"/>
        <w:rPr>
          <w:rFonts w:cs="FrankRuehl"/>
          <w:sz w:val="28"/>
          <w:szCs w:val="28"/>
          <w:rtl/>
        </w:rPr>
      </w:pPr>
      <w:r>
        <w:rPr>
          <w:rFonts w:cs="FrankRuehl" w:hint="cs"/>
          <w:sz w:val="28"/>
          <w:szCs w:val="28"/>
          <w:rtl/>
        </w:rPr>
        <w:t>8.</w:t>
      </w:r>
      <w:r>
        <w:rPr>
          <w:rFonts w:cs="FrankRuehl" w:hint="cs"/>
          <w:sz w:val="28"/>
          <w:szCs w:val="28"/>
          <w:rtl/>
        </w:rPr>
        <w:tab/>
      </w:r>
      <w:r>
        <w:rPr>
          <w:rFonts w:ascii="Calibri" w:hAnsi="Calibri" w:cs="FrankRuehl" w:hint="cs"/>
          <w:sz w:val="28"/>
          <w:szCs w:val="28"/>
          <w:rtl/>
        </w:rPr>
        <w:t xml:space="preserve">ניתן למצוא פנים לכאן ולכאן בשאלה האמורה: </w:t>
      </w:r>
      <w:r>
        <w:rPr>
          <w:rFonts w:ascii="Calibri" w:hAnsi="Calibri" w:cs="Miriam" w:hint="cs"/>
          <w:rtl/>
        </w:rPr>
        <w:t>מחד גיסא</w:t>
      </w:r>
      <w:r>
        <w:rPr>
          <w:rFonts w:ascii="Calibri" w:hAnsi="Calibri" w:cs="FrankRuehl" w:hint="cs"/>
          <w:sz w:val="28"/>
          <w:szCs w:val="28"/>
          <w:rtl/>
        </w:rPr>
        <w:t xml:space="preserve">, </w:t>
      </w:r>
      <w:r>
        <w:rPr>
          <w:rFonts w:cs="FrankRuehl" w:hint="cs"/>
          <w:sz w:val="28"/>
          <w:szCs w:val="28"/>
          <w:rtl/>
        </w:rPr>
        <w:t xml:space="preserve">ניתן לסבור כי מדובר באותה מסכת עבריינית עם קשר הדוק בין המקרים. כך הוא הדבר, שכן שני האישומים עוסקים בעבירה של סחר בסמים מסוג חשיש, שבוצעו מול אותו שוטר סמוי באותה תחנת-דלק תוך פרק-זמן כולל בן חודש וחצי, כאשר הרקע לביצוע העבירות ונסיבות ביצוען דומים בשני המקרים. נראה כי לפי "מבחן הקשר ההדוק", יש לקבוע מתחם ענישה הולמת אחד בגין שתי העבירות בהן הורשע הנאשם בהיותן בגדר "אירוע" אחד. </w:t>
      </w:r>
      <w:r>
        <w:rPr>
          <w:rFonts w:ascii="Calibri" w:hAnsi="Calibri" w:cs="FrankRuehl" w:hint="cs"/>
          <w:sz w:val="28"/>
          <w:szCs w:val="28"/>
          <w:rtl/>
        </w:rPr>
        <w:t xml:space="preserve">ודוק, במסגרת קביעתו של המתחם הכולל הנ"ל, מן הראוי ליתן משקל לכך שהנאשם ביצע מספר "מעשים" כמובנו של מונח זה </w:t>
      </w:r>
      <w:hyperlink r:id="rId22" w:history="1">
        <w:r w:rsidR="006C51F3" w:rsidRPr="006C51F3">
          <w:rPr>
            <w:rFonts w:ascii="Calibri" w:hAnsi="Calibri" w:cs="FrankRuehl" w:hint="eastAsia"/>
            <w:color w:val="0000FF"/>
            <w:sz w:val="28"/>
            <w:szCs w:val="28"/>
            <w:u w:val="single"/>
            <w:rtl/>
          </w:rPr>
          <w:t>בסעיף</w:t>
        </w:r>
        <w:r w:rsidR="006C51F3" w:rsidRPr="006C51F3">
          <w:rPr>
            <w:rFonts w:ascii="Calibri" w:hAnsi="Calibri" w:cs="FrankRuehl"/>
            <w:color w:val="0000FF"/>
            <w:sz w:val="28"/>
            <w:szCs w:val="28"/>
            <w:u w:val="single"/>
            <w:rtl/>
          </w:rPr>
          <w:t xml:space="preserve"> 186</w:t>
        </w:r>
      </w:hyperlink>
      <w:r>
        <w:rPr>
          <w:rFonts w:ascii="Calibri" w:hAnsi="Calibri" w:cs="FrankRuehl" w:hint="cs"/>
          <w:sz w:val="28"/>
          <w:szCs w:val="28"/>
          <w:rtl/>
        </w:rPr>
        <w:t xml:space="preserve"> ל</w:t>
      </w:r>
      <w:hyperlink r:id="rId23" w:history="1">
        <w:r w:rsidRPr="00DE7AF5">
          <w:rPr>
            <w:rFonts w:ascii="Calibri" w:hAnsi="Calibri" w:cs="FrankRuehl" w:hint="eastAsia"/>
            <w:color w:val="0000FF"/>
            <w:sz w:val="28"/>
            <w:szCs w:val="28"/>
            <w:u w:val="single"/>
            <w:rtl/>
          </w:rPr>
          <w:t>חוק</w:t>
        </w:r>
        <w:r w:rsidRPr="00DE7AF5">
          <w:rPr>
            <w:rFonts w:ascii="Calibri" w:hAnsi="Calibri" w:cs="FrankRuehl"/>
            <w:color w:val="0000FF"/>
            <w:sz w:val="28"/>
            <w:szCs w:val="28"/>
            <w:u w:val="single"/>
            <w:rtl/>
          </w:rPr>
          <w:t xml:space="preserve"> </w:t>
        </w:r>
        <w:r w:rsidRPr="00DE7AF5">
          <w:rPr>
            <w:rFonts w:ascii="Calibri" w:hAnsi="Calibri" w:cs="FrankRuehl" w:hint="eastAsia"/>
            <w:color w:val="0000FF"/>
            <w:sz w:val="28"/>
            <w:szCs w:val="28"/>
            <w:u w:val="single"/>
            <w:rtl/>
          </w:rPr>
          <w:t>סדר</w:t>
        </w:r>
        <w:r w:rsidRPr="00DE7AF5">
          <w:rPr>
            <w:rFonts w:ascii="Calibri" w:hAnsi="Calibri" w:cs="FrankRuehl"/>
            <w:color w:val="0000FF"/>
            <w:sz w:val="28"/>
            <w:szCs w:val="28"/>
            <w:u w:val="single"/>
            <w:rtl/>
          </w:rPr>
          <w:t xml:space="preserve"> </w:t>
        </w:r>
        <w:r w:rsidRPr="00DE7AF5">
          <w:rPr>
            <w:rFonts w:ascii="Calibri" w:hAnsi="Calibri" w:cs="FrankRuehl" w:hint="eastAsia"/>
            <w:color w:val="0000FF"/>
            <w:sz w:val="28"/>
            <w:szCs w:val="28"/>
            <w:u w:val="single"/>
            <w:rtl/>
          </w:rPr>
          <w:t>הדין</w:t>
        </w:r>
        <w:r w:rsidRPr="00DE7AF5">
          <w:rPr>
            <w:rFonts w:ascii="Calibri" w:hAnsi="Calibri" w:cs="FrankRuehl"/>
            <w:color w:val="0000FF"/>
            <w:sz w:val="28"/>
            <w:szCs w:val="28"/>
            <w:u w:val="single"/>
            <w:rtl/>
          </w:rPr>
          <w:t xml:space="preserve"> </w:t>
        </w:r>
        <w:r w:rsidRPr="00DE7AF5">
          <w:rPr>
            <w:rFonts w:ascii="Calibri" w:hAnsi="Calibri" w:cs="FrankRuehl" w:hint="eastAsia"/>
            <w:color w:val="0000FF"/>
            <w:sz w:val="28"/>
            <w:szCs w:val="28"/>
            <w:u w:val="single"/>
            <w:rtl/>
          </w:rPr>
          <w:t>הפלילי</w:t>
        </w:r>
      </w:hyperlink>
      <w:r>
        <w:rPr>
          <w:rFonts w:ascii="Calibri" w:hAnsi="Calibri" w:cs="FrankRuehl" w:hint="cs"/>
          <w:sz w:val="28"/>
          <w:szCs w:val="28"/>
          <w:rtl/>
        </w:rPr>
        <w:t xml:space="preserve"> [נוסח משולב], התשמ"ב-1982. הדבר ישווה מידה של חוּמרה שתשפיע על קביעתו של מתחם העונש ההולם הכולל בגין שתי העבירות בהן הורשע</w:t>
      </w:r>
      <w:r>
        <w:rPr>
          <w:rFonts w:cs="FrankRuehl" w:hint="cs"/>
          <w:sz w:val="28"/>
          <w:szCs w:val="28"/>
          <w:rtl/>
        </w:rPr>
        <w:t xml:space="preserve"> הנאשם </w:t>
      </w:r>
      <w:r>
        <w:rPr>
          <w:rFonts w:ascii="Calibri" w:hAnsi="Calibri" w:cs="FrankRuehl" w:hint="cs"/>
          <w:sz w:val="28"/>
          <w:szCs w:val="28"/>
          <w:rtl/>
        </w:rPr>
        <w:t xml:space="preserve">(ראו והשוו: </w:t>
      </w:r>
      <w:hyperlink r:id="rId24" w:history="1">
        <w:r w:rsidRPr="00DE7AF5">
          <w:rPr>
            <w:rFonts w:ascii="Calibri" w:hAnsi="Calibri" w:cs="FrankRuehl" w:hint="eastAsia"/>
            <w:color w:val="0000FF"/>
            <w:sz w:val="28"/>
            <w:szCs w:val="28"/>
            <w:u w:val="single"/>
            <w:rtl/>
          </w:rPr>
          <w:t>ע</w:t>
        </w:r>
        <w:r w:rsidRPr="00DE7AF5">
          <w:rPr>
            <w:rFonts w:ascii="Calibri" w:hAnsi="Calibri" w:cs="FrankRuehl"/>
            <w:color w:val="0000FF"/>
            <w:sz w:val="28"/>
            <w:szCs w:val="28"/>
            <w:u w:val="single"/>
            <w:rtl/>
          </w:rPr>
          <w:t>"</w:t>
        </w:r>
        <w:r w:rsidRPr="00DE7AF5">
          <w:rPr>
            <w:rFonts w:ascii="Calibri" w:hAnsi="Calibri" w:cs="FrankRuehl" w:hint="eastAsia"/>
            <w:color w:val="0000FF"/>
            <w:sz w:val="28"/>
            <w:szCs w:val="28"/>
            <w:u w:val="single"/>
            <w:rtl/>
          </w:rPr>
          <w:t>פ</w:t>
        </w:r>
        <w:r w:rsidRPr="00DE7AF5">
          <w:rPr>
            <w:rFonts w:ascii="Calibri" w:hAnsi="Calibri" w:cs="FrankRuehl"/>
            <w:color w:val="0000FF"/>
            <w:sz w:val="28"/>
            <w:szCs w:val="28"/>
            <w:u w:val="single"/>
            <w:rtl/>
          </w:rPr>
          <w:t xml:space="preserve"> 4910/13</w:t>
        </w:r>
      </w:hyperlink>
      <w:r>
        <w:rPr>
          <w:rFonts w:ascii="Calibri" w:hAnsi="Calibri" w:cs="FrankRuehl" w:hint="cs"/>
          <w:sz w:val="28"/>
          <w:szCs w:val="28"/>
          <w:rtl/>
        </w:rPr>
        <w:t xml:space="preserve"> </w:t>
      </w:r>
      <w:r>
        <w:rPr>
          <w:rFonts w:ascii="Calibri" w:hAnsi="Calibri" w:cs="Miriam" w:hint="cs"/>
          <w:rtl/>
        </w:rPr>
        <w:t>ג'אבר נ' מדינת ישראל</w:t>
      </w:r>
      <w:r>
        <w:rPr>
          <w:rFonts w:ascii="Calibri" w:hAnsi="Calibri" w:cs="FrankRuehl" w:hint="cs"/>
          <w:sz w:val="28"/>
          <w:szCs w:val="28"/>
          <w:rtl/>
        </w:rPr>
        <w:t xml:space="preserve"> (29.10.2014) - גישתם של כב' השופטת ברק-ארז בפיסקה 5 ואילך לפסק-דינה, וכב' השופט פוגלמן בפיסקה 2 לפסק-דינו; עוד ראו לאחרונה:</w:t>
      </w:r>
      <w:hyperlink r:id="rId25" w:history="1">
        <w:r w:rsidR="001345CB" w:rsidRPr="001345CB">
          <w:rPr>
            <w:rStyle w:val="Hyperlink"/>
            <w:rFonts w:ascii="Calibri" w:hAnsi="Calibri" w:cs="FrankRuehl"/>
            <w:sz w:val="28"/>
            <w:szCs w:val="28"/>
            <w:rtl/>
          </w:rPr>
          <w:t xml:space="preserve"> </w:t>
        </w:r>
        <w:r w:rsidR="001345CB" w:rsidRPr="001345CB">
          <w:rPr>
            <w:rStyle w:val="Hyperlink"/>
            <w:rFonts w:ascii="Calibri" w:hAnsi="Calibri" w:cs="FrankRuehl" w:hint="eastAsia"/>
            <w:sz w:val="28"/>
            <w:szCs w:val="28"/>
            <w:rtl/>
          </w:rPr>
          <w:t>רע</w:t>
        </w:r>
        <w:r w:rsidR="001345CB" w:rsidRPr="001345CB">
          <w:rPr>
            <w:rStyle w:val="Hyperlink"/>
            <w:rFonts w:ascii="Calibri" w:hAnsi="Calibri" w:cs="FrankRuehl"/>
            <w:sz w:val="28"/>
            <w:szCs w:val="28"/>
            <w:rtl/>
          </w:rPr>
          <w:t>"</w:t>
        </w:r>
        <w:r w:rsidR="001345CB" w:rsidRPr="001345CB">
          <w:rPr>
            <w:rStyle w:val="Hyperlink"/>
            <w:rFonts w:ascii="Calibri" w:hAnsi="Calibri" w:cs="FrankRuehl" w:hint="eastAsia"/>
            <w:sz w:val="28"/>
            <w:szCs w:val="28"/>
            <w:rtl/>
          </w:rPr>
          <w:t>פ</w:t>
        </w:r>
        <w:r w:rsidR="001345CB" w:rsidRPr="001345CB">
          <w:rPr>
            <w:rStyle w:val="Hyperlink"/>
            <w:rFonts w:ascii="Calibri" w:hAnsi="Calibri" w:cs="FrankRuehl"/>
            <w:sz w:val="28"/>
            <w:szCs w:val="28"/>
            <w:rtl/>
          </w:rPr>
          <w:t xml:space="preserve"> 4660/14</w:t>
        </w:r>
      </w:hyperlink>
      <w:r>
        <w:rPr>
          <w:rFonts w:ascii="Calibri" w:hAnsi="Calibri" w:cs="FrankRuehl" w:hint="cs"/>
          <w:sz w:val="28"/>
          <w:szCs w:val="28"/>
          <w:rtl/>
        </w:rPr>
        <w:t xml:space="preserve"> </w:t>
      </w:r>
      <w:r>
        <w:rPr>
          <w:rFonts w:ascii="Calibri" w:hAnsi="Calibri" w:cs="Miriam" w:hint="cs"/>
          <w:rtl/>
        </w:rPr>
        <w:t>קיסלמן נ' מדינת ישראל</w:t>
      </w:r>
      <w:r>
        <w:rPr>
          <w:rFonts w:ascii="Calibri" w:hAnsi="Calibri" w:cs="FrankRuehl" w:hint="cs"/>
          <w:sz w:val="28"/>
          <w:szCs w:val="28"/>
          <w:rtl/>
        </w:rPr>
        <w:t xml:space="preserve"> (7.5.2015) מפי כב' השופט מלצר; וכן: </w:t>
      </w:r>
      <w:hyperlink r:id="rId26" w:history="1">
        <w:r w:rsidRPr="00DE7AF5">
          <w:rPr>
            <w:rFonts w:ascii="Calibri" w:hAnsi="Calibri" w:cs="FrankRuehl" w:hint="eastAsia"/>
            <w:color w:val="0000FF"/>
            <w:sz w:val="28"/>
            <w:szCs w:val="28"/>
            <w:u w:val="single"/>
            <w:rtl/>
          </w:rPr>
          <w:t>ע</w:t>
        </w:r>
        <w:r w:rsidRPr="00DE7AF5">
          <w:rPr>
            <w:rFonts w:ascii="Calibri" w:hAnsi="Calibri" w:cs="FrankRuehl"/>
            <w:color w:val="0000FF"/>
            <w:sz w:val="28"/>
            <w:szCs w:val="28"/>
            <w:u w:val="single"/>
            <w:rtl/>
          </w:rPr>
          <w:t>"</w:t>
        </w:r>
        <w:r w:rsidRPr="00DE7AF5">
          <w:rPr>
            <w:rFonts w:ascii="Calibri" w:hAnsi="Calibri" w:cs="FrankRuehl" w:hint="eastAsia"/>
            <w:color w:val="0000FF"/>
            <w:sz w:val="28"/>
            <w:szCs w:val="28"/>
            <w:u w:val="single"/>
            <w:rtl/>
          </w:rPr>
          <w:t>פ</w:t>
        </w:r>
        <w:r w:rsidRPr="00DE7AF5">
          <w:rPr>
            <w:rFonts w:ascii="Calibri" w:hAnsi="Calibri" w:cs="FrankRuehl"/>
            <w:color w:val="0000FF"/>
            <w:sz w:val="28"/>
            <w:szCs w:val="28"/>
            <w:u w:val="single"/>
            <w:rtl/>
          </w:rPr>
          <w:t xml:space="preserve"> 5643/14</w:t>
        </w:r>
      </w:hyperlink>
      <w:r>
        <w:rPr>
          <w:rFonts w:ascii="Calibri" w:hAnsi="Calibri" w:cs="FrankRuehl" w:hint="cs"/>
          <w:sz w:val="28"/>
          <w:szCs w:val="28"/>
          <w:rtl/>
        </w:rPr>
        <w:t xml:space="preserve"> </w:t>
      </w:r>
      <w:r>
        <w:rPr>
          <w:rFonts w:ascii="Calibri" w:hAnsi="Calibri" w:cs="Miriam" w:hint="cs"/>
          <w:rtl/>
        </w:rPr>
        <w:t>עיסא נ' מדינת ישראל</w:t>
      </w:r>
      <w:r>
        <w:rPr>
          <w:rFonts w:ascii="Calibri" w:hAnsi="Calibri" w:cs="FrankRuehl" w:hint="cs"/>
          <w:sz w:val="28"/>
          <w:szCs w:val="28"/>
          <w:rtl/>
        </w:rPr>
        <w:t xml:space="preserve"> (24.6.2015) מפי כב' השופט זילברטל).</w:t>
      </w:r>
    </w:p>
    <w:p w14:paraId="5F3FEF89" w14:textId="77777777" w:rsidR="00A2613E" w:rsidRDefault="00A2613E">
      <w:pPr>
        <w:spacing w:after="120" w:line="360" w:lineRule="auto"/>
        <w:ind w:firstLine="720"/>
        <w:jc w:val="both"/>
        <w:rPr>
          <w:rFonts w:ascii="Calibri" w:hAnsi="Calibri" w:cs="FrankRuehl"/>
          <w:sz w:val="28"/>
          <w:szCs w:val="28"/>
          <w:rtl/>
        </w:rPr>
      </w:pPr>
    </w:p>
    <w:p w14:paraId="32D55534" w14:textId="77777777" w:rsidR="00A2613E" w:rsidRDefault="00DE7AF5">
      <w:pPr>
        <w:spacing w:after="120" w:line="360" w:lineRule="auto"/>
        <w:ind w:firstLine="720"/>
        <w:jc w:val="both"/>
        <w:rPr>
          <w:rFonts w:ascii="Calibri" w:hAnsi="Calibri" w:cs="FrankRuehl"/>
          <w:sz w:val="28"/>
          <w:szCs w:val="28"/>
          <w:rtl/>
        </w:rPr>
      </w:pPr>
      <w:r>
        <w:rPr>
          <w:rFonts w:ascii="Calibri" w:hAnsi="Calibri" w:cs="Miriam" w:hint="cs"/>
          <w:rtl/>
        </w:rPr>
        <w:t>מאידך גיסא</w:t>
      </w:r>
      <w:r>
        <w:rPr>
          <w:rFonts w:ascii="Calibri" w:hAnsi="Calibri" w:cs="FrankRuehl" w:hint="cs"/>
          <w:sz w:val="28"/>
          <w:szCs w:val="28"/>
          <w:rtl/>
        </w:rPr>
        <w:t xml:space="preserve">, </w:t>
      </w:r>
      <w:r>
        <w:rPr>
          <w:rFonts w:cs="FrankRuehl" w:hint="cs"/>
          <w:sz w:val="28"/>
          <w:szCs w:val="28"/>
          <w:rtl/>
        </w:rPr>
        <w:t>העבירות בוצעו במועדים שונים, כמות הסם אינה זהה בשני המקרים וכך גם התמורה הכספית אשר ניתנה בעד הסם. מבחינה זו, המקרים ניתנים להפרדה הן מבחינה כרונולוגית והן מבחינה מהותית.</w:t>
      </w:r>
      <w:r>
        <w:rPr>
          <w:rFonts w:ascii="Calibri" w:hAnsi="Calibri" w:cs="FrankRuehl" w:hint="cs"/>
          <w:sz w:val="28"/>
          <w:szCs w:val="28"/>
          <w:rtl/>
        </w:rPr>
        <w:t xml:space="preserve"> בהתאם למבחן "הצורני-העובדתי", ניתן לטעון כי ראוי לקבוע מתחמים נפרדים לכל אחד מהאישומים נשוא כתב-האישום המתוקן (ראו והשוו: גישת כב' השופט דנציגר בע"פ 4913/10 </w:t>
      </w:r>
      <w:r>
        <w:rPr>
          <w:rFonts w:ascii="Calibri" w:hAnsi="Calibri" w:cs="Miriam" w:hint="cs"/>
          <w:rtl/>
        </w:rPr>
        <w:t>ג'אבר</w:t>
      </w:r>
      <w:r>
        <w:rPr>
          <w:rFonts w:ascii="Calibri" w:hAnsi="Calibri" w:cs="FrankRuehl" w:hint="cs"/>
          <w:sz w:val="28"/>
          <w:szCs w:val="28"/>
          <w:rtl/>
        </w:rPr>
        <w:t xml:space="preserve"> הנ"ל, פיסקאות 24, 29 עד 31 לפסק-דינו; וכן גישתו של כב' השופט ג'ובראן ב</w:t>
      </w:r>
      <w:hyperlink r:id="rId27" w:history="1">
        <w:r w:rsidRPr="00DE7AF5">
          <w:rPr>
            <w:rFonts w:ascii="Calibri" w:hAnsi="Calibri" w:cs="FrankRuehl" w:hint="eastAsia"/>
            <w:color w:val="0000FF"/>
            <w:sz w:val="28"/>
            <w:szCs w:val="28"/>
            <w:u w:val="single"/>
            <w:rtl/>
          </w:rPr>
          <w:t>ע</w:t>
        </w:r>
        <w:r w:rsidRPr="00DE7AF5">
          <w:rPr>
            <w:rFonts w:ascii="Calibri" w:hAnsi="Calibri" w:cs="FrankRuehl"/>
            <w:color w:val="0000FF"/>
            <w:sz w:val="28"/>
            <w:szCs w:val="28"/>
            <w:u w:val="single"/>
            <w:rtl/>
          </w:rPr>
          <w:t>"</w:t>
        </w:r>
        <w:r w:rsidRPr="00DE7AF5">
          <w:rPr>
            <w:rFonts w:ascii="Calibri" w:hAnsi="Calibri" w:cs="FrankRuehl" w:hint="eastAsia"/>
            <w:color w:val="0000FF"/>
            <w:sz w:val="28"/>
            <w:szCs w:val="28"/>
            <w:u w:val="single"/>
            <w:rtl/>
          </w:rPr>
          <w:t>פ</w:t>
        </w:r>
        <w:r w:rsidRPr="00DE7AF5">
          <w:rPr>
            <w:rFonts w:ascii="Calibri" w:hAnsi="Calibri" w:cs="FrankRuehl"/>
            <w:color w:val="0000FF"/>
            <w:sz w:val="28"/>
            <w:szCs w:val="28"/>
            <w:u w:val="single"/>
            <w:rtl/>
          </w:rPr>
          <w:t xml:space="preserve"> 1605/13</w:t>
        </w:r>
      </w:hyperlink>
      <w:r>
        <w:rPr>
          <w:rFonts w:ascii="Calibri" w:hAnsi="Calibri" w:cs="FrankRuehl" w:hint="cs"/>
          <w:sz w:val="28"/>
          <w:szCs w:val="28"/>
          <w:rtl/>
        </w:rPr>
        <w:t xml:space="preserve"> </w:t>
      </w:r>
      <w:r>
        <w:rPr>
          <w:rFonts w:ascii="Calibri" w:hAnsi="Calibri" w:cs="Miriam" w:hint="cs"/>
          <w:rtl/>
        </w:rPr>
        <w:t>פלוני נ' מדינת ישראל</w:t>
      </w:r>
      <w:r>
        <w:rPr>
          <w:rFonts w:ascii="Calibri" w:hAnsi="Calibri" w:cs="FrankRuehl" w:hint="cs"/>
          <w:sz w:val="28"/>
          <w:szCs w:val="28"/>
          <w:rtl/>
        </w:rPr>
        <w:t>, פיסקה 15 (27.8.2014); עוד השוו: פסיקתו של בית-המשפט המחוזי בבאר-שבע</w:t>
      </w:r>
      <w:r>
        <w:rPr>
          <w:rFonts w:cs="FrankRuehl" w:hint="cs"/>
          <w:sz w:val="28"/>
          <w:szCs w:val="28"/>
          <w:rtl/>
        </w:rPr>
        <w:t xml:space="preserve"> ב</w:t>
      </w:r>
      <w:hyperlink r:id="rId28" w:history="1">
        <w:r w:rsidRPr="00DE7AF5">
          <w:rPr>
            <w:rFonts w:cs="FrankRuehl"/>
            <w:color w:val="0000FF"/>
            <w:sz w:val="28"/>
            <w:szCs w:val="28"/>
            <w:u w:val="single"/>
            <w:rtl/>
          </w:rPr>
          <w:t>עפ"ג 39844-08-13</w:t>
        </w:r>
      </w:hyperlink>
      <w:r>
        <w:rPr>
          <w:rFonts w:cs="Miriam" w:hint="cs"/>
          <w:rtl/>
        </w:rPr>
        <w:t xml:space="preserve"> מדינת ישראל נ' אבו רקייק</w:t>
      </w:r>
      <w:r>
        <w:rPr>
          <w:rFonts w:cs="FrankRuehl" w:hint="cs"/>
          <w:sz w:val="28"/>
          <w:szCs w:val="28"/>
          <w:rtl/>
        </w:rPr>
        <w:t xml:space="preserve"> (26.12.2013)).</w:t>
      </w:r>
      <w:r>
        <w:rPr>
          <w:rFonts w:ascii="Calibri" w:hAnsi="Calibri" w:cs="FrankRuehl" w:hint="cs"/>
          <w:sz w:val="28"/>
          <w:szCs w:val="28"/>
          <w:rtl/>
        </w:rPr>
        <w:t xml:space="preserve"> בהמשך לדברים האמורים, אני רואה לציין כי אף לפי גישה המצדדת בקביעת מתחמי ענישה הולמת נפרדים בגין כל אישום, לא ניתן להתעלם מהזיקה הממשית בין שני האישומים. לפיכך, אני סבורה כי יש מקום לגזירת עונש כולל בעטים כאמור </w:t>
      </w:r>
      <w:hyperlink r:id="rId29" w:history="1">
        <w:r w:rsidR="006C51F3" w:rsidRPr="006C51F3">
          <w:rPr>
            <w:rFonts w:ascii="Calibri" w:hAnsi="Calibri" w:cs="FrankRuehl" w:hint="eastAsia"/>
            <w:color w:val="0000FF"/>
            <w:sz w:val="28"/>
            <w:szCs w:val="28"/>
            <w:u w:val="single"/>
            <w:rtl/>
          </w:rPr>
          <w:t>בסעיף</w:t>
        </w:r>
        <w:r w:rsidR="006C51F3" w:rsidRPr="006C51F3">
          <w:rPr>
            <w:rFonts w:ascii="Calibri" w:hAnsi="Calibri" w:cs="FrankRuehl"/>
            <w:color w:val="0000FF"/>
            <w:sz w:val="28"/>
            <w:szCs w:val="28"/>
            <w:u w:val="single"/>
            <w:rtl/>
          </w:rPr>
          <w:t xml:space="preserve"> 40</w:t>
        </w:r>
        <w:r w:rsidR="006C51F3" w:rsidRPr="006C51F3">
          <w:rPr>
            <w:rFonts w:ascii="Calibri" w:hAnsi="Calibri" w:cs="FrankRuehl" w:hint="eastAsia"/>
            <w:color w:val="0000FF"/>
            <w:sz w:val="28"/>
            <w:szCs w:val="28"/>
            <w:u w:val="single"/>
            <w:rtl/>
          </w:rPr>
          <w:t>יג</w:t>
        </w:r>
        <w:r w:rsidR="006C51F3" w:rsidRPr="006C51F3">
          <w:rPr>
            <w:rFonts w:ascii="Calibri" w:hAnsi="Calibri" w:cs="FrankRuehl"/>
            <w:color w:val="0000FF"/>
            <w:sz w:val="28"/>
            <w:szCs w:val="28"/>
            <w:u w:val="single"/>
            <w:rtl/>
          </w:rPr>
          <w:t>(</w:t>
        </w:r>
        <w:r w:rsidR="006C51F3" w:rsidRPr="006C51F3">
          <w:rPr>
            <w:rFonts w:ascii="Calibri" w:hAnsi="Calibri" w:cs="FrankRuehl" w:hint="eastAsia"/>
            <w:color w:val="0000FF"/>
            <w:sz w:val="28"/>
            <w:szCs w:val="28"/>
            <w:u w:val="single"/>
            <w:rtl/>
          </w:rPr>
          <w:t>ב</w:t>
        </w:r>
        <w:r w:rsidR="006C51F3" w:rsidRPr="006C51F3">
          <w:rPr>
            <w:rFonts w:ascii="Calibri" w:hAnsi="Calibri" w:cs="FrankRuehl"/>
            <w:color w:val="0000FF"/>
            <w:sz w:val="28"/>
            <w:szCs w:val="28"/>
            <w:u w:val="single"/>
            <w:rtl/>
          </w:rPr>
          <w:t>)</w:t>
        </w:r>
      </w:hyperlink>
      <w:r>
        <w:rPr>
          <w:rFonts w:ascii="Calibri" w:hAnsi="Calibri" w:cs="FrankRuehl" w:hint="cs"/>
          <w:sz w:val="28"/>
          <w:szCs w:val="28"/>
          <w:rtl/>
        </w:rPr>
        <w:t xml:space="preserve"> ל</w:t>
      </w:r>
      <w:hyperlink r:id="rId30" w:history="1">
        <w:r w:rsidRPr="00DE7AF5">
          <w:rPr>
            <w:rFonts w:ascii="Calibri" w:hAnsi="Calibri" w:cs="FrankRuehl" w:hint="eastAsia"/>
            <w:color w:val="0000FF"/>
            <w:sz w:val="28"/>
            <w:szCs w:val="28"/>
            <w:u w:val="single"/>
            <w:rtl/>
          </w:rPr>
          <w:t>חוק</w:t>
        </w:r>
        <w:r w:rsidRPr="00DE7AF5">
          <w:rPr>
            <w:rFonts w:ascii="Calibri" w:hAnsi="Calibri" w:cs="FrankRuehl"/>
            <w:color w:val="0000FF"/>
            <w:sz w:val="28"/>
            <w:szCs w:val="28"/>
            <w:u w:val="single"/>
            <w:rtl/>
          </w:rPr>
          <w:t xml:space="preserve"> </w:t>
        </w:r>
        <w:r w:rsidRPr="00DE7AF5">
          <w:rPr>
            <w:rFonts w:ascii="Calibri" w:hAnsi="Calibri" w:cs="FrankRuehl" w:hint="eastAsia"/>
            <w:color w:val="0000FF"/>
            <w:sz w:val="28"/>
            <w:szCs w:val="28"/>
            <w:u w:val="single"/>
            <w:rtl/>
          </w:rPr>
          <w:t>העונשין</w:t>
        </w:r>
      </w:hyperlink>
      <w:r>
        <w:rPr>
          <w:rFonts w:ascii="Calibri" w:hAnsi="Calibri" w:cs="FrankRuehl" w:hint="cs"/>
          <w:sz w:val="28"/>
          <w:szCs w:val="28"/>
          <w:rtl/>
        </w:rPr>
        <w:t xml:space="preserve">. </w:t>
      </w:r>
    </w:p>
    <w:p w14:paraId="3D327E16" w14:textId="77777777" w:rsidR="00A2613E" w:rsidRDefault="00A2613E">
      <w:pPr>
        <w:spacing w:after="120" w:line="360" w:lineRule="auto"/>
        <w:jc w:val="both"/>
        <w:rPr>
          <w:rFonts w:cs="FrankRuehl"/>
          <w:sz w:val="28"/>
          <w:szCs w:val="28"/>
          <w:rtl/>
        </w:rPr>
      </w:pPr>
    </w:p>
    <w:p w14:paraId="551BF5CC" w14:textId="77777777" w:rsidR="00A2613E" w:rsidRDefault="00DE7AF5">
      <w:pPr>
        <w:spacing w:after="120" w:line="360" w:lineRule="auto"/>
        <w:jc w:val="both"/>
        <w:rPr>
          <w:rFonts w:ascii="Calibri" w:hAnsi="Calibri" w:cs="FrankRuehl"/>
          <w:sz w:val="28"/>
          <w:szCs w:val="28"/>
          <w:rtl/>
        </w:rPr>
      </w:pPr>
      <w:r>
        <w:rPr>
          <w:rFonts w:cs="FrankRuehl" w:hint="cs"/>
          <w:sz w:val="28"/>
          <w:szCs w:val="28"/>
          <w:rtl/>
        </w:rPr>
        <w:t>9.</w:t>
      </w:r>
      <w:r>
        <w:rPr>
          <w:rFonts w:cs="FrankRuehl" w:hint="cs"/>
          <w:sz w:val="28"/>
          <w:szCs w:val="28"/>
          <w:rtl/>
        </w:rPr>
        <w:tab/>
      </w:r>
      <w:r>
        <w:rPr>
          <w:rFonts w:ascii="Calibri" w:hAnsi="Calibri" w:cs="FrankRuehl" w:hint="cs"/>
          <w:sz w:val="28"/>
          <w:szCs w:val="28"/>
          <w:rtl/>
        </w:rPr>
        <w:t>בנסיבות העניין, לא ראיתי להכריע בין שתי הגישות הפרשניות למונח "אירוע" כפי שפורטו לעיל. תחת זאת, אקבע מתחמים נפרדים לכל אחד מהאישומים נשוּא כתב-האישום המתוקן (בהתאם למבחן "הצורני-העובדתי"), ולצדם אקבע מתחם כולל המתייחס לשני האישומים בגינם הורשע הנאשם (בהתאם למבחן "הקשר ההדוק"). לאחר מכן, אגזור את העונש המתאים בגדרי המתחמים שייקבעו.</w:t>
      </w:r>
    </w:p>
    <w:p w14:paraId="2CB16ADA" w14:textId="77777777" w:rsidR="00A2613E" w:rsidRDefault="00A2613E">
      <w:pPr>
        <w:spacing w:after="120" w:line="360" w:lineRule="auto"/>
        <w:jc w:val="both"/>
        <w:rPr>
          <w:rFonts w:cs="FrankRuehl"/>
          <w:sz w:val="28"/>
          <w:szCs w:val="28"/>
          <w:rtl/>
        </w:rPr>
      </w:pPr>
    </w:p>
    <w:p w14:paraId="2D5CFB92" w14:textId="77777777" w:rsidR="00A2613E" w:rsidRDefault="00DE7AF5">
      <w:pPr>
        <w:spacing w:after="120" w:line="360" w:lineRule="auto"/>
        <w:jc w:val="both"/>
        <w:rPr>
          <w:rFonts w:cs="FrankRuehl"/>
          <w:sz w:val="28"/>
          <w:szCs w:val="28"/>
          <w:u w:val="single"/>
          <w:rtl/>
        </w:rPr>
      </w:pPr>
      <w:r>
        <w:rPr>
          <w:rFonts w:cs="FrankRuehl" w:hint="cs"/>
          <w:sz w:val="28"/>
          <w:szCs w:val="28"/>
          <w:u w:val="single"/>
          <w:rtl/>
        </w:rPr>
        <w:t>קביעת מתחמי הענישה ההולמת</w:t>
      </w:r>
    </w:p>
    <w:p w14:paraId="632BE9BA" w14:textId="77777777" w:rsidR="00A2613E" w:rsidRDefault="00DE7AF5">
      <w:pPr>
        <w:spacing w:after="120" w:line="360" w:lineRule="auto"/>
        <w:jc w:val="both"/>
        <w:rPr>
          <w:rFonts w:cs="FrankRuehl"/>
          <w:sz w:val="28"/>
          <w:szCs w:val="28"/>
          <w:rtl/>
        </w:rPr>
      </w:pPr>
      <w:r>
        <w:rPr>
          <w:rFonts w:cs="FrankRuehl" w:hint="cs"/>
          <w:sz w:val="28"/>
          <w:szCs w:val="28"/>
          <w:rtl/>
        </w:rPr>
        <w:t>10.</w:t>
      </w:r>
      <w:r>
        <w:rPr>
          <w:rFonts w:cs="FrankRuehl" w:hint="cs"/>
          <w:sz w:val="28"/>
          <w:szCs w:val="28"/>
          <w:rtl/>
        </w:rPr>
        <w:tab/>
        <w:t xml:space="preserve">בהתאם </w:t>
      </w:r>
      <w:hyperlink r:id="rId31" w:history="1">
        <w:r w:rsidR="006C51F3" w:rsidRPr="006C51F3">
          <w:rPr>
            <w:rFonts w:cs="FrankRuehl"/>
            <w:color w:val="0000FF"/>
            <w:sz w:val="28"/>
            <w:szCs w:val="28"/>
            <w:u w:val="single"/>
            <w:rtl/>
          </w:rPr>
          <w:t>לסעיף 40ג(א)</w:t>
        </w:r>
      </w:hyperlink>
      <w:r>
        <w:rPr>
          <w:rFonts w:cs="FrankRuehl" w:hint="cs"/>
          <w:sz w:val="28"/>
          <w:szCs w:val="28"/>
          <w:rtl/>
        </w:rPr>
        <w:t xml:space="preserve"> ל</w:t>
      </w:r>
      <w:hyperlink r:id="rId32" w:history="1">
        <w:r w:rsidRPr="00DE7AF5">
          <w:rPr>
            <w:rFonts w:cs="FrankRuehl"/>
            <w:color w:val="0000FF"/>
            <w:sz w:val="28"/>
            <w:szCs w:val="28"/>
            <w:u w:val="single"/>
            <w:rtl/>
          </w:rPr>
          <w:t>חוק העונשין</w:t>
        </w:r>
      </w:hyperlink>
      <w:r>
        <w:rPr>
          <w:rFonts w:cs="FrankRuehl" w:hint="cs"/>
          <w:sz w:val="28"/>
          <w:szCs w:val="28"/>
          <w:rtl/>
        </w:rPr>
        <w:t>, יש לקבוע את מתחמי הענישה ההולמת בהתאם לעקרון ההלימה, תוך התחשבות בערך החברתי שנפגע, במידת הפגיעה בו, בנסיבות הקשורות בביצוע העבירות ובמדיניות הענישה הנהוגה.</w:t>
      </w:r>
    </w:p>
    <w:p w14:paraId="26B26EAC" w14:textId="77777777" w:rsidR="00A2613E" w:rsidRDefault="00A2613E">
      <w:pPr>
        <w:spacing w:after="120" w:line="360" w:lineRule="auto"/>
        <w:jc w:val="both"/>
        <w:rPr>
          <w:rFonts w:cs="FrankRuehl"/>
          <w:sz w:val="28"/>
          <w:szCs w:val="28"/>
          <w:rtl/>
        </w:rPr>
      </w:pPr>
    </w:p>
    <w:p w14:paraId="264C77C1" w14:textId="77777777" w:rsidR="00A2613E" w:rsidRDefault="00DE7AF5">
      <w:pPr>
        <w:spacing w:after="120" w:line="360" w:lineRule="auto"/>
        <w:jc w:val="both"/>
        <w:rPr>
          <w:rFonts w:cs="FrankRuehl"/>
          <w:sz w:val="28"/>
          <w:szCs w:val="28"/>
          <w:rtl/>
        </w:rPr>
      </w:pPr>
      <w:r>
        <w:rPr>
          <w:rFonts w:cs="FrankRuehl" w:hint="cs"/>
          <w:sz w:val="28"/>
          <w:szCs w:val="28"/>
          <w:rtl/>
        </w:rPr>
        <w:t>11.</w:t>
      </w:r>
      <w:r>
        <w:rPr>
          <w:rFonts w:cs="FrankRuehl" w:hint="cs"/>
          <w:sz w:val="28"/>
          <w:szCs w:val="28"/>
          <w:rtl/>
        </w:rPr>
        <w:tab/>
      </w:r>
      <w:r>
        <w:rPr>
          <w:rFonts w:cs="FrankRuehl" w:hint="cs"/>
          <w:b/>
          <w:bCs/>
          <w:sz w:val="28"/>
          <w:szCs w:val="28"/>
          <w:rtl/>
        </w:rPr>
        <w:t>הערכים החברתיים</w:t>
      </w:r>
      <w:r>
        <w:rPr>
          <w:rFonts w:cs="FrankRuehl" w:hint="cs"/>
          <w:sz w:val="28"/>
          <w:szCs w:val="28"/>
          <w:rtl/>
        </w:rPr>
        <w:t xml:space="preserve"> המונחים בבסיס עבירת הסחר בסמים עניינם בהגנה על חוסנה של החברה מפני פגיעות הנגרמות עקב שימוש בסמים, הן לאוכלוסיית המשתמשים עצמם והן לציבור בכללותו. בתי-המשפט חזרו שוב ושוב בפסיקותיהם על ההכרח לעצור את התפשטות נגע הסמים בחברה, וזאת בין היתר על-ידי השתת ענישה מחמירה על הנוטלים חלק במערך הפצת הסמים למען רווח כספי, תוך העדפת האינטרס הציבורי על-פני שיקולים אינדיבידואליים. </w:t>
      </w:r>
    </w:p>
    <w:p w14:paraId="5E9AF496" w14:textId="77777777" w:rsidR="00A2613E" w:rsidRDefault="00A2613E">
      <w:pPr>
        <w:spacing w:after="120" w:line="360" w:lineRule="auto"/>
        <w:jc w:val="both"/>
        <w:rPr>
          <w:rtl/>
        </w:rPr>
      </w:pPr>
    </w:p>
    <w:p w14:paraId="79A617A6" w14:textId="77777777" w:rsidR="00A2613E" w:rsidRDefault="00DE7AF5">
      <w:pPr>
        <w:spacing w:after="120" w:line="360" w:lineRule="auto"/>
        <w:jc w:val="both"/>
        <w:rPr>
          <w:rFonts w:ascii="Calibri" w:hAnsi="Calibri" w:cs="FrankRuehl"/>
          <w:sz w:val="28"/>
          <w:szCs w:val="28"/>
          <w:rtl/>
        </w:rPr>
      </w:pPr>
      <w:r>
        <w:rPr>
          <w:rFonts w:cs="FrankRuehl" w:hint="cs"/>
          <w:color w:val="000000"/>
          <w:sz w:val="28"/>
          <w:szCs w:val="28"/>
          <w:rtl/>
        </w:rPr>
        <w:t>12.</w:t>
      </w:r>
      <w:r>
        <w:rPr>
          <w:rFonts w:cs="FrankRuehl" w:hint="cs"/>
          <w:color w:val="000000"/>
          <w:sz w:val="28"/>
          <w:szCs w:val="28"/>
          <w:rtl/>
        </w:rPr>
        <w:tab/>
        <w:t xml:space="preserve">אשר </w:t>
      </w:r>
      <w:r>
        <w:rPr>
          <w:rFonts w:cs="FrankRuehl" w:hint="cs"/>
          <w:b/>
          <w:bCs/>
          <w:color w:val="000000"/>
          <w:sz w:val="28"/>
          <w:szCs w:val="28"/>
          <w:rtl/>
        </w:rPr>
        <w:t xml:space="preserve">לנסיבות ביצוע העבירות </w:t>
      </w:r>
      <w:r>
        <w:rPr>
          <w:rFonts w:cs="FrankRuehl" w:hint="cs"/>
          <w:color w:val="000000"/>
          <w:sz w:val="28"/>
          <w:szCs w:val="28"/>
          <w:rtl/>
        </w:rPr>
        <w:t>במקרה דנן</w:t>
      </w:r>
      <w:r>
        <w:rPr>
          <w:rFonts w:cs="FrankRuehl" w:hint="cs"/>
          <w:b/>
          <w:bCs/>
          <w:color w:val="000000"/>
          <w:sz w:val="28"/>
          <w:szCs w:val="28"/>
          <w:rtl/>
        </w:rPr>
        <w:t xml:space="preserve"> </w:t>
      </w:r>
      <w:r>
        <w:rPr>
          <w:rFonts w:cs="FrankRuehl" w:hint="cs"/>
          <w:color w:val="000000"/>
          <w:sz w:val="28"/>
          <w:szCs w:val="28"/>
          <w:rtl/>
        </w:rPr>
        <w:t xml:space="preserve">- </w:t>
      </w:r>
      <w:r>
        <w:rPr>
          <w:rFonts w:ascii="FrankRuehl" w:hAnsi="FrankRuehl" w:cs="FrankRuehl" w:hint="cs"/>
          <w:color w:val="000000"/>
          <w:sz w:val="28"/>
          <w:szCs w:val="28"/>
          <w:rtl/>
        </w:rPr>
        <w:t xml:space="preserve">בפסיקתם של בתי-המשפט נקבע לא אחת כי כאשר עסקינן בעבירות של סחר בסמים </w:t>
      </w:r>
      <w:r>
        <w:rPr>
          <w:rFonts w:ascii="Calibri" w:hAnsi="Calibri" w:cs="FrankRuehl" w:hint="cs"/>
          <w:sz w:val="28"/>
          <w:szCs w:val="28"/>
          <w:rtl/>
        </w:rPr>
        <w:t xml:space="preserve">יש לתת את הדעת, בין היתר, לסוג הסם; כמותו והתמורה הכספית שניתנה בעדו; מספר העסקאות בהן מדובר; התכנון שקדם להן; חלקו של הנאשם בביצוע העסקה; זהות הקונה ונסיבות הרכישה; וכן הנזק שנגרם ו/או צפוי היה להיגרם בגין העבירות הנדונות. </w:t>
      </w:r>
    </w:p>
    <w:p w14:paraId="73E6307D" w14:textId="77777777" w:rsidR="00A2613E" w:rsidRDefault="00A2613E">
      <w:pPr>
        <w:spacing w:after="120" w:line="360" w:lineRule="auto"/>
        <w:jc w:val="both"/>
        <w:rPr>
          <w:rFonts w:ascii="Calibri" w:hAnsi="Calibri" w:cs="FrankRuehl"/>
          <w:sz w:val="28"/>
          <w:szCs w:val="28"/>
          <w:rtl/>
        </w:rPr>
      </w:pPr>
    </w:p>
    <w:p w14:paraId="60DF2EE8" w14:textId="77777777" w:rsidR="00A2613E" w:rsidRDefault="00DE7AF5">
      <w:pPr>
        <w:spacing w:after="120" w:line="360" w:lineRule="auto"/>
        <w:ind w:firstLine="720"/>
        <w:jc w:val="both"/>
        <w:rPr>
          <w:rFonts w:ascii="Calibri" w:hAnsi="Calibri" w:cs="Miriam"/>
          <w:sz w:val="22"/>
          <w:szCs w:val="22"/>
          <w:rtl/>
        </w:rPr>
      </w:pPr>
      <w:r>
        <w:rPr>
          <w:rFonts w:ascii="Calibri" w:hAnsi="Calibri" w:cs="FrankRuehl" w:hint="cs"/>
          <w:sz w:val="28"/>
          <w:szCs w:val="28"/>
          <w:rtl/>
        </w:rPr>
        <w:t xml:space="preserve">בנסיבות המקרה דנן, </w:t>
      </w:r>
      <w:r>
        <w:rPr>
          <w:rFonts w:ascii="Calibri" w:hAnsi="Calibri" w:cs="Miriam" w:hint="cs"/>
          <w:rtl/>
        </w:rPr>
        <w:t>מחד גיסא</w:t>
      </w:r>
      <w:r>
        <w:rPr>
          <w:rFonts w:ascii="Calibri" w:hAnsi="Calibri" w:cs="FrankRuehl" w:hint="cs"/>
          <w:sz w:val="28"/>
          <w:szCs w:val="28"/>
          <w:rtl/>
        </w:rPr>
        <w:t xml:space="preserve">, הנאשם סחר בסם בשתי הזדמנויות שונות מול אותו סוכן משטרתי. בעסקה הראשונה הנאשם סיפק לשוטר סמים בכמות שאינה קטנה (כ- </w:t>
      </w:r>
      <w:smartTag w:uri="urn:schemas-microsoft-com:office:smarttags" w:element="metricconverter">
        <w:smartTagPr>
          <w:attr w:name="ProductID" w:val="38 גרם"/>
        </w:smartTagPr>
        <w:r>
          <w:rPr>
            <w:rFonts w:ascii="Calibri" w:hAnsi="Calibri" w:cs="FrankRuehl" w:hint="cs"/>
            <w:sz w:val="28"/>
            <w:szCs w:val="28"/>
            <w:rtl/>
          </w:rPr>
          <w:t>38 גרם</w:t>
        </w:r>
      </w:smartTag>
      <w:r>
        <w:rPr>
          <w:rFonts w:ascii="Calibri" w:hAnsi="Calibri" w:cs="FrankRuehl" w:hint="cs"/>
          <w:sz w:val="28"/>
          <w:szCs w:val="28"/>
          <w:rtl/>
        </w:rPr>
        <w:t xml:space="preserve"> נטו) תמורת סכום כסף משמעותי (2,300 ₪), כאשר הסם היה מחולק לאצבעות חשיש עטופות בשטרות של כסף. כמות הסם שנמכרה בעסקה השנייה הייתה קטנה יחסית (כ- </w:t>
      </w:r>
      <w:smartTag w:uri="urn:schemas-microsoft-com:office:smarttags" w:element="metricconverter">
        <w:smartTagPr>
          <w:attr w:name="ProductID" w:val="9 גרם"/>
        </w:smartTagPr>
        <w:r>
          <w:rPr>
            <w:rFonts w:ascii="Calibri" w:hAnsi="Calibri" w:cs="FrankRuehl" w:hint="cs"/>
            <w:sz w:val="28"/>
            <w:szCs w:val="28"/>
            <w:rtl/>
          </w:rPr>
          <w:t>9 גרם</w:t>
        </w:r>
      </w:smartTag>
      <w:r>
        <w:rPr>
          <w:rFonts w:ascii="Calibri" w:hAnsi="Calibri" w:cs="FrankRuehl" w:hint="cs"/>
          <w:sz w:val="28"/>
          <w:szCs w:val="28"/>
          <w:rtl/>
        </w:rPr>
        <w:t xml:space="preserve"> נטו), אף שראוי לציין כי המכירה בעסקה השנייה בוצעה עבור תמורה כספית שאינה זניחה (800 ₪).</w:t>
      </w:r>
      <w:r>
        <w:rPr>
          <w:rFonts w:ascii="Calibri" w:hAnsi="Calibri" w:cs="Miriam" w:hint="cs"/>
          <w:sz w:val="22"/>
          <w:szCs w:val="22"/>
          <w:rtl/>
        </w:rPr>
        <w:t xml:space="preserve"> </w:t>
      </w:r>
      <w:r>
        <w:rPr>
          <w:rFonts w:ascii="Calibri" w:hAnsi="Calibri" w:cs="FrankRuehl" w:hint="cs"/>
          <w:sz w:val="28"/>
          <w:szCs w:val="28"/>
          <w:rtl/>
        </w:rPr>
        <w:t xml:space="preserve">בשני המקרים הנאשם הוא שיזם והציע לשוטר לרכוש ממנו את הסמים והיה נכון לספק לשוטר את הסם תוך תיאום מראש ובחלוף זמן קצר יחסית. בשני המקרים הנאשם קיבל את התמורה הכספית לידיו. הדבר מעיד הן על תכנון מוקדם, הן על נגישותו של הנאשם לסמים, והן על מעורבותו הפעילה בעולם הסחר בסמים. </w:t>
      </w:r>
      <w:r>
        <w:rPr>
          <w:rFonts w:ascii="Calibri" w:hAnsi="Calibri" w:cs="Miriam" w:hint="cs"/>
          <w:rtl/>
        </w:rPr>
        <w:t>מאידך גיסא</w:t>
      </w:r>
      <w:r>
        <w:rPr>
          <w:rFonts w:ascii="Calibri" w:hAnsi="Calibri" w:cs="FrankRuehl" w:hint="cs"/>
          <w:sz w:val="28"/>
          <w:szCs w:val="28"/>
          <w:rtl/>
        </w:rPr>
        <w:t xml:space="preserve">, שתי העסקאות נגעו לסם מסוג חשיש שאינו נחשב מהסמים "הקשים". </w:t>
      </w:r>
    </w:p>
    <w:p w14:paraId="6D177217" w14:textId="77777777" w:rsidR="00A2613E" w:rsidRDefault="00A2613E">
      <w:pPr>
        <w:spacing w:after="120" w:line="360" w:lineRule="auto"/>
        <w:jc w:val="both"/>
        <w:rPr>
          <w:rFonts w:cs="FrankRuehl"/>
          <w:b/>
          <w:bCs/>
          <w:color w:val="000000"/>
          <w:sz w:val="28"/>
          <w:szCs w:val="28"/>
          <w:rtl/>
        </w:rPr>
      </w:pPr>
    </w:p>
    <w:p w14:paraId="3780C734" w14:textId="77777777" w:rsidR="00A2613E" w:rsidRDefault="00DE7AF5">
      <w:pPr>
        <w:spacing w:after="120" w:line="360" w:lineRule="auto"/>
        <w:jc w:val="both"/>
        <w:rPr>
          <w:rFonts w:ascii="Calibri" w:hAnsi="Calibri" w:cs="FrankRuehl"/>
          <w:sz w:val="28"/>
          <w:szCs w:val="28"/>
          <w:rtl/>
        </w:rPr>
      </w:pPr>
      <w:r>
        <w:rPr>
          <w:rFonts w:ascii="Calibri" w:hAnsi="Calibri" w:cs="FrankRuehl" w:hint="cs"/>
          <w:sz w:val="28"/>
          <w:szCs w:val="28"/>
          <w:rtl/>
        </w:rPr>
        <w:t>13.</w:t>
      </w:r>
      <w:r>
        <w:rPr>
          <w:rFonts w:ascii="Calibri" w:hAnsi="Calibri" w:cs="FrankRuehl" w:hint="cs"/>
          <w:sz w:val="28"/>
          <w:szCs w:val="28"/>
          <w:rtl/>
        </w:rPr>
        <w:tab/>
        <w:t xml:space="preserve">בחינת </w:t>
      </w:r>
      <w:r>
        <w:rPr>
          <w:rFonts w:ascii="Calibri" w:hAnsi="Calibri" w:cs="FrankRuehl" w:hint="cs"/>
          <w:b/>
          <w:bCs/>
          <w:sz w:val="28"/>
          <w:szCs w:val="28"/>
          <w:rtl/>
        </w:rPr>
        <w:t>הענישה הנוהגת</w:t>
      </w:r>
      <w:r>
        <w:rPr>
          <w:rFonts w:ascii="Calibri" w:hAnsi="Calibri" w:cs="FrankRuehl" w:hint="cs"/>
          <w:sz w:val="28"/>
          <w:szCs w:val="28"/>
          <w:rtl/>
        </w:rPr>
        <w:t xml:space="preserve"> מעלה כי בגין עבירות של סחר בסמים נוהגים בתי המשפט להטיל עונשי מאסר בפועל לריצוי מאחורי סורג ובריח (ראו והשוו: ע"פ (מחוזי י-ם) </w:t>
      </w:r>
      <w:hyperlink r:id="rId33" w:history="1">
        <w:r w:rsidR="001345CB" w:rsidRPr="001345CB">
          <w:rPr>
            <w:rFonts w:ascii="Calibri" w:hAnsi="Calibri" w:cs="FrankRuehl"/>
            <w:color w:val="0000FF"/>
            <w:sz w:val="28"/>
            <w:szCs w:val="28"/>
            <w:u w:val="single"/>
            <w:rtl/>
          </w:rPr>
          <w:t xml:space="preserve">13299-02-14 </w:t>
        </w:r>
      </w:hyperlink>
      <w:r>
        <w:rPr>
          <w:rFonts w:ascii="Calibri" w:hAnsi="Calibri" w:cs="FrankRuehl" w:hint="cs"/>
          <w:sz w:val="28"/>
          <w:szCs w:val="28"/>
          <w:rtl/>
        </w:rPr>
        <w:t xml:space="preserve"> </w:t>
      </w:r>
      <w:r>
        <w:rPr>
          <w:rFonts w:ascii="Calibri" w:hAnsi="Calibri" w:cs="Miriam" w:hint="cs"/>
          <w:rtl/>
        </w:rPr>
        <w:t>מדינת ישראל נ' שמביק</w:t>
      </w:r>
      <w:r>
        <w:rPr>
          <w:rFonts w:ascii="Calibri" w:hAnsi="Calibri" w:cs="FrankRuehl" w:hint="cs"/>
          <w:sz w:val="28"/>
          <w:szCs w:val="28"/>
          <w:rtl/>
        </w:rPr>
        <w:t xml:space="preserve"> (מיום 10.4.2014)). אכן, ניתן לאתר בפסיקה מקרים בהם בתי-המשפט ראו להסתפק בעונש מאסר בפועל לריצוי בדרך של עבודות שירות, והסנגור הפנה בטיעוניו לאסמכתאות פסיקתיות כאלה. עם זאת, מדובר במקרים בהם כמות הסם שנמכרה הייתה קטנה והתמורה הכספית הכוללת לא עלתה על מספר בודד של מאות ₪ ו/ או בנאשמים צעירים חסרי עבר פלילי ו/או בנאשמים שעברוּ תהליך טיפולי-שיקומי משמעותי.</w:t>
      </w:r>
    </w:p>
    <w:p w14:paraId="6266F0A1" w14:textId="77777777" w:rsidR="00A2613E" w:rsidRDefault="00A2613E">
      <w:pPr>
        <w:spacing w:after="120" w:line="360" w:lineRule="auto"/>
        <w:jc w:val="both"/>
        <w:rPr>
          <w:rFonts w:cs="FrankRuehl"/>
          <w:sz w:val="28"/>
          <w:szCs w:val="28"/>
          <w:rtl/>
        </w:rPr>
      </w:pPr>
    </w:p>
    <w:p w14:paraId="222A290E" w14:textId="77777777" w:rsidR="00A2613E" w:rsidRDefault="00DE7AF5">
      <w:pPr>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t>בהתחשב בעקרון המנחה של ההלימה; בשים לב לפגיעה בערכים המוגנים ובעוצמתה; בהתחשב בחומרת המעשים ונסיבות ביצועם; ובהתחשב במדיניות הענישה הנוהגת; אני סבורה כי מתחמי הענישה ההולמת במקרה שלפניי הינם כדלקמן:</w:t>
      </w:r>
    </w:p>
    <w:p w14:paraId="4675CC63" w14:textId="77777777" w:rsidR="00A2613E" w:rsidRDefault="00A2613E">
      <w:pPr>
        <w:spacing w:after="120" w:line="360" w:lineRule="auto"/>
        <w:jc w:val="both"/>
        <w:rPr>
          <w:rFonts w:cs="FrankRuehl"/>
          <w:b/>
          <w:bCs/>
          <w:sz w:val="28"/>
          <w:szCs w:val="28"/>
          <w:rtl/>
        </w:rPr>
      </w:pPr>
    </w:p>
    <w:p w14:paraId="302EC4B0" w14:textId="77777777" w:rsidR="00A2613E" w:rsidRDefault="00DE7AF5">
      <w:pPr>
        <w:spacing w:after="120" w:line="360" w:lineRule="auto"/>
        <w:ind w:firstLine="720"/>
        <w:jc w:val="both"/>
        <w:rPr>
          <w:rFonts w:cs="FrankRuehl"/>
          <w:sz w:val="28"/>
          <w:szCs w:val="28"/>
          <w:rtl/>
        </w:rPr>
      </w:pPr>
      <w:r>
        <w:rPr>
          <w:rFonts w:cs="FrankRuehl" w:hint="cs"/>
          <w:b/>
          <w:bCs/>
          <w:sz w:val="28"/>
          <w:szCs w:val="28"/>
          <w:rtl/>
        </w:rPr>
        <w:t>בהתאם ל"מבחן הצורני-עובדתי" (לפיו עסקינן ב"מספר אירועים")</w:t>
      </w:r>
      <w:r>
        <w:rPr>
          <w:rFonts w:cs="FrankRuehl" w:hint="cs"/>
          <w:sz w:val="28"/>
          <w:szCs w:val="28"/>
          <w:rtl/>
        </w:rPr>
        <w:t>:</w:t>
      </w:r>
    </w:p>
    <w:p w14:paraId="0D3C5BCC" w14:textId="77777777" w:rsidR="00A2613E" w:rsidRDefault="00DE7AF5">
      <w:pPr>
        <w:spacing w:after="120" w:line="360" w:lineRule="auto"/>
        <w:ind w:firstLine="720"/>
        <w:jc w:val="both"/>
        <w:rPr>
          <w:rFonts w:cs="FrankRuehl"/>
          <w:sz w:val="28"/>
          <w:szCs w:val="28"/>
          <w:rtl/>
        </w:rPr>
      </w:pPr>
      <w:r>
        <w:rPr>
          <w:rFonts w:cs="FrankRuehl" w:hint="cs"/>
          <w:sz w:val="28"/>
          <w:szCs w:val="28"/>
          <w:rtl/>
        </w:rPr>
        <w:t xml:space="preserve">מתחם העונש ההולם בגין העבירה של סחר בסמים נשוא האישום הראשון (סחר בחשיש במשקל של כ- </w:t>
      </w:r>
      <w:smartTag w:uri="urn:schemas-microsoft-com:office:smarttags" w:element="metricconverter">
        <w:smartTagPr>
          <w:attr w:name="ProductID" w:val="38 גרם"/>
        </w:smartTagPr>
        <w:r>
          <w:rPr>
            <w:rFonts w:cs="FrankRuehl" w:hint="cs"/>
            <w:sz w:val="28"/>
            <w:szCs w:val="28"/>
            <w:rtl/>
          </w:rPr>
          <w:t>38 גרם</w:t>
        </w:r>
      </w:smartTag>
      <w:r>
        <w:rPr>
          <w:rFonts w:cs="FrankRuehl" w:hint="cs"/>
          <w:sz w:val="28"/>
          <w:szCs w:val="28"/>
          <w:rtl/>
        </w:rPr>
        <w:t xml:space="preserve"> נטו תמורת 2,300 ₪, כאשר הסם הנמכר היה מחולק לאצבעות עטופות וכאשר היוזמה הראשונית למכירה הייתה של הנאשם), נע ממספר בודד של חודשי מאסר בפועל ועד 15 חודשי מאסר בפועל.</w:t>
      </w:r>
    </w:p>
    <w:p w14:paraId="5F9A5C00" w14:textId="77777777" w:rsidR="00A2613E" w:rsidRDefault="00A2613E">
      <w:pPr>
        <w:spacing w:after="120" w:line="360" w:lineRule="auto"/>
        <w:jc w:val="both"/>
        <w:rPr>
          <w:rFonts w:cs="FrankRuehl"/>
          <w:sz w:val="28"/>
          <w:szCs w:val="28"/>
          <w:rtl/>
        </w:rPr>
      </w:pPr>
    </w:p>
    <w:p w14:paraId="3FC8635C" w14:textId="77777777" w:rsidR="00A2613E" w:rsidRDefault="00DE7AF5">
      <w:pPr>
        <w:spacing w:after="120" w:line="360" w:lineRule="auto"/>
        <w:ind w:firstLine="720"/>
        <w:jc w:val="both"/>
        <w:rPr>
          <w:rFonts w:cs="FrankRuehl"/>
          <w:sz w:val="28"/>
          <w:szCs w:val="28"/>
          <w:rtl/>
        </w:rPr>
      </w:pPr>
      <w:r>
        <w:rPr>
          <w:rFonts w:cs="FrankRuehl" w:hint="cs"/>
          <w:sz w:val="28"/>
          <w:szCs w:val="28"/>
          <w:rtl/>
        </w:rPr>
        <w:t xml:space="preserve">מתחם העונש ההולם בגין העבירה של סחר בסמים נשוא האישום השני (סחר בחשיש במשקל של כ- </w:t>
      </w:r>
      <w:smartTag w:uri="urn:schemas-microsoft-com:office:smarttags" w:element="metricconverter">
        <w:smartTagPr>
          <w:attr w:name="ProductID" w:val="9 גרם"/>
        </w:smartTagPr>
        <w:r>
          <w:rPr>
            <w:rFonts w:cs="FrankRuehl" w:hint="cs"/>
            <w:sz w:val="28"/>
            <w:szCs w:val="28"/>
            <w:rtl/>
          </w:rPr>
          <w:t>9 גרם</w:t>
        </w:r>
      </w:smartTag>
      <w:r>
        <w:rPr>
          <w:rFonts w:cs="FrankRuehl" w:hint="cs"/>
          <w:sz w:val="28"/>
          <w:szCs w:val="28"/>
          <w:rtl/>
        </w:rPr>
        <w:t xml:space="preserve"> נטו תמורת 800 ₪, כאשר היוזמה למכירה הייתה של הנאשם), נע ממאסר קצר בפועל ועד 12 חודשי מאסר בפועל.</w:t>
      </w:r>
    </w:p>
    <w:p w14:paraId="0598A7D4" w14:textId="77777777" w:rsidR="00A2613E" w:rsidRDefault="00A2613E">
      <w:pPr>
        <w:spacing w:after="120" w:line="360" w:lineRule="auto"/>
        <w:jc w:val="both"/>
        <w:rPr>
          <w:rFonts w:cs="FrankRuehl"/>
          <w:sz w:val="28"/>
          <w:szCs w:val="28"/>
          <w:rtl/>
        </w:rPr>
      </w:pPr>
    </w:p>
    <w:p w14:paraId="4C6B169A" w14:textId="77777777" w:rsidR="00A2613E" w:rsidRDefault="00DE7AF5">
      <w:pPr>
        <w:spacing w:after="120" w:line="360" w:lineRule="auto"/>
        <w:ind w:firstLine="720"/>
        <w:jc w:val="both"/>
        <w:rPr>
          <w:rFonts w:cs="FrankRuehl"/>
          <w:sz w:val="28"/>
          <w:szCs w:val="28"/>
          <w:rtl/>
        </w:rPr>
      </w:pPr>
      <w:r>
        <w:rPr>
          <w:rFonts w:cs="FrankRuehl" w:hint="cs"/>
          <w:b/>
          <w:bCs/>
          <w:sz w:val="28"/>
          <w:szCs w:val="28"/>
          <w:rtl/>
        </w:rPr>
        <w:t>בהתאם ל"מבחן הקשר ההדוק" (לפיו עסקינן ב"אירוע אחד" הכולל "מספר מעשים")</w:t>
      </w:r>
      <w:r>
        <w:rPr>
          <w:rFonts w:cs="FrankRuehl" w:hint="cs"/>
          <w:sz w:val="28"/>
          <w:szCs w:val="28"/>
          <w:rtl/>
        </w:rPr>
        <w:t>:</w:t>
      </w:r>
    </w:p>
    <w:p w14:paraId="434F00B0" w14:textId="77777777" w:rsidR="00A2613E" w:rsidRDefault="00DE7AF5">
      <w:pPr>
        <w:spacing w:after="120" w:line="360" w:lineRule="auto"/>
        <w:ind w:firstLine="720"/>
        <w:jc w:val="both"/>
        <w:rPr>
          <w:rFonts w:cs="FrankRuehl"/>
          <w:sz w:val="28"/>
          <w:szCs w:val="28"/>
          <w:rtl/>
        </w:rPr>
      </w:pPr>
      <w:r>
        <w:rPr>
          <w:rFonts w:cs="FrankRuehl" w:hint="cs"/>
          <w:sz w:val="28"/>
          <w:szCs w:val="28"/>
          <w:rtl/>
        </w:rPr>
        <w:t>מתחם העונש ההולם לשתי העבירות בהן הורשע הנאשם, נע ממספר בודד של חודשי מאסר בפועל ועד 18 חודשי מאסר בפועל.</w:t>
      </w:r>
    </w:p>
    <w:p w14:paraId="48DA4B9C" w14:textId="77777777" w:rsidR="00A2613E" w:rsidRDefault="00A2613E">
      <w:pPr>
        <w:spacing w:after="120" w:line="360" w:lineRule="auto"/>
        <w:ind w:firstLine="720"/>
        <w:jc w:val="both"/>
        <w:rPr>
          <w:rFonts w:cs="FrankRuehl"/>
          <w:sz w:val="28"/>
          <w:szCs w:val="28"/>
          <w:rtl/>
        </w:rPr>
      </w:pPr>
    </w:p>
    <w:p w14:paraId="79937A2F" w14:textId="77777777" w:rsidR="00A2613E" w:rsidRDefault="00DE7AF5">
      <w:pPr>
        <w:spacing w:after="120" w:line="360" w:lineRule="auto"/>
        <w:ind w:firstLine="720"/>
        <w:jc w:val="both"/>
        <w:rPr>
          <w:rFonts w:cs="FrankRuehl"/>
          <w:sz w:val="28"/>
          <w:szCs w:val="28"/>
          <w:rtl/>
        </w:rPr>
      </w:pPr>
      <w:r>
        <w:rPr>
          <w:rFonts w:cs="FrankRuehl" w:hint="cs"/>
          <w:sz w:val="28"/>
          <w:szCs w:val="28"/>
          <w:rtl/>
        </w:rPr>
        <w:t xml:space="preserve">יוער כי לא ראיתי לחרוג ממתחמים אלה לקולא או לחומרה. </w:t>
      </w:r>
    </w:p>
    <w:p w14:paraId="29C34719" w14:textId="77777777" w:rsidR="00A2613E" w:rsidRDefault="00A2613E">
      <w:pPr>
        <w:spacing w:after="120" w:line="360" w:lineRule="auto"/>
        <w:ind w:firstLine="720"/>
        <w:jc w:val="both"/>
        <w:rPr>
          <w:rFonts w:cs="FrankRuehl"/>
          <w:b/>
          <w:bCs/>
          <w:color w:val="000000"/>
          <w:sz w:val="28"/>
          <w:szCs w:val="28"/>
          <w:rtl/>
        </w:rPr>
      </w:pPr>
    </w:p>
    <w:p w14:paraId="438B64D2" w14:textId="77777777" w:rsidR="00A2613E" w:rsidRDefault="00DE7AF5">
      <w:pPr>
        <w:spacing w:after="120" w:line="360" w:lineRule="auto"/>
        <w:jc w:val="both"/>
        <w:rPr>
          <w:rtl/>
        </w:rPr>
      </w:pPr>
      <w:r>
        <w:rPr>
          <w:rFonts w:cs="FrankRuehl" w:hint="cs"/>
          <w:sz w:val="28"/>
          <w:szCs w:val="28"/>
          <w:u w:val="single"/>
          <w:rtl/>
        </w:rPr>
        <w:t>גזירת העונש המתאים בגדרי מתחמי הענישה ההולמת</w:t>
      </w:r>
    </w:p>
    <w:p w14:paraId="55A7A4DA" w14:textId="77777777" w:rsidR="00A2613E" w:rsidRDefault="00DE7AF5">
      <w:pPr>
        <w:spacing w:after="120" w:line="360" w:lineRule="auto"/>
        <w:jc w:val="both"/>
        <w:rPr>
          <w:rFonts w:cs="FrankRuehl"/>
          <w:b/>
          <w:bCs/>
          <w:sz w:val="28"/>
          <w:szCs w:val="28"/>
          <w:rtl/>
        </w:rPr>
      </w:pPr>
      <w:r>
        <w:rPr>
          <w:rFonts w:cs="FrankRuehl" w:hint="cs"/>
          <w:sz w:val="28"/>
          <w:szCs w:val="28"/>
          <w:rtl/>
        </w:rPr>
        <w:t>15.</w:t>
      </w:r>
      <w:r>
        <w:rPr>
          <w:rFonts w:cs="FrankRuehl" w:hint="cs"/>
          <w:sz w:val="28"/>
          <w:szCs w:val="28"/>
          <w:rtl/>
        </w:rPr>
        <w:tab/>
        <w:t xml:space="preserve">לצורך גזירת העונש בגדרי המתחמים שנקבעו, יש להתחשב בנסיבות שאינן קשורות בביצוע העבירות כאמוּר </w:t>
      </w:r>
      <w:hyperlink r:id="rId34" w:history="1">
        <w:r w:rsidR="006C51F3" w:rsidRPr="006C51F3">
          <w:rPr>
            <w:rFonts w:cs="FrankRuehl"/>
            <w:color w:val="0000FF"/>
            <w:sz w:val="28"/>
            <w:szCs w:val="28"/>
            <w:u w:val="single"/>
            <w:rtl/>
          </w:rPr>
          <w:t>בסעיף 40יא</w:t>
        </w:r>
      </w:hyperlink>
      <w:r>
        <w:rPr>
          <w:rFonts w:cs="FrankRuehl" w:hint="cs"/>
          <w:sz w:val="28"/>
          <w:szCs w:val="28"/>
          <w:rtl/>
        </w:rPr>
        <w:t xml:space="preserve"> ל</w:t>
      </w:r>
      <w:hyperlink r:id="rId35" w:history="1">
        <w:r w:rsidRPr="00DE7AF5">
          <w:rPr>
            <w:rFonts w:cs="FrankRuehl"/>
            <w:color w:val="0000FF"/>
            <w:sz w:val="28"/>
            <w:szCs w:val="28"/>
            <w:u w:val="single"/>
            <w:rtl/>
          </w:rPr>
          <w:t>חוק העונשין</w:t>
        </w:r>
      </w:hyperlink>
      <w:r>
        <w:rPr>
          <w:rFonts w:cs="FrankRuehl" w:hint="cs"/>
          <w:sz w:val="28"/>
          <w:szCs w:val="28"/>
          <w:rtl/>
        </w:rPr>
        <w:t>:</w:t>
      </w:r>
    </w:p>
    <w:p w14:paraId="1B6C33DC" w14:textId="77777777" w:rsidR="00A2613E" w:rsidRDefault="00A2613E">
      <w:pPr>
        <w:spacing w:after="120" w:line="360" w:lineRule="auto"/>
        <w:ind w:firstLine="720"/>
        <w:jc w:val="both"/>
        <w:rPr>
          <w:rFonts w:cs="FrankRuehl"/>
          <w:b/>
          <w:bCs/>
          <w:sz w:val="28"/>
          <w:szCs w:val="28"/>
          <w:rtl/>
        </w:rPr>
      </w:pPr>
    </w:p>
    <w:p w14:paraId="210E51A5" w14:textId="77777777" w:rsidR="00A2613E" w:rsidRDefault="00DE7AF5">
      <w:pPr>
        <w:spacing w:after="120" w:line="360" w:lineRule="auto"/>
        <w:ind w:firstLine="720"/>
        <w:jc w:val="both"/>
        <w:rPr>
          <w:rFonts w:cs="FrankRuehl"/>
          <w:sz w:val="28"/>
          <w:szCs w:val="28"/>
          <w:rtl/>
        </w:rPr>
      </w:pPr>
      <w:r>
        <w:rPr>
          <w:rFonts w:cs="FrankRuehl" w:hint="cs"/>
          <w:b/>
          <w:bCs/>
          <w:sz w:val="28"/>
          <w:szCs w:val="28"/>
          <w:rtl/>
        </w:rPr>
        <w:t>לקולא</w:t>
      </w:r>
      <w:r>
        <w:rPr>
          <w:rFonts w:cs="FrankRuehl" w:hint="cs"/>
          <w:sz w:val="28"/>
          <w:szCs w:val="28"/>
          <w:rtl/>
        </w:rPr>
        <w:t>, שקלתי את הודאתו של הנאשם, את נטילת האחריות הנלוות לכך ואת החרטה שהביע הנאשם. כמו כן, שקלתי את נסיבותיו האישיות של הנאשם, ובכללן את היותו נשוי ואב לילדים עם מצב כלכלי קשה. בנוסף, נתתי דעתי לכך שהנאשם היה עצור מאחורי סורג ובריח במשך כחודש ימים ובהמשך שהה למעלה משנה בתנאי מעצר בית מלא כך שלא יכול היה לפרנס את משפחתו. מאז ביצוע העבירות לפני כשנה וחצי ועד היום, לא הורשע הנאשם בעבירה נוספת. אוסיף כי גיליון הרישום הפלילי של הנאשם מלמד כי עד כה הנאשם לא ריצה בעברו עונש מאסר בפועל מאחורי סורג ובריח (להבדיל מעבודות שירות).</w:t>
      </w:r>
    </w:p>
    <w:p w14:paraId="3D5EEECC" w14:textId="77777777" w:rsidR="00A2613E" w:rsidRDefault="00A2613E">
      <w:pPr>
        <w:spacing w:after="120" w:line="360" w:lineRule="auto"/>
        <w:ind w:firstLine="720"/>
        <w:jc w:val="both"/>
        <w:rPr>
          <w:rFonts w:cs="FrankRuehl"/>
          <w:b/>
          <w:bCs/>
          <w:sz w:val="28"/>
          <w:szCs w:val="28"/>
          <w:rtl/>
        </w:rPr>
      </w:pPr>
    </w:p>
    <w:p w14:paraId="7DFBE95D" w14:textId="77777777" w:rsidR="00A2613E" w:rsidRDefault="00DE7AF5">
      <w:pPr>
        <w:spacing w:after="120" w:line="360" w:lineRule="auto"/>
        <w:ind w:firstLine="720"/>
        <w:jc w:val="both"/>
        <w:rPr>
          <w:rFonts w:cs="FrankRuehl"/>
          <w:sz w:val="28"/>
          <w:szCs w:val="28"/>
          <w:rtl/>
        </w:rPr>
      </w:pPr>
      <w:r>
        <w:rPr>
          <w:rFonts w:cs="FrankRuehl" w:hint="cs"/>
          <w:b/>
          <w:bCs/>
          <w:sz w:val="28"/>
          <w:szCs w:val="28"/>
          <w:rtl/>
        </w:rPr>
        <w:t>לחובת הנאשם,</w:t>
      </w:r>
      <w:r>
        <w:rPr>
          <w:rFonts w:cs="FrankRuehl" w:hint="cs"/>
          <w:sz w:val="28"/>
          <w:szCs w:val="28"/>
          <w:rtl/>
        </w:rPr>
        <w:t xml:space="preserve"> נזקפת חוּמרת העבירות והצורך להרתיע את היחיד ואת הרבים מפני ביצוען. בנוסף, ניתן משקל לעברו הפלילי של הנאשם, הכולל שתי הרשעות קודמות ושלוש אי-הרשעות קודמות בעבירות אלימות ורכוש. יצוין כי בגין הרשעתו האחרונה של הנאשם משנת 2008 בגין עבירות של החזקת סכין ותגרה במקום ציבורי, נגזרו עליו 6 חודשי מאסר בפועל לריצוי בדרך של עבודות שירות. ודוק, נתתי דעתי לכך שהרשעותיו הקודמות של הנאשם אינן בעבירות סמים וכן לכך שהעבירה האחרונה בגינה הורשע הנאשם בוצעה בשנת 2005. יחד עם זאת, ראוי לציין כי עסקינן בנאשם כבן 30 שכבר הסתבך בעברו מספר פעמים בפלילים. בהתחשב בכך, ניתן להניח כי הנאשם הבין היטב את משמעות מעשיו, ואף-על-פי-כן לא נמנע מביצועם. אוסיף כי מהתסקיר לא עולה בעיית התמכרות לסמים ואף לא הוצעה תוכנית טיפולית כלשהיא (צו המבחן עליו המליץ שירות המבחן נושא אופי פיקוחי בלבד). </w:t>
      </w:r>
    </w:p>
    <w:p w14:paraId="44348C25" w14:textId="77777777" w:rsidR="00A2613E" w:rsidRDefault="00A2613E">
      <w:pPr>
        <w:spacing w:after="120" w:line="360" w:lineRule="auto"/>
        <w:jc w:val="both"/>
        <w:rPr>
          <w:rFonts w:cs="FrankRuehl"/>
          <w:sz w:val="28"/>
          <w:szCs w:val="28"/>
          <w:rtl/>
        </w:rPr>
      </w:pPr>
    </w:p>
    <w:p w14:paraId="2EF14EEB" w14:textId="77777777" w:rsidR="00A2613E" w:rsidRDefault="00DE7AF5">
      <w:pPr>
        <w:spacing w:after="120" w:line="360" w:lineRule="auto"/>
        <w:jc w:val="both"/>
        <w:rPr>
          <w:rFonts w:cs="FrankRuehl"/>
          <w:sz w:val="28"/>
          <w:szCs w:val="28"/>
          <w:rtl/>
        </w:rPr>
      </w:pPr>
      <w:r>
        <w:rPr>
          <w:rFonts w:cs="FrankRuehl" w:hint="cs"/>
          <w:sz w:val="28"/>
          <w:szCs w:val="28"/>
          <w:rtl/>
        </w:rPr>
        <w:t>16.</w:t>
      </w:r>
      <w:r>
        <w:rPr>
          <w:rFonts w:cs="FrankRuehl" w:hint="cs"/>
          <w:sz w:val="28"/>
          <w:szCs w:val="28"/>
          <w:rtl/>
        </w:rPr>
        <w:tab/>
        <w:t xml:space="preserve">באיזון בין השיקולים, אני סבורה כי לא ניתן להסתפק בעניינו של הנאשם בעונש של עבודות שירות. עם זאת, ראיתי להתחשב במכלול הנסיבות לקולא, לרבות התקופה הארוכה בה שהה הנאשם במעצר בית מלא, וזאת בקביעת משך המאסר בפועל לריצוי ממש שאטיל על הנאשם. </w:t>
      </w:r>
    </w:p>
    <w:p w14:paraId="7A6D614A" w14:textId="77777777" w:rsidR="00A2613E" w:rsidRDefault="00A2613E">
      <w:pPr>
        <w:spacing w:after="120" w:line="360" w:lineRule="auto"/>
        <w:jc w:val="both"/>
        <w:rPr>
          <w:rFonts w:cs="FrankRuehl"/>
          <w:sz w:val="28"/>
          <w:szCs w:val="28"/>
          <w:rtl/>
        </w:rPr>
      </w:pPr>
    </w:p>
    <w:p w14:paraId="513A3E81" w14:textId="77777777" w:rsidR="00A2613E" w:rsidRDefault="00DE7AF5">
      <w:pPr>
        <w:spacing w:after="120" w:line="360" w:lineRule="auto"/>
        <w:jc w:val="both"/>
        <w:rPr>
          <w:rtl/>
        </w:rPr>
      </w:pPr>
      <w:r>
        <w:rPr>
          <w:rFonts w:cs="FrankRuehl" w:hint="cs"/>
          <w:sz w:val="28"/>
          <w:szCs w:val="28"/>
          <w:rtl/>
        </w:rPr>
        <w:tab/>
        <w:t>ברגיל, נוכח התמורה הכספית ששולמה לנאשם והמניע הכלכלי שהוביל לביצוע העבירות, היה מקום לחייב את הנאשם גם בקנס כספי. עם זאת, נוכח מצבו הכלכלי הלא פשוט של הנאשם; נוכח העובדה כי אינו עובד מזה תקופה ארוכה עקב תנאי השחרור המגבילים; נוכח עונש המאסר בפועל לריצוי ממש שייגזר עליו; ונוכח החילוט המוסכם של הקטנוע - נמנעתי מהטלת קנס כספי.</w:t>
      </w:r>
      <w:r>
        <w:rPr>
          <w:rFonts w:hint="cs"/>
          <w:rtl/>
        </w:rPr>
        <w:t xml:space="preserve"> </w:t>
      </w:r>
    </w:p>
    <w:p w14:paraId="427CC6FC" w14:textId="77777777" w:rsidR="00A2613E" w:rsidRDefault="00A2613E">
      <w:pPr>
        <w:spacing w:after="120" w:line="360" w:lineRule="auto"/>
        <w:jc w:val="both"/>
        <w:rPr>
          <w:rFonts w:cs="FrankRuehl"/>
          <w:sz w:val="28"/>
          <w:szCs w:val="28"/>
          <w:u w:val="single"/>
          <w:rtl/>
        </w:rPr>
      </w:pPr>
    </w:p>
    <w:p w14:paraId="47EA8F82" w14:textId="77777777" w:rsidR="00A2613E" w:rsidRDefault="00DE7AF5">
      <w:pPr>
        <w:spacing w:after="120" w:line="360" w:lineRule="auto"/>
        <w:jc w:val="both"/>
        <w:rPr>
          <w:rFonts w:cs="FrankRuehl"/>
          <w:sz w:val="28"/>
          <w:szCs w:val="28"/>
          <w:rtl/>
        </w:rPr>
      </w:pPr>
      <w:r>
        <w:rPr>
          <w:rFonts w:cs="FrankRuehl" w:hint="cs"/>
          <w:sz w:val="28"/>
          <w:szCs w:val="28"/>
          <w:rtl/>
        </w:rPr>
        <w:tab/>
        <w:t xml:space="preserve">בסיום הדברים אעיר כי בא-כוח המאשימה עתר להכריז על הנאשם כסוחר סמים. בקשה זו הועלתה באיחור שכן בהתאם </w:t>
      </w:r>
      <w:hyperlink r:id="rId36" w:history="1">
        <w:r w:rsidR="006C51F3" w:rsidRPr="006C51F3">
          <w:rPr>
            <w:rFonts w:cs="FrankRuehl"/>
            <w:color w:val="0000FF"/>
            <w:sz w:val="28"/>
            <w:szCs w:val="28"/>
            <w:u w:val="single"/>
            <w:rtl/>
          </w:rPr>
          <w:t>לסעיף 36א(ב)</w:t>
        </w:r>
      </w:hyperlink>
      <w:r>
        <w:rPr>
          <w:rFonts w:cs="FrankRuehl" w:hint="cs"/>
          <w:sz w:val="28"/>
          <w:szCs w:val="28"/>
          <w:rtl/>
        </w:rPr>
        <w:t xml:space="preserve"> ל</w:t>
      </w:r>
      <w:hyperlink r:id="rId37" w:history="1">
        <w:r w:rsidRPr="00DE7AF5">
          <w:rPr>
            <w:rFonts w:cs="FrankRuehl"/>
            <w:color w:val="0000FF"/>
            <w:sz w:val="28"/>
            <w:szCs w:val="28"/>
            <w:u w:val="single"/>
            <w:rtl/>
          </w:rPr>
          <w:t>פקודת הסמים המסוכנים</w:t>
        </w:r>
      </w:hyperlink>
      <w:r>
        <w:rPr>
          <w:rFonts w:cs="FrankRuehl" w:hint="cs"/>
          <w:sz w:val="28"/>
          <w:szCs w:val="28"/>
          <w:rtl/>
        </w:rPr>
        <w:t>, היה על התובע לבקש זאת עובר למתן הכרעת-הדין. אינני מוצאת הצדקה ממשית להיזקק כעת לבקשה מאוחרת זו, בין היתר בשים לב לחילוט הקטנוע בהסכמת ההגנה, ובהעדר רכוש אחר שהמאשימה עותרת לחילוטו.</w:t>
      </w:r>
    </w:p>
    <w:p w14:paraId="0C903F87" w14:textId="77777777" w:rsidR="00A2613E" w:rsidRDefault="00A2613E">
      <w:pPr>
        <w:spacing w:after="120" w:line="360" w:lineRule="auto"/>
        <w:jc w:val="both"/>
        <w:rPr>
          <w:rFonts w:cs="FrankRuehl"/>
          <w:sz w:val="28"/>
          <w:szCs w:val="28"/>
          <w:rtl/>
        </w:rPr>
      </w:pPr>
    </w:p>
    <w:p w14:paraId="14E1D498" w14:textId="77777777" w:rsidR="00A2613E" w:rsidRDefault="00DE7AF5">
      <w:pPr>
        <w:spacing w:after="120" w:line="360" w:lineRule="auto"/>
        <w:jc w:val="both"/>
        <w:rPr>
          <w:rtl/>
        </w:rPr>
      </w:pPr>
      <w:r>
        <w:rPr>
          <w:rFonts w:cs="FrankRuehl" w:hint="cs"/>
          <w:sz w:val="28"/>
          <w:szCs w:val="28"/>
          <w:u w:val="single"/>
          <w:rtl/>
        </w:rPr>
        <w:t>סוף דבר</w:t>
      </w:r>
    </w:p>
    <w:p w14:paraId="36A587B0" w14:textId="77777777" w:rsidR="00A2613E" w:rsidRDefault="00DE7AF5">
      <w:pPr>
        <w:spacing w:after="120" w:line="360" w:lineRule="auto"/>
        <w:jc w:val="both"/>
        <w:rPr>
          <w:rtl/>
        </w:rPr>
      </w:pPr>
      <w:r>
        <w:rPr>
          <w:rFonts w:cs="FrankRuehl" w:hint="cs"/>
          <w:sz w:val="28"/>
          <w:szCs w:val="28"/>
          <w:rtl/>
        </w:rPr>
        <w:t>17.</w:t>
      </w:r>
      <w:r>
        <w:rPr>
          <w:rFonts w:cs="FrankRuehl" w:hint="cs"/>
          <w:sz w:val="28"/>
          <w:szCs w:val="28"/>
          <w:rtl/>
        </w:rPr>
        <w:tab/>
        <w:t>נוכח מכלול הטעמים שפורטו, אני גוזרת על הנאשם את העונשים הבאים:</w:t>
      </w:r>
    </w:p>
    <w:p w14:paraId="075334D2" w14:textId="77777777" w:rsidR="00A2613E" w:rsidRDefault="00A2613E">
      <w:pPr>
        <w:spacing w:after="120" w:line="360" w:lineRule="auto"/>
        <w:jc w:val="both"/>
        <w:rPr>
          <w:rtl/>
        </w:rPr>
      </w:pPr>
    </w:p>
    <w:p w14:paraId="1E1E1383" w14:textId="77777777" w:rsidR="00A2613E" w:rsidRDefault="00DE7AF5">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6 חודשי מאסר בפועל ויום, בניכוי ימי מעצרו. הנאשם יתייצב לריצוי עונשו ביום 16.7.2015 עד השעה 10:00 במגרש הרוסים בירושלים.</w:t>
      </w:r>
    </w:p>
    <w:p w14:paraId="02DF5D6A" w14:textId="77777777" w:rsidR="00A2613E" w:rsidRDefault="00A2613E">
      <w:pPr>
        <w:spacing w:after="120" w:line="360" w:lineRule="auto"/>
        <w:jc w:val="both"/>
        <w:rPr>
          <w:rtl/>
        </w:rPr>
      </w:pPr>
    </w:p>
    <w:p w14:paraId="4E0F504C" w14:textId="77777777" w:rsidR="00A2613E" w:rsidRDefault="00DE7AF5">
      <w:pPr>
        <w:spacing w:after="120" w:line="360" w:lineRule="auto"/>
        <w:jc w:val="both"/>
        <w:rPr>
          <w:rtl/>
        </w:rPr>
      </w:pPr>
      <w:r>
        <w:rPr>
          <w:rFonts w:cs="FrankRuehl" w:hint="cs"/>
          <w:sz w:val="28"/>
          <w:szCs w:val="28"/>
          <w:rtl/>
        </w:rPr>
        <w:t>ב.</w:t>
      </w:r>
      <w:r>
        <w:rPr>
          <w:rFonts w:cs="FrankRuehl" w:hint="cs"/>
          <w:sz w:val="28"/>
          <w:szCs w:val="28"/>
          <w:rtl/>
        </w:rPr>
        <w:tab/>
        <w:t>מאסר על תנאי לתקופה של 7 חודשים למשך שנתיים מיום השחרור ממאסר. התנאי הוא שהנאשם לא יעבור כל עבירת סמים מסוג פשע.</w:t>
      </w:r>
    </w:p>
    <w:p w14:paraId="3C885492" w14:textId="77777777" w:rsidR="00A2613E" w:rsidRDefault="00A2613E">
      <w:pPr>
        <w:spacing w:after="120" w:line="360" w:lineRule="auto"/>
        <w:jc w:val="both"/>
        <w:rPr>
          <w:rtl/>
        </w:rPr>
      </w:pPr>
    </w:p>
    <w:p w14:paraId="5521312A" w14:textId="77777777" w:rsidR="00A2613E" w:rsidRDefault="00DE7AF5">
      <w:pPr>
        <w:spacing w:after="120" w:line="360" w:lineRule="auto"/>
        <w:jc w:val="both"/>
        <w:rPr>
          <w:rFonts w:cs="FrankRuehl"/>
          <w:sz w:val="28"/>
          <w:szCs w:val="28"/>
          <w:rtl/>
        </w:rPr>
      </w:pPr>
      <w:r>
        <w:rPr>
          <w:rFonts w:cs="FrankRuehl" w:hint="cs"/>
          <w:sz w:val="28"/>
          <w:szCs w:val="28"/>
          <w:rtl/>
        </w:rPr>
        <w:t>ג.</w:t>
      </w:r>
      <w:r>
        <w:rPr>
          <w:rFonts w:cs="FrankRuehl" w:hint="cs"/>
          <w:sz w:val="28"/>
          <w:szCs w:val="28"/>
          <w:rtl/>
        </w:rPr>
        <w:tab/>
        <w:t xml:space="preserve">מאסר על תנאי לתקופה של 3 חודשים למשך שנתיים מיום השחרור ממאסר. התנאי הוא שהנאשם לא יעבור כל עבירת סמים מסוג עוון. </w:t>
      </w:r>
    </w:p>
    <w:p w14:paraId="75680713" w14:textId="77777777" w:rsidR="00A2613E" w:rsidRDefault="00A2613E">
      <w:pPr>
        <w:spacing w:after="120" w:line="360" w:lineRule="auto"/>
        <w:jc w:val="both"/>
        <w:rPr>
          <w:rFonts w:cs="FrankRuehl"/>
          <w:sz w:val="28"/>
          <w:szCs w:val="28"/>
          <w:rtl/>
        </w:rPr>
      </w:pPr>
    </w:p>
    <w:p w14:paraId="32E4568B" w14:textId="77777777" w:rsidR="00A2613E" w:rsidRDefault="00DE7AF5">
      <w:pPr>
        <w:spacing w:after="120" w:line="360" w:lineRule="auto"/>
        <w:jc w:val="both"/>
        <w:rPr>
          <w:rtl/>
        </w:rPr>
      </w:pPr>
      <w:r>
        <w:rPr>
          <w:rFonts w:cs="FrankRuehl" w:hint="cs"/>
          <w:sz w:val="28"/>
          <w:szCs w:val="28"/>
          <w:rtl/>
        </w:rPr>
        <w:t>ד.</w:t>
      </w:r>
      <w:r>
        <w:rPr>
          <w:rFonts w:cs="FrankRuehl" w:hint="cs"/>
          <w:sz w:val="28"/>
          <w:szCs w:val="28"/>
          <w:rtl/>
        </w:rPr>
        <w:tab/>
        <w:t xml:space="preserve">בהסכמת הנאשם, הקטנוע ל.ז. 91-576-67 יחולט לטובת אוצר המדינה. נרשם בזאת שהנאשם מצהיר שהקטנוע שבוע, הוא לא יכול להזיזו והמדינה מוזמנת לקחתו. </w:t>
      </w:r>
    </w:p>
    <w:p w14:paraId="7CD8E909" w14:textId="77777777" w:rsidR="00A2613E" w:rsidRDefault="00A2613E">
      <w:pPr>
        <w:spacing w:after="120" w:line="360" w:lineRule="auto"/>
        <w:jc w:val="both"/>
      </w:pPr>
    </w:p>
    <w:p w14:paraId="2870F69B" w14:textId="77777777" w:rsidR="00A2613E" w:rsidRDefault="00DE7AF5">
      <w:pPr>
        <w:spacing w:after="120" w:line="360" w:lineRule="auto"/>
        <w:jc w:val="both"/>
        <w:rPr>
          <w:rFonts w:cs="FrankRuehl"/>
          <w:sz w:val="28"/>
          <w:szCs w:val="28"/>
          <w:rtl/>
        </w:rPr>
      </w:pPr>
      <w:r>
        <w:rPr>
          <w:rFonts w:cs="FrankRuehl" w:hint="cs"/>
          <w:sz w:val="28"/>
          <w:szCs w:val="28"/>
          <w:rtl/>
        </w:rPr>
        <w:t>ה.</w:t>
      </w:r>
      <w:r>
        <w:rPr>
          <w:rFonts w:cs="FrankRuehl" w:hint="cs"/>
          <w:sz w:val="28"/>
          <w:szCs w:val="28"/>
          <w:rtl/>
        </w:rPr>
        <w:tab/>
        <w:t xml:space="preserve">ככל שנתפסו סמים, יש להשמידם. </w:t>
      </w:r>
    </w:p>
    <w:p w14:paraId="10B1675C" w14:textId="77777777" w:rsidR="00A2613E" w:rsidRDefault="00A2613E">
      <w:pPr>
        <w:spacing w:after="120" w:line="360" w:lineRule="auto"/>
        <w:jc w:val="both"/>
        <w:rPr>
          <w:rFonts w:cs="FrankRuehl"/>
          <w:sz w:val="28"/>
          <w:szCs w:val="28"/>
          <w:rtl/>
        </w:rPr>
      </w:pPr>
    </w:p>
    <w:p w14:paraId="00D7001B" w14:textId="77777777" w:rsidR="00A2613E" w:rsidRDefault="00DE7AF5">
      <w:pPr>
        <w:spacing w:after="120" w:line="360" w:lineRule="auto"/>
        <w:jc w:val="both"/>
        <w:rPr>
          <w:rtl/>
        </w:rPr>
      </w:pPr>
      <w:r>
        <w:rPr>
          <w:rFonts w:cs="FrankRuehl" w:hint="cs"/>
          <w:sz w:val="28"/>
          <w:szCs w:val="28"/>
          <w:rtl/>
        </w:rPr>
        <w:t>ו.</w:t>
      </w:r>
      <w:r>
        <w:rPr>
          <w:rFonts w:cs="FrankRuehl" w:hint="cs"/>
          <w:sz w:val="28"/>
          <w:szCs w:val="28"/>
          <w:rtl/>
        </w:rPr>
        <w:tab/>
        <w:t>ככל שקיימת הפקדה בתיק ובהעדר מניעה שבדין, יש להעבירה לידי עו"ד רמי עותמאן החל מיום 19.7.2015 בכפוף לאישור התייצבות למאסר.</w:t>
      </w:r>
    </w:p>
    <w:p w14:paraId="532BAA74" w14:textId="77777777" w:rsidR="00A2613E" w:rsidRDefault="00A2613E">
      <w:pPr>
        <w:spacing w:after="120" w:line="360" w:lineRule="auto"/>
        <w:jc w:val="both"/>
        <w:rPr>
          <w:rtl/>
        </w:rPr>
      </w:pPr>
    </w:p>
    <w:p w14:paraId="4D370925" w14:textId="77777777" w:rsidR="00A2613E" w:rsidRDefault="00DE7AF5">
      <w:pPr>
        <w:spacing w:line="360" w:lineRule="auto"/>
        <w:jc w:val="both"/>
        <w:rPr>
          <w:rFonts w:cs="FrankRuehl"/>
          <w:b/>
          <w:bCs/>
          <w:sz w:val="28"/>
          <w:szCs w:val="28"/>
          <w:rtl/>
        </w:rPr>
      </w:pPr>
      <w:r>
        <w:rPr>
          <w:rFonts w:hint="cs"/>
          <w:rtl/>
        </w:rPr>
        <w:tab/>
      </w:r>
      <w:r>
        <w:rPr>
          <w:rFonts w:cs="FrankRuehl" w:hint="cs"/>
          <w:b/>
          <w:bCs/>
          <w:sz w:val="28"/>
          <w:szCs w:val="28"/>
          <w:rtl/>
        </w:rPr>
        <w:t>המזכירות תמציא העתק פרוטוקול זה לשירות המבחן למבוגרים.</w:t>
      </w:r>
    </w:p>
    <w:p w14:paraId="5366B00D" w14:textId="77777777" w:rsidR="00A2613E" w:rsidRPr="00DE7AF5" w:rsidRDefault="00DE7AF5">
      <w:pPr>
        <w:spacing w:line="360" w:lineRule="auto"/>
        <w:ind w:firstLine="720"/>
        <w:jc w:val="both"/>
        <w:rPr>
          <w:rFonts w:cs="FrankRuehl"/>
          <w:b/>
          <w:bCs/>
          <w:color w:val="FFFFFF"/>
          <w:sz w:val="2"/>
          <w:szCs w:val="2"/>
          <w:rtl/>
        </w:rPr>
      </w:pPr>
      <w:r w:rsidRPr="00DE7AF5">
        <w:rPr>
          <w:rFonts w:cs="FrankRuehl"/>
          <w:b/>
          <w:bCs/>
          <w:color w:val="FFFFFF"/>
          <w:sz w:val="2"/>
          <w:szCs w:val="2"/>
          <w:rtl/>
        </w:rPr>
        <w:t>5129371</w:t>
      </w:r>
    </w:p>
    <w:p w14:paraId="257CB3DF" w14:textId="77777777" w:rsidR="00A2613E" w:rsidRDefault="00DE7AF5">
      <w:pPr>
        <w:spacing w:after="160" w:line="254" w:lineRule="auto"/>
        <w:ind w:firstLine="720"/>
        <w:rPr>
          <w:rFonts w:ascii="Calibri" w:hAnsi="Calibri" w:cs="Arial"/>
          <w:sz w:val="22"/>
          <w:szCs w:val="22"/>
          <w:rtl/>
        </w:rPr>
      </w:pPr>
      <w:r w:rsidRPr="00DE7AF5">
        <w:rPr>
          <w:rFonts w:cs="FrankRuehl"/>
          <w:b/>
          <w:bCs/>
          <w:color w:val="FFFFFF"/>
          <w:sz w:val="2"/>
          <w:szCs w:val="2"/>
          <w:rtl/>
        </w:rPr>
        <w:t>54678313</w:t>
      </w:r>
      <w:r>
        <w:rPr>
          <w:rFonts w:cs="FrankRuehl" w:hint="cs"/>
          <w:b/>
          <w:bCs/>
          <w:sz w:val="28"/>
          <w:szCs w:val="28"/>
          <w:rtl/>
        </w:rPr>
        <w:t>זכות ערעור לבית המשפט המחוזי תוך 45 ימים מהיום.</w:t>
      </w:r>
    </w:p>
    <w:p w14:paraId="3C0D40FD" w14:textId="77777777" w:rsidR="00A2613E" w:rsidRDefault="00A2613E">
      <w:pPr>
        <w:spacing w:line="480" w:lineRule="auto"/>
        <w:rPr>
          <w:rFonts w:cs="FrankRuehl"/>
          <w:sz w:val="28"/>
          <w:szCs w:val="28"/>
          <w:rtl/>
        </w:rPr>
      </w:pPr>
    </w:p>
    <w:p w14:paraId="6382EE9E" w14:textId="77777777" w:rsidR="00A2613E" w:rsidRDefault="00DE7AF5">
      <w:pPr>
        <w:rPr>
          <w:rFonts w:cs="FrankRuehl"/>
          <w:sz w:val="28"/>
          <w:szCs w:val="28"/>
          <w:rtl/>
        </w:rPr>
      </w:pPr>
      <w:r>
        <w:rPr>
          <w:rFonts w:ascii="Arial" w:hAnsi="Arial" w:cs="FrankRuehl"/>
          <w:sz w:val="28"/>
          <w:szCs w:val="28"/>
          <w:rtl/>
        </w:rPr>
        <w:t xml:space="preserve">ניתן היום, כ"ה תמוז תשע"ה, 12 יולי 2015, במעמד הצדדים. </w:t>
      </w:r>
    </w:p>
    <w:p w14:paraId="310912E5" w14:textId="77777777" w:rsidR="00A2613E" w:rsidRDefault="00A2613E">
      <w:pPr>
        <w:jc w:val="right"/>
      </w:pPr>
    </w:p>
    <w:p w14:paraId="44269975" w14:textId="77777777" w:rsidR="00A2613E" w:rsidRDefault="00A2613E">
      <w:pPr>
        <w:jc w:val="right"/>
        <w:rPr>
          <w:rFonts w:ascii="Arial" w:hAnsi="Arial" w:cs="FrankRuehl"/>
          <w:sz w:val="28"/>
          <w:szCs w:val="28"/>
          <w:rtl/>
        </w:rPr>
      </w:pPr>
    </w:p>
    <w:p w14:paraId="17D9F52C" w14:textId="77777777" w:rsidR="00DE7AF5" w:rsidRPr="00DE7AF5" w:rsidRDefault="00DE7AF5" w:rsidP="00DE7AF5">
      <w:pPr>
        <w:keepNext/>
        <w:rPr>
          <w:rFonts w:ascii="David" w:hAnsi="David"/>
          <w:color w:val="000000"/>
          <w:sz w:val="22"/>
          <w:szCs w:val="22"/>
          <w:rtl/>
        </w:rPr>
      </w:pPr>
    </w:p>
    <w:p w14:paraId="1F9F6065" w14:textId="77777777" w:rsidR="00DE7AF5" w:rsidRPr="00DE7AF5" w:rsidRDefault="00DE7AF5" w:rsidP="00DE7AF5">
      <w:pPr>
        <w:keepNext/>
        <w:rPr>
          <w:rFonts w:ascii="David" w:hAnsi="David"/>
          <w:color w:val="000000"/>
          <w:sz w:val="22"/>
          <w:szCs w:val="22"/>
          <w:rtl/>
        </w:rPr>
      </w:pPr>
      <w:r w:rsidRPr="00DE7AF5">
        <w:rPr>
          <w:rFonts w:ascii="David" w:hAnsi="David"/>
          <w:color w:val="000000"/>
          <w:sz w:val="22"/>
          <w:szCs w:val="22"/>
          <w:rtl/>
        </w:rPr>
        <w:t>דנה כהן לקח 54678313</w:t>
      </w:r>
    </w:p>
    <w:p w14:paraId="4041BA23" w14:textId="77777777" w:rsidR="00DE7AF5" w:rsidRDefault="00DE7AF5" w:rsidP="00DE7AF5">
      <w:r w:rsidRPr="00DE7AF5">
        <w:rPr>
          <w:color w:val="000000"/>
          <w:rtl/>
        </w:rPr>
        <w:t>נוסח מסמך זה כפוף לשינויי ניסוח ועריכה</w:t>
      </w:r>
    </w:p>
    <w:p w14:paraId="348EBA71" w14:textId="77777777" w:rsidR="00DE7AF5" w:rsidRDefault="00DE7AF5" w:rsidP="00DE7AF5">
      <w:pPr>
        <w:rPr>
          <w:rtl/>
        </w:rPr>
      </w:pPr>
    </w:p>
    <w:p w14:paraId="62933FD7" w14:textId="77777777" w:rsidR="00DE7AF5" w:rsidRDefault="00DE7AF5" w:rsidP="00DE7AF5">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604FD30" w14:textId="77777777" w:rsidR="00A2613E" w:rsidRDefault="00A2613E" w:rsidP="00DE7AF5">
      <w:pPr>
        <w:jc w:val="center"/>
        <w:rPr>
          <w:rFonts w:hint="cs"/>
          <w:color w:val="0000FF"/>
          <w:u w:val="single"/>
          <w:rtl/>
        </w:rPr>
      </w:pPr>
    </w:p>
    <w:p w14:paraId="4871EB5C" w14:textId="77777777" w:rsidR="001345CB" w:rsidRDefault="001345CB" w:rsidP="00DE7AF5">
      <w:pPr>
        <w:jc w:val="center"/>
        <w:rPr>
          <w:rFonts w:hint="cs"/>
          <w:color w:val="0000FF"/>
          <w:u w:val="single"/>
          <w:rtl/>
        </w:rPr>
      </w:pPr>
    </w:p>
    <w:p w14:paraId="555F08DB" w14:textId="77777777" w:rsidR="001345CB" w:rsidRPr="00DE7AF5" w:rsidRDefault="001345CB" w:rsidP="00DE7AF5">
      <w:pPr>
        <w:jc w:val="center"/>
        <w:rPr>
          <w:color w:val="0000FF"/>
          <w:u w:val="single"/>
        </w:rPr>
      </w:pPr>
    </w:p>
    <w:sectPr w:rsidR="001345CB" w:rsidRPr="00DE7AF5" w:rsidSect="00DE7AF5">
      <w:headerReference w:type="even" r:id="rId39"/>
      <w:headerReference w:type="default" r:id="rId40"/>
      <w:footerReference w:type="even" r:id="rId41"/>
      <w:footerReference w:type="default" r:id="rId42"/>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1BE62" w14:textId="77777777" w:rsidR="009E17BE" w:rsidRDefault="009E17BE">
      <w:r>
        <w:separator/>
      </w:r>
    </w:p>
  </w:endnote>
  <w:endnote w:type="continuationSeparator" w:id="0">
    <w:p w14:paraId="0EEDB6C6" w14:textId="77777777" w:rsidR="009E17BE" w:rsidRDefault="009E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CC283" w14:textId="77777777" w:rsidR="009E17BE" w:rsidRDefault="009E17BE" w:rsidP="00DE7AF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4F0F47" w14:textId="77777777" w:rsidR="009E17BE" w:rsidRPr="00DE7AF5" w:rsidRDefault="009E17BE" w:rsidP="00DE7AF5">
    <w:pPr>
      <w:pStyle w:val="a4"/>
      <w:pBdr>
        <w:top w:val="single" w:sz="4" w:space="1" w:color="auto"/>
        <w:between w:val="single" w:sz="4" w:space="0" w:color="auto"/>
      </w:pBdr>
      <w:spacing w:after="60"/>
      <w:jc w:val="center"/>
      <w:rPr>
        <w:rFonts w:ascii="FrankRuehl" w:hAnsi="FrankRuehl" w:cs="FrankRuehl"/>
        <w:color w:val="000000"/>
      </w:rPr>
    </w:pPr>
    <w:r w:rsidRPr="00DE7A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C2A86" w14:textId="77777777" w:rsidR="009E17BE" w:rsidRDefault="009E17BE" w:rsidP="00DE7AF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01BD">
      <w:rPr>
        <w:rFonts w:ascii="FrankRuehl" w:hAnsi="FrankRuehl" w:cs="FrankRuehl"/>
        <w:noProof/>
        <w:rtl/>
      </w:rPr>
      <w:t>1</w:t>
    </w:r>
    <w:r>
      <w:rPr>
        <w:rFonts w:ascii="FrankRuehl" w:hAnsi="FrankRuehl" w:cs="FrankRuehl"/>
        <w:rtl/>
      </w:rPr>
      <w:fldChar w:fldCharType="end"/>
    </w:r>
  </w:p>
  <w:p w14:paraId="61F80CB4" w14:textId="77777777" w:rsidR="009E17BE" w:rsidRPr="00DE7AF5" w:rsidRDefault="009E17BE" w:rsidP="00DE7AF5">
    <w:pPr>
      <w:pStyle w:val="a4"/>
      <w:pBdr>
        <w:top w:val="single" w:sz="4" w:space="1" w:color="auto"/>
        <w:between w:val="single" w:sz="4" w:space="0" w:color="auto"/>
      </w:pBdr>
      <w:spacing w:after="60"/>
      <w:jc w:val="center"/>
      <w:rPr>
        <w:rFonts w:ascii="FrankRuehl" w:hAnsi="FrankRuehl" w:cs="FrankRuehl"/>
        <w:color w:val="000000"/>
      </w:rPr>
    </w:pPr>
    <w:r w:rsidRPr="00DE7AF5">
      <w:rPr>
        <w:rFonts w:ascii="FrankRuehl" w:hAnsi="FrankRuehl" w:cs="FrankRuehl"/>
        <w:color w:val="000000"/>
      </w:rPr>
      <w:pict w14:anchorId="370F5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A30DB" w14:textId="77777777" w:rsidR="009E17BE" w:rsidRDefault="009E17BE">
      <w:r>
        <w:separator/>
      </w:r>
    </w:p>
  </w:footnote>
  <w:footnote w:type="continuationSeparator" w:id="0">
    <w:p w14:paraId="05F824DF" w14:textId="77777777" w:rsidR="009E17BE" w:rsidRDefault="009E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F69DB" w14:textId="77777777" w:rsidR="009E17BE" w:rsidRPr="00DE7AF5" w:rsidRDefault="009E17BE" w:rsidP="00DE7A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9620-04-14</w:t>
    </w:r>
    <w:r>
      <w:rPr>
        <w:rFonts w:ascii="David" w:hAnsi="David"/>
        <w:color w:val="000000"/>
        <w:sz w:val="22"/>
        <w:szCs w:val="22"/>
        <w:rtl/>
      </w:rPr>
      <w:tab/>
      <w:t xml:space="preserve"> מדינת ישראל נ' אמיר חאלס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1E8F9" w14:textId="77777777" w:rsidR="009E17BE" w:rsidRPr="00DE7AF5" w:rsidRDefault="009E17BE" w:rsidP="00DE7A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9620-04-14</w:t>
    </w:r>
    <w:r>
      <w:rPr>
        <w:rFonts w:ascii="David" w:hAnsi="David"/>
        <w:color w:val="000000"/>
        <w:sz w:val="22"/>
        <w:szCs w:val="22"/>
        <w:rtl/>
      </w:rPr>
      <w:tab/>
      <w:t xml:space="preserve"> מדינת ישראל נ' אמיר חאלס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613E"/>
    <w:rsid w:val="00077634"/>
    <w:rsid w:val="001345CB"/>
    <w:rsid w:val="00436C27"/>
    <w:rsid w:val="006C51F3"/>
    <w:rsid w:val="00714D52"/>
    <w:rsid w:val="007C3500"/>
    <w:rsid w:val="00820D24"/>
    <w:rsid w:val="009E17BE"/>
    <w:rsid w:val="00A2613E"/>
    <w:rsid w:val="00A62F13"/>
    <w:rsid w:val="00AA510E"/>
    <w:rsid w:val="00B95393"/>
    <w:rsid w:val="00DE7AF5"/>
    <w:rsid w:val="00E40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4379EDA"/>
  <w15:chartTrackingRefBased/>
  <w15:docId w15:val="{91BCB67C-9181-4BCD-82A1-52EFB76D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613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2613E"/>
    <w:pPr>
      <w:tabs>
        <w:tab w:val="center" w:pos="4153"/>
        <w:tab w:val="right" w:pos="8306"/>
      </w:tabs>
    </w:pPr>
  </w:style>
  <w:style w:type="paragraph" w:styleId="a4">
    <w:name w:val="footer"/>
    <w:basedOn w:val="a"/>
    <w:rsid w:val="00A2613E"/>
    <w:pPr>
      <w:tabs>
        <w:tab w:val="center" w:pos="4153"/>
        <w:tab w:val="right" w:pos="8306"/>
      </w:tabs>
    </w:pPr>
  </w:style>
  <w:style w:type="character" w:styleId="a5">
    <w:name w:val="page number"/>
    <w:basedOn w:val="a0"/>
    <w:rsid w:val="00A2613E"/>
  </w:style>
  <w:style w:type="character" w:styleId="Hyperlink">
    <w:name w:val="Hyperlink"/>
    <w:rsid w:val="00DE7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17954235"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law/70301/40ja" TargetMode="External"/><Relationship Id="rId42" Type="http://schemas.openxmlformats.org/officeDocument/2006/relationships/footer" Target="footer2.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74903/186" TargetMode="External"/><Relationship Id="rId20" Type="http://schemas.openxmlformats.org/officeDocument/2006/relationships/hyperlink" Target="http://www.nevo.co.il/law/70301/40jc" TargetMode="External"/><Relationship Id="rId29" Type="http://schemas.openxmlformats.org/officeDocument/2006/relationships/hyperlink" Target="http://www.nevo.co.il/law/70301/40jc.b"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74903" TargetMode="External"/><Relationship Id="rId28" Type="http://schemas.openxmlformats.org/officeDocument/2006/relationships/hyperlink" Target="http://www.nevo.co.il/case/7971983" TargetMode="External"/><Relationship Id="rId36" Type="http://schemas.openxmlformats.org/officeDocument/2006/relationships/hyperlink" Target="http://www.nevo.co.il/law/4216/36a.b"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40c.a"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36a.b"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law/74903/186" TargetMode="External"/><Relationship Id="rId27" Type="http://schemas.openxmlformats.org/officeDocument/2006/relationships/hyperlink" Target="http://www.nevo.co.il/case/6708658"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4216/19a"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17023776" TargetMode="External"/><Relationship Id="rId33" Type="http://schemas.openxmlformats.org/officeDocument/2006/relationships/hyperlink" Target="http://www.nevo.co.il/case/11300869"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2606</Words>
  <Characters>13033</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15608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5111890</vt:i4>
      </vt:variant>
      <vt:variant>
        <vt:i4>90</vt:i4>
      </vt:variant>
      <vt:variant>
        <vt:i4>0</vt:i4>
      </vt:variant>
      <vt:variant>
        <vt:i4>5</vt:i4>
      </vt:variant>
      <vt:variant>
        <vt:lpwstr>http://www.nevo.co.il/law/4216/36a.b</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3407997</vt:i4>
      </vt:variant>
      <vt:variant>
        <vt:i4>81</vt:i4>
      </vt:variant>
      <vt:variant>
        <vt:i4>0</vt:i4>
      </vt:variant>
      <vt:variant>
        <vt:i4>5</vt:i4>
      </vt:variant>
      <vt:variant>
        <vt:lpwstr>http://www.nevo.co.il/case/11300869</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6553637</vt:i4>
      </vt:variant>
      <vt:variant>
        <vt:i4>69</vt:i4>
      </vt:variant>
      <vt:variant>
        <vt:i4>0</vt:i4>
      </vt:variant>
      <vt:variant>
        <vt:i4>5</vt:i4>
      </vt:variant>
      <vt:variant>
        <vt:lpwstr>http://www.nevo.co.il/law/70301/40jc.b</vt:lpwstr>
      </vt:variant>
      <vt:variant>
        <vt:lpwstr/>
      </vt:variant>
      <vt:variant>
        <vt:i4>3801204</vt:i4>
      </vt:variant>
      <vt:variant>
        <vt:i4>66</vt:i4>
      </vt:variant>
      <vt:variant>
        <vt:i4>0</vt:i4>
      </vt:variant>
      <vt:variant>
        <vt:i4>5</vt:i4>
      </vt:variant>
      <vt:variant>
        <vt:lpwstr>http://www.nevo.co.il/case/7971983</vt:lpwstr>
      </vt:variant>
      <vt:variant>
        <vt:lpwstr/>
      </vt:variant>
      <vt:variant>
        <vt:i4>3670142</vt:i4>
      </vt:variant>
      <vt:variant>
        <vt:i4>63</vt:i4>
      </vt:variant>
      <vt:variant>
        <vt:i4>0</vt:i4>
      </vt:variant>
      <vt:variant>
        <vt:i4>5</vt:i4>
      </vt:variant>
      <vt:variant>
        <vt:lpwstr>http://www.nevo.co.il/case/6708658</vt:lpwstr>
      </vt:variant>
      <vt:variant>
        <vt:lpwstr/>
      </vt:variant>
      <vt:variant>
        <vt:i4>4128884</vt:i4>
      </vt:variant>
      <vt:variant>
        <vt:i4>60</vt:i4>
      </vt:variant>
      <vt:variant>
        <vt:i4>0</vt:i4>
      </vt:variant>
      <vt:variant>
        <vt:i4>5</vt:i4>
      </vt:variant>
      <vt:variant>
        <vt:lpwstr>http://www.nevo.co.il/case/17954235</vt:lpwstr>
      </vt:variant>
      <vt:variant>
        <vt:lpwstr/>
      </vt:variant>
      <vt:variant>
        <vt:i4>3473526</vt:i4>
      </vt:variant>
      <vt:variant>
        <vt:i4>57</vt:i4>
      </vt:variant>
      <vt:variant>
        <vt:i4>0</vt:i4>
      </vt:variant>
      <vt:variant>
        <vt:i4>5</vt:i4>
      </vt:variant>
      <vt:variant>
        <vt:lpwstr>http://www.nevo.co.il/case/17023776</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8257646</vt:i4>
      </vt:variant>
      <vt:variant>
        <vt:i4>51</vt:i4>
      </vt:variant>
      <vt:variant>
        <vt:i4>0</vt:i4>
      </vt:variant>
      <vt:variant>
        <vt:i4>5</vt:i4>
      </vt:variant>
      <vt:variant>
        <vt:lpwstr>http://www.nevo.co.il/law/74903</vt:lpwstr>
      </vt:variant>
      <vt:variant>
        <vt:lpwstr/>
      </vt:variant>
      <vt:variant>
        <vt:i4>6881388</vt:i4>
      </vt:variant>
      <vt:variant>
        <vt:i4>48</vt:i4>
      </vt:variant>
      <vt:variant>
        <vt:i4>0</vt:i4>
      </vt:variant>
      <vt:variant>
        <vt:i4>5</vt:i4>
      </vt:variant>
      <vt:variant>
        <vt:lpwstr>http://www.nevo.co.il/law/74903/186</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6881388</vt:i4>
      </vt:variant>
      <vt:variant>
        <vt:i4>30</vt:i4>
      </vt:variant>
      <vt:variant>
        <vt:i4>0</vt:i4>
      </vt:variant>
      <vt:variant>
        <vt:i4>5</vt:i4>
      </vt:variant>
      <vt:variant>
        <vt:lpwstr>http://www.nevo.co.il/law/74903/186</vt:lpwstr>
      </vt:variant>
      <vt:variant>
        <vt:lpwstr/>
      </vt:variant>
      <vt:variant>
        <vt:i4>8257646</vt:i4>
      </vt:variant>
      <vt:variant>
        <vt:i4>27</vt:i4>
      </vt:variant>
      <vt:variant>
        <vt:i4>0</vt:i4>
      </vt:variant>
      <vt:variant>
        <vt:i4>5</vt:i4>
      </vt:variant>
      <vt:variant>
        <vt:lpwstr>http://www.nevo.co.il/law/74903</vt:lpwstr>
      </vt:variant>
      <vt:variant>
        <vt:lpwstr/>
      </vt:variant>
      <vt:variant>
        <vt:i4>6553637</vt:i4>
      </vt:variant>
      <vt:variant>
        <vt:i4>24</vt:i4>
      </vt:variant>
      <vt:variant>
        <vt:i4>0</vt:i4>
      </vt:variant>
      <vt:variant>
        <vt:i4>5</vt:i4>
      </vt:variant>
      <vt:variant>
        <vt:lpwstr>http://www.nevo.co.il/law/70301/40jc.b</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2025-04-22T22:18:00Z</dcterms:created>
  <dcterms:modified xsi:type="dcterms:W3CDTF">2025-04-22T22:18:00Z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9620</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אמיר חאלס</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20150712</vt:lpwstr>
  </property>
  <property fmtid="{D5CDD505-2E9C-101B-9397-08002B2CF9AE}" pid="13" name="TYPE_N_DATE">
    <vt:lpwstr>38020150712</vt:lpwstr>
  </property>
  <property fmtid="{D5CDD505-2E9C-101B-9397-08002B2CF9AE}" pid="14" name="ISABSTRACT">
    <vt:lpwstr>Y</vt:lpwstr>
  </property>
  <property fmtid="{D5CDD505-2E9C-101B-9397-08002B2CF9AE}" pid="15" name="WORDNUMPAGES">
    <vt:lpwstr>9</vt:lpwstr>
  </property>
  <property fmtid="{D5CDD505-2E9C-101B-9397-08002B2CF9AE}" pid="16" name="TYPE_ABS_DATE">
    <vt:lpwstr>380020150712</vt:lpwstr>
  </property>
  <property fmtid="{D5CDD505-2E9C-101B-9397-08002B2CF9AE}" pid="17" name="CASESLISTTMP1">
    <vt:lpwstr>13093721;17023776;17954235;6708658;7971983;11300869</vt:lpwstr>
  </property>
  <property fmtid="{D5CDD505-2E9C-101B-9397-08002B2CF9AE}" pid="18" name="LAWLISTTMP1">
    <vt:lpwstr>4216/013;019a;036a.b</vt:lpwstr>
  </property>
  <property fmtid="{D5CDD505-2E9C-101B-9397-08002B2CF9AE}" pid="19" name="LAWLISTTMP2">
    <vt:lpwstr>70301/40jc;40jc.b;040c.a;40ja</vt:lpwstr>
  </property>
  <property fmtid="{D5CDD505-2E9C-101B-9397-08002B2CF9AE}" pid="20" name="LAWLISTTMP3">
    <vt:lpwstr>74903/186</vt:lpwstr>
  </property>
</Properties>
</file>