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09301B" w:rsidRPr="00B81E87" w14:paraId="4508CD3E" w14:textId="77777777">
        <w:trPr>
          <w:trHeight w:hRule="exact" w:val="418"/>
          <w:jc w:val="center"/>
        </w:trPr>
        <w:tc>
          <w:tcPr>
            <w:tcW w:w="8720" w:type="dxa"/>
            <w:gridSpan w:val="3"/>
          </w:tcPr>
          <w:p w14:paraId="5902371A" w14:textId="77777777" w:rsidR="0009301B" w:rsidRPr="00B81E87" w:rsidRDefault="00B81E87">
            <w:pPr>
              <w:pStyle w:val="a3"/>
              <w:tabs>
                <w:tab w:val="clear" w:pos="8306"/>
              </w:tabs>
              <w:jc w:val="center"/>
              <w:rPr>
                <w:rFonts w:ascii="Tahoma" w:hAnsi="Tahoma" w:cs="Tahoma"/>
                <w:b/>
                <w:bCs/>
                <w:color w:val="000080"/>
                <w:sz w:val="20"/>
                <w:szCs w:val="20"/>
                <w:rtl/>
              </w:rPr>
            </w:pPr>
            <w:bookmarkStart w:id="0" w:name="LastJudge"/>
            <w:r w:rsidRPr="00B81E87">
              <w:rPr>
                <w:rFonts w:ascii="Tahoma" w:hAnsi="Tahoma" w:cs="Tahoma"/>
                <w:b/>
                <w:bCs/>
                <w:color w:val="000080"/>
                <w:sz w:val="20"/>
                <w:szCs w:val="20"/>
                <w:rtl/>
              </w:rPr>
              <w:t>בית משפט השלום בבאר שבע</w:t>
            </w:r>
          </w:p>
        </w:tc>
      </w:tr>
      <w:tr w:rsidR="0009301B" w:rsidRPr="00B81E87" w14:paraId="3F78F9B3" w14:textId="77777777">
        <w:trPr>
          <w:trHeight w:val="337"/>
          <w:jc w:val="center"/>
        </w:trPr>
        <w:tc>
          <w:tcPr>
            <w:tcW w:w="6396" w:type="dxa"/>
          </w:tcPr>
          <w:p w14:paraId="7DB69378" w14:textId="77777777" w:rsidR="0009301B" w:rsidRPr="00B81E87" w:rsidRDefault="00B81E87">
            <w:pPr>
              <w:rPr>
                <w:b/>
                <w:bCs/>
                <w:sz w:val="26"/>
                <w:szCs w:val="26"/>
                <w:rtl/>
              </w:rPr>
            </w:pPr>
            <w:r w:rsidRPr="00B81E87">
              <w:rPr>
                <w:b/>
                <w:bCs/>
                <w:sz w:val="26"/>
                <w:szCs w:val="26"/>
                <w:rtl/>
              </w:rPr>
              <w:t>ת"פ</w:t>
            </w:r>
            <w:r w:rsidRPr="00B81E87">
              <w:rPr>
                <w:rFonts w:hint="cs"/>
                <w:b/>
                <w:bCs/>
                <w:sz w:val="26"/>
                <w:szCs w:val="26"/>
                <w:rtl/>
              </w:rPr>
              <w:t xml:space="preserve"> </w:t>
            </w:r>
            <w:r w:rsidRPr="00B81E87">
              <w:rPr>
                <w:b/>
                <w:bCs/>
                <w:sz w:val="26"/>
                <w:szCs w:val="26"/>
                <w:rtl/>
              </w:rPr>
              <w:t>16006-05-14</w:t>
            </w:r>
            <w:r w:rsidRPr="00B81E87">
              <w:rPr>
                <w:rFonts w:hint="cs"/>
                <w:b/>
                <w:bCs/>
                <w:sz w:val="26"/>
                <w:szCs w:val="26"/>
                <w:rtl/>
              </w:rPr>
              <w:t xml:space="preserve"> </w:t>
            </w:r>
            <w:r w:rsidRPr="00B81E87">
              <w:rPr>
                <w:b/>
                <w:bCs/>
                <w:sz w:val="26"/>
                <w:szCs w:val="26"/>
                <w:rtl/>
              </w:rPr>
              <w:t>מדינת ישראל נ' אבו צהיבאן(עציר)</w:t>
            </w:r>
          </w:p>
          <w:p w14:paraId="60445B87" w14:textId="77777777" w:rsidR="0009301B" w:rsidRPr="00B81E87" w:rsidRDefault="0009301B">
            <w:pPr>
              <w:rPr>
                <w:b/>
                <w:bCs/>
                <w:sz w:val="26"/>
                <w:szCs w:val="26"/>
                <w:rtl/>
              </w:rPr>
            </w:pPr>
          </w:p>
        </w:tc>
        <w:tc>
          <w:tcPr>
            <w:tcW w:w="236" w:type="dxa"/>
          </w:tcPr>
          <w:p w14:paraId="39782A7A" w14:textId="77777777" w:rsidR="0009301B" w:rsidRPr="00B81E87" w:rsidRDefault="0009301B">
            <w:pPr>
              <w:pStyle w:val="a3"/>
              <w:jc w:val="right"/>
              <w:rPr>
                <w:b/>
                <w:bCs/>
                <w:sz w:val="26"/>
                <w:szCs w:val="26"/>
                <w:rtl/>
              </w:rPr>
            </w:pPr>
          </w:p>
        </w:tc>
        <w:tc>
          <w:tcPr>
            <w:tcW w:w="2088" w:type="dxa"/>
          </w:tcPr>
          <w:p w14:paraId="52025B64" w14:textId="77777777" w:rsidR="0009301B" w:rsidRPr="00B81E87" w:rsidRDefault="00B81E87">
            <w:pPr>
              <w:pStyle w:val="a3"/>
              <w:tabs>
                <w:tab w:val="clear" w:pos="4153"/>
              </w:tabs>
              <w:jc w:val="right"/>
              <w:rPr>
                <w:b/>
                <w:bCs/>
                <w:sz w:val="26"/>
                <w:szCs w:val="26"/>
                <w:rtl/>
              </w:rPr>
            </w:pPr>
            <w:r w:rsidRPr="00B81E87">
              <w:rPr>
                <w:b/>
                <w:bCs/>
                <w:sz w:val="26"/>
                <w:szCs w:val="26"/>
                <w:rtl/>
              </w:rPr>
              <w:t>26 יוני 2014</w:t>
            </w:r>
          </w:p>
        </w:tc>
      </w:tr>
    </w:tbl>
    <w:p w14:paraId="1F1010DC" w14:textId="77777777" w:rsidR="0009301B" w:rsidRPr="00B81E87" w:rsidRDefault="0009301B">
      <w:pPr>
        <w:pStyle w:val="a3"/>
        <w:jc w:val="center"/>
        <w:rPr>
          <w:rFonts w:ascii="Tahoma" w:hAnsi="Tahoma" w:cs="Tahoma"/>
          <w:b/>
          <w:bCs/>
          <w:color w:val="000080"/>
          <w:sz w:val="20"/>
          <w:szCs w:val="20"/>
          <w:rtl/>
        </w:rPr>
      </w:pPr>
    </w:p>
    <w:p w14:paraId="466390AD" w14:textId="77777777" w:rsidR="0009301B" w:rsidRPr="00B81E87" w:rsidRDefault="0009301B">
      <w:pPr>
        <w:spacing w:line="360" w:lineRule="auto"/>
        <w:jc w:val="both"/>
        <w:rPr>
          <w:sz w:val="6"/>
          <w:szCs w:val="6"/>
          <w:rtl/>
        </w:rPr>
      </w:pPr>
    </w:p>
    <w:tbl>
      <w:tblPr>
        <w:bidiVisual/>
        <w:tblW w:w="0" w:type="auto"/>
        <w:jc w:val="center"/>
        <w:tblLook w:val="0000" w:firstRow="0" w:lastRow="0" w:firstColumn="0" w:lastColumn="0" w:noHBand="0" w:noVBand="0"/>
      </w:tblPr>
      <w:tblGrid>
        <w:gridCol w:w="1580"/>
        <w:gridCol w:w="1279"/>
        <w:gridCol w:w="5780"/>
        <w:gridCol w:w="81"/>
      </w:tblGrid>
      <w:tr w:rsidR="0009301B" w:rsidRPr="00B81E87" w14:paraId="14414E42" w14:textId="77777777">
        <w:trPr>
          <w:gridAfter w:val="1"/>
          <w:wAfter w:w="54" w:type="dxa"/>
          <w:trHeight w:val="337"/>
          <w:jc w:val="center"/>
        </w:trPr>
        <w:tc>
          <w:tcPr>
            <w:tcW w:w="1592" w:type="dxa"/>
          </w:tcPr>
          <w:p w14:paraId="74B224FF" w14:textId="77777777" w:rsidR="0009301B" w:rsidRPr="00B81E87" w:rsidRDefault="00B81E87">
            <w:pPr>
              <w:pStyle w:val="a3"/>
              <w:bidi w:val="0"/>
              <w:spacing w:line="360" w:lineRule="auto"/>
              <w:jc w:val="both"/>
              <w:rPr>
                <w:rFonts w:ascii="Times New Roman" w:hAnsi="Times New Roman"/>
              </w:rPr>
            </w:pPr>
            <w:r w:rsidRPr="00B81E87">
              <w:rPr>
                <w:rFonts w:ascii="Times New Roman" w:hAnsi="Times New Roman"/>
              </w:rPr>
              <w:t xml:space="preserve">   </w:t>
            </w:r>
          </w:p>
        </w:tc>
        <w:tc>
          <w:tcPr>
            <w:tcW w:w="7128" w:type="dxa"/>
            <w:gridSpan w:val="2"/>
          </w:tcPr>
          <w:p w14:paraId="714236E8" w14:textId="77777777" w:rsidR="0009301B" w:rsidRPr="00B81E87" w:rsidRDefault="00B81E87">
            <w:pPr>
              <w:pStyle w:val="a3"/>
              <w:jc w:val="right"/>
              <w:rPr>
                <w:b/>
                <w:bCs/>
                <w:sz w:val="26"/>
                <w:szCs w:val="26"/>
                <w:rtl/>
              </w:rPr>
            </w:pPr>
            <w:r w:rsidRPr="00B81E87">
              <w:rPr>
                <w:rFonts w:hint="cs"/>
                <w:rtl/>
              </w:rPr>
              <w:t xml:space="preserve"> 16013-05-14</w:t>
            </w:r>
          </w:p>
        </w:tc>
      </w:tr>
      <w:tr w:rsidR="0009301B" w:rsidRPr="00B81E87" w14:paraId="1B239DA1" w14:textId="77777777">
        <w:tblPrEx>
          <w:jc w:val="left"/>
          <w:tblLook w:val="01E0" w:firstRow="1" w:lastRow="1" w:firstColumn="1" w:lastColumn="1" w:noHBand="0" w:noVBand="0"/>
        </w:tblPrEx>
        <w:trPr>
          <w:gridAfter w:val="1"/>
          <w:wAfter w:w="55" w:type="dxa"/>
        </w:trPr>
        <w:tc>
          <w:tcPr>
            <w:tcW w:w="8719" w:type="dxa"/>
            <w:gridSpan w:val="3"/>
          </w:tcPr>
          <w:p w14:paraId="2863E3B7" w14:textId="77777777" w:rsidR="0009301B" w:rsidRPr="00B81E87" w:rsidRDefault="00B81E87">
            <w:pPr>
              <w:spacing w:line="360" w:lineRule="auto"/>
              <w:rPr>
                <w:rFonts w:ascii="Times New Roman" w:eastAsia="Times New Roman" w:hAnsi="Times New Roman"/>
                <w:b/>
                <w:bCs/>
                <w:sz w:val="26"/>
                <w:szCs w:val="26"/>
                <w:rtl/>
              </w:rPr>
            </w:pPr>
            <w:r w:rsidRPr="00B81E87">
              <w:rPr>
                <w:rFonts w:ascii="Times New Roman" w:eastAsia="Times New Roman" w:hAnsi="Times New Roman" w:hint="cs"/>
                <w:b/>
                <w:bCs/>
                <w:sz w:val="26"/>
                <w:szCs w:val="26"/>
                <w:rtl/>
              </w:rPr>
              <w:t>בפני כב' ה</w:t>
            </w:r>
            <w:r w:rsidRPr="00B81E87">
              <w:rPr>
                <w:rFonts w:ascii="Times New Roman" w:eastAsia="Times New Roman" w:hAnsi="Times New Roman" w:hint="cs"/>
                <w:rtl/>
              </w:rPr>
              <w:t>שופט דניאל בן טולילה</w:t>
            </w:r>
            <w:r w:rsidRPr="00B81E87">
              <w:rPr>
                <w:rStyle w:val="TimesNewRomanTimesNewRoman"/>
                <w:rFonts w:eastAsia="Times New Roman"/>
                <w:rtl/>
              </w:rPr>
              <w:t xml:space="preserve"> </w:t>
            </w:r>
          </w:p>
        </w:tc>
      </w:tr>
      <w:tr w:rsidR="0009301B" w:rsidRPr="00B81E87" w14:paraId="3929FF8F" w14:textId="77777777">
        <w:tblPrEx>
          <w:jc w:val="left"/>
          <w:tblLook w:val="01E0" w:firstRow="1" w:lastRow="1" w:firstColumn="1" w:lastColumn="1" w:noHBand="0" w:noVBand="0"/>
        </w:tblPrEx>
        <w:tc>
          <w:tcPr>
            <w:tcW w:w="2880" w:type="dxa"/>
            <w:gridSpan w:val="2"/>
          </w:tcPr>
          <w:p w14:paraId="4062DB2B" w14:textId="77777777" w:rsidR="0009301B" w:rsidRPr="00B81E87" w:rsidRDefault="00B81E87">
            <w:pPr>
              <w:ind w:left="26"/>
              <w:rPr>
                <w:rFonts w:ascii="Times New Roman" w:eastAsia="Times New Roman" w:hAnsi="Times New Roman"/>
                <w:b/>
                <w:bCs/>
                <w:sz w:val="26"/>
                <w:szCs w:val="26"/>
                <w:rtl/>
              </w:rPr>
            </w:pPr>
            <w:bookmarkStart w:id="1" w:name="FirstAppellant"/>
            <w:bookmarkStart w:id="2" w:name="FirstLawyer"/>
            <w:r w:rsidRPr="00B81E87">
              <w:rPr>
                <w:rFonts w:ascii="Times New Roman" w:eastAsia="Times New Roman" w:hAnsi="Times New Roman" w:hint="cs"/>
                <w:b/>
                <w:bCs/>
                <w:sz w:val="26"/>
                <w:szCs w:val="26"/>
                <w:rtl/>
              </w:rPr>
              <w:t>ה</w:t>
            </w:r>
            <w:r w:rsidRPr="00B81E87">
              <w:rPr>
                <w:rFonts w:ascii="Times New Roman" w:eastAsia="Times New Roman" w:hAnsi="Times New Roman" w:hint="cs"/>
                <w:rtl/>
              </w:rPr>
              <w:t>מאשימה</w:t>
            </w:r>
          </w:p>
        </w:tc>
        <w:tc>
          <w:tcPr>
            <w:tcW w:w="5922" w:type="dxa"/>
            <w:gridSpan w:val="2"/>
          </w:tcPr>
          <w:p w14:paraId="2B7EC482" w14:textId="77777777" w:rsidR="0009301B" w:rsidRPr="00B81E87" w:rsidRDefault="00B81E87">
            <w:pPr>
              <w:rPr>
                <w:rFonts w:ascii="Times New Roman" w:eastAsia="Times New Roman" w:hAnsi="Times New Roman"/>
                <w:b/>
                <w:bCs/>
                <w:sz w:val="26"/>
                <w:szCs w:val="26"/>
                <w:rtl/>
              </w:rPr>
            </w:pPr>
            <w:r w:rsidRPr="00B81E87">
              <w:rPr>
                <w:rFonts w:ascii="Times New Roman" w:eastAsia="Times New Roman" w:hAnsi="Times New Roman" w:hint="cs"/>
                <w:rtl/>
              </w:rPr>
              <w:t>מדינת ישראל</w:t>
            </w:r>
          </w:p>
          <w:p w14:paraId="3945786F" w14:textId="77777777" w:rsidR="0009301B" w:rsidRPr="00B81E87" w:rsidRDefault="00B81E87">
            <w:pPr>
              <w:rPr>
                <w:rFonts w:ascii="Times New Roman" w:eastAsia="Times New Roman" w:hAnsi="Times New Roman"/>
                <w:b/>
                <w:bCs/>
                <w:sz w:val="26"/>
                <w:szCs w:val="26"/>
                <w:rtl/>
              </w:rPr>
            </w:pPr>
            <w:r w:rsidRPr="00B81E87">
              <w:rPr>
                <w:rFonts w:ascii="Times New Roman" w:eastAsia="Times New Roman" w:hAnsi="Times New Roman" w:hint="cs"/>
                <w:b/>
                <w:bCs/>
                <w:sz w:val="26"/>
                <w:szCs w:val="26"/>
                <w:rtl/>
              </w:rPr>
              <w:t>ע"י עו"ד קובי הרוש</w:t>
            </w:r>
          </w:p>
        </w:tc>
      </w:tr>
      <w:bookmarkEnd w:id="1"/>
      <w:bookmarkEnd w:id="2"/>
      <w:tr w:rsidR="0009301B" w:rsidRPr="00B81E87" w14:paraId="5F6448A8" w14:textId="77777777">
        <w:tblPrEx>
          <w:jc w:val="left"/>
          <w:tblLook w:val="01E0" w:firstRow="1" w:lastRow="1" w:firstColumn="1" w:lastColumn="1" w:noHBand="0" w:noVBand="0"/>
        </w:tblPrEx>
        <w:tc>
          <w:tcPr>
            <w:tcW w:w="8802" w:type="dxa"/>
            <w:gridSpan w:val="4"/>
          </w:tcPr>
          <w:p w14:paraId="1B3DE47F" w14:textId="77777777" w:rsidR="0009301B" w:rsidRPr="00B81E87" w:rsidRDefault="00B81E87">
            <w:pPr>
              <w:jc w:val="center"/>
              <w:rPr>
                <w:rFonts w:ascii="Arial" w:eastAsia="Times New Roman" w:hAnsi="Arial"/>
                <w:b/>
                <w:bCs/>
                <w:sz w:val="26"/>
                <w:szCs w:val="26"/>
                <w:rtl/>
              </w:rPr>
            </w:pPr>
            <w:r w:rsidRPr="00B81E87">
              <w:rPr>
                <w:rFonts w:ascii="Arial" w:eastAsia="Times New Roman" w:hAnsi="Arial"/>
                <w:b/>
                <w:bCs/>
                <w:sz w:val="26"/>
                <w:szCs w:val="26"/>
                <w:rtl/>
              </w:rPr>
              <w:t>נגד</w:t>
            </w:r>
          </w:p>
          <w:p w14:paraId="3073A3EB" w14:textId="77777777" w:rsidR="0009301B" w:rsidRPr="00B81E87" w:rsidRDefault="0009301B">
            <w:pPr>
              <w:jc w:val="center"/>
              <w:rPr>
                <w:rFonts w:ascii="Arial" w:eastAsia="Times New Roman" w:hAnsi="Arial"/>
                <w:b/>
                <w:bCs/>
                <w:sz w:val="26"/>
                <w:szCs w:val="26"/>
              </w:rPr>
            </w:pPr>
          </w:p>
        </w:tc>
      </w:tr>
      <w:tr w:rsidR="0009301B" w:rsidRPr="00B81E87" w14:paraId="33C60900" w14:textId="77777777">
        <w:tblPrEx>
          <w:jc w:val="left"/>
          <w:tblLook w:val="01E0" w:firstRow="1" w:lastRow="1" w:firstColumn="1" w:lastColumn="1" w:noHBand="0" w:noVBand="0"/>
        </w:tblPrEx>
        <w:tc>
          <w:tcPr>
            <w:tcW w:w="2880" w:type="dxa"/>
            <w:gridSpan w:val="2"/>
          </w:tcPr>
          <w:p w14:paraId="25445084" w14:textId="77777777" w:rsidR="0009301B" w:rsidRPr="00B81E87" w:rsidRDefault="00B81E87">
            <w:pPr>
              <w:ind w:left="26"/>
              <w:rPr>
                <w:rFonts w:ascii="Times New Roman" w:eastAsia="Times New Roman" w:hAnsi="Times New Roman"/>
                <w:b/>
                <w:bCs/>
                <w:sz w:val="26"/>
                <w:szCs w:val="26"/>
                <w:rtl/>
              </w:rPr>
            </w:pPr>
            <w:r w:rsidRPr="00B81E87">
              <w:rPr>
                <w:rFonts w:ascii="Times New Roman" w:eastAsia="Times New Roman" w:hAnsi="Times New Roman" w:hint="cs"/>
                <w:b/>
                <w:bCs/>
                <w:sz w:val="26"/>
                <w:szCs w:val="26"/>
                <w:rtl/>
              </w:rPr>
              <w:t>ה</w:t>
            </w:r>
            <w:r w:rsidRPr="00B81E87">
              <w:rPr>
                <w:rFonts w:ascii="Times New Roman" w:eastAsia="Times New Roman" w:hAnsi="Times New Roman" w:hint="cs"/>
                <w:rtl/>
              </w:rPr>
              <w:t>נאשם</w:t>
            </w:r>
          </w:p>
        </w:tc>
        <w:tc>
          <w:tcPr>
            <w:tcW w:w="5922" w:type="dxa"/>
            <w:gridSpan w:val="2"/>
          </w:tcPr>
          <w:p w14:paraId="48D1989E" w14:textId="77777777" w:rsidR="0009301B" w:rsidRPr="00B81E87" w:rsidRDefault="00B81E87">
            <w:pPr>
              <w:rPr>
                <w:rFonts w:ascii="Times New Roman" w:eastAsia="Times New Roman" w:hAnsi="Times New Roman"/>
                <w:b/>
                <w:bCs/>
                <w:sz w:val="26"/>
                <w:szCs w:val="26"/>
                <w:rtl/>
              </w:rPr>
            </w:pPr>
            <w:r w:rsidRPr="00B81E87">
              <w:rPr>
                <w:rFonts w:ascii="Times New Roman" w:eastAsia="Times New Roman" w:hAnsi="Times New Roman" w:hint="cs"/>
                <w:rtl/>
              </w:rPr>
              <w:t>מחמד אבו צהיבאן (עציר)</w:t>
            </w:r>
          </w:p>
          <w:p w14:paraId="2BD8B5DF" w14:textId="77777777" w:rsidR="0009301B" w:rsidRPr="00B81E87" w:rsidRDefault="00B81E87">
            <w:pPr>
              <w:rPr>
                <w:rFonts w:ascii="Times New Roman" w:eastAsia="Times New Roman" w:hAnsi="Times New Roman"/>
                <w:b/>
                <w:bCs/>
                <w:sz w:val="26"/>
                <w:szCs w:val="26"/>
                <w:rtl/>
              </w:rPr>
            </w:pPr>
            <w:r w:rsidRPr="00B81E87">
              <w:rPr>
                <w:rFonts w:ascii="Times New Roman" w:eastAsia="Times New Roman" w:hAnsi="Times New Roman" w:hint="cs"/>
                <w:b/>
                <w:bCs/>
                <w:sz w:val="26"/>
                <w:szCs w:val="26"/>
                <w:rtl/>
              </w:rPr>
              <w:t>ע"י עו"ד וואתד</w:t>
            </w:r>
          </w:p>
        </w:tc>
      </w:tr>
    </w:tbl>
    <w:p w14:paraId="4F54086F" w14:textId="77777777" w:rsidR="0009301B" w:rsidRPr="00B81E87" w:rsidRDefault="00B81E87">
      <w:pPr>
        <w:spacing w:line="360" w:lineRule="auto"/>
        <w:jc w:val="both"/>
        <w:rPr>
          <w:sz w:val="6"/>
          <w:szCs w:val="6"/>
          <w:rtl/>
        </w:rPr>
      </w:pPr>
      <w:r w:rsidRPr="00B81E87">
        <w:rPr>
          <w:sz w:val="6"/>
          <w:szCs w:val="6"/>
          <w:rtl/>
        </w:rPr>
        <w:t>&lt;#1#&gt;</w:t>
      </w:r>
    </w:p>
    <w:p w14:paraId="65D47672" w14:textId="77777777" w:rsidR="0009301B" w:rsidRPr="00B81E87" w:rsidRDefault="0009301B">
      <w:pPr>
        <w:pStyle w:val="12"/>
        <w:rPr>
          <w:b w:val="0"/>
          <w:bCs w:val="0"/>
          <w:u w:val="none"/>
          <w:rtl/>
        </w:rPr>
      </w:pPr>
    </w:p>
    <w:p w14:paraId="22D0D160" w14:textId="77777777" w:rsidR="0009301B" w:rsidRPr="00B81E87" w:rsidRDefault="00B81E87">
      <w:pPr>
        <w:spacing w:line="360" w:lineRule="auto"/>
        <w:jc w:val="center"/>
        <w:rPr>
          <w:rFonts w:ascii="Arial" w:hAnsi="Arial"/>
          <w:b/>
          <w:bCs/>
          <w:sz w:val="28"/>
          <w:szCs w:val="28"/>
          <w:rtl/>
        </w:rPr>
      </w:pPr>
      <w:r w:rsidRPr="00B81E87">
        <w:rPr>
          <w:rFonts w:ascii="Arial" w:hAnsi="Arial"/>
          <w:b/>
          <w:color w:val="FF0000"/>
          <w:sz w:val="28"/>
          <w:rtl/>
        </w:rPr>
        <w:t>במסמך זה הושמטו פרוטוקולים</w:t>
      </w:r>
    </w:p>
    <w:p w14:paraId="3FFD212C" w14:textId="77777777" w:rsidR="00B81E87" w:rsidRPr="00B81E87" w:rsidRDefault="00B81E87">
      <w:pPr>
        <w:spacing w:line="360" w:lineRule="auto"/>
        <w:jc w:val="center"/>
        <w:rPr>
          <w:rFonts w:ascii="Arial" w:hAnsi="Arial"/>
          <w:b/>
          <w:bCs/>
          <w:sz w:val="28"/>
          <w:szCs w:val="28"/>
          <w:rtl/>
        </w:rPr>
      </w:pPr>
    </w:p>
    <w:p w14:paraId="6CEE71E5" w14:textId="77777777" w:rsidR="00B81E87" w:rsidRPr="00B81E87" w:rsidRDefault="00B81E87" w:rsidP="00B81E87">
      <w:pPr>
        <w:spacing w:line="360" w:lineRule="auto"/>
        <w:jc w:val="center"/>
        <w:rPr>
          <w:rFonts w:ascii="Arial" w:hAnsi="Arial"/>
          <w:b/>
          <w:bCs/>
          <w:sz w:val="28"/>
          <w:szCs w:val="28"/>
          <w:u w:val="single"/>
          <w:rtl/>
        </w:rPr>
      </w:pPr>
      <w:bookmarkStart w:id="3" w:name="PsakDin"/>
      <w:bookmarkEnd w:id="0"/>
      <w:r w:rsidRPr="00B81E87">
        <w:rPr>
          <w:rFonts w:ascii="Arial" w:hAnsi="Arial"/>
          <w:b/>
          <w:bCs/>
          <w:sz w:val="28"/>
          <w:szCs w:val="28"/>
          <w:u w:val="single"/>
          <w:rtl/>
        </w:rPr>
        <w:t>גזר דין</w:t>
      </w:r>
    </w:p>
    <w:bookmarkEnd w:id="3"/>
    <w:p w14:paraId="12944106" w14:textId="77777777" w:rsidR="0009301B" w:rsidRDefault="00B81E87">
      <w:pPr>
        <w:spacing w:line="360" w:lineRule="auto"/>
        <w:jc w:val="both"/>
        <w:rPr>
          <w:rFonts w:ascii="Arial" w:hAnsi="Arial"/>
        </w:rPr>
      </w:pPr>
      <w:r>
        <w:rPr>
          <w:rtl/>
        </w:rPr>
        <w:t xml:space="preserve"> </w:t>
      </w:r>
    </w:p>
    <w:p w14:paraId="5C8F4D22" w14:textId="77777777" w:rsidR="0009301B" w:rsidRDefault="00B81E87">
      <w:pPr>
        <w:spacing w:line="360" w:lineRule="auto"/>
        <w:jc w:val="both"/>
        <w:rPr>
          <w:rFonts w:ascii="Arial" w:hAnsi="Arial"/>
          <w:rtl/>
        </w:rPr>
      </w:pPr>
      <w:bookmarkStart w:id="4" w:name="NGCSBookmark"/>
      <w:bookmarkStart w:id="5" w:name="ABSTRACT_START"/>
      <w:bookmarkEnd w:id="4"/>
      <w:bookmarkEnd w:id="5"/>
      <w:r>
        <w:rPr>
          <w:rFonts w:ascii="Arial" w:hAnsi="Arial" w:hint="cs"/>
          <w:rtl/>
        </w:rPr>
        <w:t>הנאשם הורשע על פי הודאתו בעובדות כתב אישום מתוקן בעבירה של הספקת סם וכן בהחזקת סם שלא לצריכה עצמית.</w:t>
      </w:r>
    </w:p>
    <w:p w14:paraId="008EF5E9" w14:textId="77777777" w:rsidR="0009301B" w:rsidRDefault="0009301B">
      <w:pPr>
        <w:spacing w:line="360" w:lineRule="auto"/>
        <w:jc w:val="both"/>
        <w:rPr>
          <w:rFonts w:ascii="Arial" w:hAnsi="Arial"/>
          <w:rtl/>
        </w:rPr>
      </w:pPr>
      <w:bookmarkStart w:id="6" w:name="ABSTRACT_END"/>
      <w:bookmarkEnd w:id="6"/>
    </w:p>
    <w:p w14:paraId="077C95FC" w14:textId="77777777" w:rsidR="0009301B" w:rsidRDefault="00B81E87">
      <w:pPr>
        <w:spacing w:line="360" w:lineRule="auto"/>
        <w:jc w:val="both"/>
        <w:rPr>
          <w:rFonts w:ascii="Arial" w:hAnsi="Arial"/>
          <w:rtl/>
        </w:rPr>
      </w:pPr>
      <w:r>
        <w:rPr>
          <w:rFonts w:ascii="Arial" w:hAnsi="Arial" w:hint="cs"/>
          <w:rtl/>
        </w:rPr>
        <w:t xml:space="preserve">על פי המתואר באישום הראשון ביום 29.4.14, בשעה 21:33, סמוך לכלא באר שבע, סיפק הנאשם לשוטר סמוי סם מסוג חשיש </w:t>
      </w:r>
      <w:smartTag w:uri="urn:schemas-microsoft-com:office:smarttags" w:element="metricconverter">
        <w:smartTagPr>
          <w:attr w:name="ProductID" w:val="1 גר'"/>
        </w:smartTagPr>
        <w:r>
          <w:rPr>
            <w:rFonts w:ascii="Arial" w:hAnsi="Arial" w:hint="cs"/>
            <w:rtl/>
          </w:rPr>
          <w:t>1 גר'</w:t>
        </w:r>
      </w:smartTag>
      <w:r>
        <w:rPr>
          <w:rFonts w:ascii="Arial" w:hAnsi="Arial" w:hint="cs"/>
          <w:rtl/>
        </w:rPr>
        <w:t xml:space="preserve"> (להלן: "</w:t>
      </w:r>
      <w:r>
        <w:rPr>
          <w:rFonts w:ascii="Arial" w:hAnsi="Arial" w:hint="cs"/>
          <w:b/>
          <w:bCs/>
          <w:rtl/>
        </w:rPr>
        <w:t>אירוע ראשון</w:t>
      </w:r>
      <w:r>
        <w:rPr>
          <w:rFonts w:ascii="Arial" w:hAnsi="Arial" w:hint="cs"/>
          <w:rtl/>
        </w:rPr>
        <w:t xml:space="preserve">"). על פי המתואר באישום השני ביום 5.5.14 , בשעה 21:40, החזיק הנאשם ברכב מסוג מאזדה, סם מסוג חשיש במשקל </w:t>
      </w:r>
      <w:smartTag w:uri="urn:schemas-microsoft-com:office:smarttags" w:element="metricconverter">
        <w:smartTagPr>
          <w:attr w:name="ProductID" w:val="50 גר'"/>
        </w:smartTagPr>
        <w:r>
          <w:rPr>
            <w:rFonts w:ascii="Arial" w:hAnsi="Arial" w:hint="cs"/>
            <w:rtl/>
          </w:rPr>
          <w:t>50 גר'</w:t>
        </w:r>
      </w:smartTag>
      <w:r>
        <w:rPr>
          <w:rFonts w:ascii="Arial" w:hAnsi="Arial" w:hint="cs"/>
          <w:rtl/>
        </w:rPr>
        <w:t xml:space="preserve"> שלא לצריכתו העצמית (להלן: "</w:t>
      </w:r>
      <w:r>
        <w:rPr>
          <w:rFonts w:ascii="Arial" w:hAnsi="Arial" w:hint="cs"/>
          <w:b/>
          <w:bCs/>
          <w:rtl/>
        </w:rPr>
        <w:t>אירוע שני</w:t>
      </w:r>
      <w:r>
        <w:rPr>
          <w:rFonts w:ascii="Arial" w:hAnsi="Arial" w:hint="cs"/>
          <w:rtl/>
        </w:rPr>
        <w:t xml:space="preserve">"). לא הייתה הסכמה עונשית בין הצדדים לפיכך אלו טענו באופן חופשי. </w:t>
      </w:r>
    </w:p>
    <w:p w14:paraId="519289B6" w14:textId="77777777" w:rsidR="0009301B" w:rsidRDefault="0009301B">
      <w:pPr>
        <w:spacing w:line="360" w:lineRule="auto"/>
        <w:jc w:val="both"/>
        <w:rPr>
          <w:rFonts w:ascii="Arial" w:hAnsi="Arial"/>
          <w:rtl/>
        </w:rPr>
      </w:pPr>
    </w:p>
    <w:p w14:paraId="7DB9F40D" w14:textId="77777777" w:rsidR="0009301B" w:rsidRDefault="00B81E87">
      <w:pPr>
        <w:spacing w:line="360" w:lineRule="auto"/>
        <w:jc w:val="both"/>
        <w:rPr>
          <w:rFonts w:ascii="Arial" w:hAnsi="Arial"/>
          <w:b/>
          <w:bCs/>
          <w:u w:val="single"/>
          <w:rtl/>
        </w:rPr>
      </w:pPr>
      <w:r>
        <w:rPr>
          <w:rFonts w:ascii="Arial" w:hAnsi="Arial" w:hint="cs"/>
          <w:b/>
          <w:bCs/>
          <w:u w:val="single"/>
          <w:rtl/>
        </w:rPr>
        <w:t>טיעוני הצדדים</w:t>
      </w:r>
    </w:p>
    <w:p w14:paraId="61D492A7" w14:textId="77777777" w:rsidR="0009301B" w:rsidRDefault="00B81E87">
      <w:pPr>
        <w:spacing w:line="360" w:lineRule="auto"/>
        <w:jc w:val="both"/>
        <w:rPr>
          <w:rFonts w:ascii="Arial" w:hAnsi="Arial"/>
          <w:rtl/>
        </w:rPr>
      </w:pPr>
      <w:r>
        <w:rPr>
          <w:rFonts w:ascii="Arial" w:hAnsi="Arial" w:hint="cs"/>
          <w:rtl/>
        </w:rPr>
        <w:t xml:space="preserve">בדיון שנערך בפניי ביום 19.6.14 הפנתה ב"כ המאשימה לחומרת המעשים המיוחסים לנאשם. בהתאם לתיקון 113, ציינה את הערכים המוגנים בהם פגע הנאשם, בכללם, שלום הציבור ובריאותו, וכן פגיעה בסדר הציבורי נוכח ההשלכות החברתיות והכלכליות שיש בהפצת הסמים. אשר למתחם הענישה ההולם- עתרה למתחם הנע בין 6-12 חודשי מאסר בפועל, לכל אישום. לאור דבריה, עתרה להטלת עונש מאסר בפועל ארוך ומשמעותי, מאסר מותנה, פסילת בפועל ופיסלה על תנאי וכן קנס כספי. </w:t>
      </w:r>
    </w:p>
    <w:p w14:paraId="330AFB4B" w14:textId="77777777" w:rsidR="0009301B" w:rsidRDefault="0009301B">
      <w:pPr>
        <w:spacing w:line="360" w:lineRule="auto"/>
        <w:jc w:val="both"/>
        <w:rPr>
          <w:rFonts w:ascii="Arial" w:hAnsi="Arial"/>
          <w:rtl/>
        </w:rPr>
      </w:pPr>
    </w:p>
    <w:p w14:paraId="475731EE" w14:textId="77777777" w:rsidR="0009301B" w:rsidRDefault="00B81E87">
      <w:pPr>
        <w:spacing w:line="360" w:lineRule="auto"/>
        <w:jc w:val="both"/>
        <w:rPr>
          <w:rFonts w:ascii="Arial" w:hAnsi="Arial"/>
          <w:rtl/>
        </w:rPr>
      </w:pPr>
      <w:r>
        <w:rPr>
          <w:rFonts w:ascii="Arial" w:hAnsi="Arial" w:hint="cs"/>
          <w:rtl/>
        </w:rPr>
        <w:t xml:space="preserve">מנגד, ב"כ הפנה להודאתו ולחסכון בזמן שיפוטי יקר, וזאת בשים לב לרשימת עדי התביעה. עוד הפנה לכך שעסקינן בנאשם צעיר, כבן 25, אשר זוהי הסתבכותו הראשונה בחייו. אשר לנסיבות חייו האישיות- ציין כי זה נשוי ואב לתינוק בן חצי שנה. כמו כן, הנאשם התייתם מאביו בגיל צעיר יחסית ומאסרו קשה גם לאמו האלמנה. אשר למעשה- ציין כי המדובר ברף הנמוך בעבירות בכגון </w:t>
      </w:r>
      <w:r>
        <w:rPr>
          <w:rFonts w:ascii="Arial" w:hAnsi="Arial" w:hint="cs"/>
          <w:rtl/>
        </w:rPr>
        <w:lastRenderedPageBreak/>
        <w:t xml:space="preserve">דא. בנסיבות אלו, עותר להסתפק ב-3 חודשים ויום. כמו כן, בנוגע לחילוט הרכב- ציין כי המדובר ברכב השייך לאחיו של הנאשם ולפיכך אין לחלטו.    </w:t>
      </w:r>
    </w:p>
    <w:p w14:paraId="77234E73" w14:textId="77777777" w:rsidR="0009301B" w:rsidRDefault="0009301B">
      <w:pPr>
        <w:spacing w:line="360" w:lineRule="auto"/>
        <w:jc w:val="both"/>
        <w:rPr>
          <w:rFonts w:ascii="Arial" w:hAnsi="Arial"/>
          <w:rtl/>
        </w:rPr>
      </w:pPr>
    </w:p>
    <w:p w14:paraId="20858D90" w14:textId="77777777" w:rsidR="0009301B" w:rsidRDefault="00B81E87">
      <w:pPr>
        <w:spacing w:line="360" w:lineRule="auto"/>
        <w:jc w:val="both"/>
        <w:rPr>
          <w:rFonts w:ascii="Arial" w:hAnsi="Arial"/>
          <w:b/>
          <w:bCs/>
          <w:u w:val="single"/>
          <w:rtl/>
        </w:rPr>
      </w:pPr>
      <w:r>
        <w:rPr>
          <w:rFonts w:ascii="Arial" w:hAnsi="Arial" w:hint="cs"/>
          <w:b/>
          <w:bCs/>
          <w:u w:val="single"/>
          <w:rtl/>
        </w:rPr>
        <w:t xml:space="preserve">דיון והכרעה </w:t>
      </w:r>
    </w:p>
    <w:p w14:paraId="3E94837C" w14:textId="77777777" w:rsidR="0009301B" w:rsidRDefault="00B81E87">
      <w:pPr>
        <w:spacing w:line="360" w:lineRule="auto"/>
        <w:jc w:val="both"/>
        <w:rPr>
          <w:rFonts w:ascii="Arial" w:hAnsi="Arial"/>
          <w:rtl/>
        </w:rPr>
      </w:pPr>
      <w:r>
        <w:rPr>
          <w:rFonts w:ascii="Arial" w:hAnsi="Arial" w:hint="cs"/>
          <w:rtl/>
        </w:rPr>
        <w:t xml:space="preserve">כפתח דבר, יצוין כי כתב האישום המתוקן מתאר שני אירועים נפרדים אשר בוצעו במקומות שונים בתאריכים שונים, ובנסיבות שונות ומכאן גם ייקבע מתחם שונה לכל אירוע. </w:t>
      </w:r>
    </w:p>
    <w:p w14:paraId="62851266" w14:textId="77777777" w:rsidR="0009301B" w:rsidRDefault="0009301B">
      <w:pPr>
        <w:spacing w:line="360" w:lineRule="auto"/>
        <w:jc w:val="both"/>
        <w:rPr>
          <w:rFonts w:ascii="Times New Roman" w:hAnsi="Times New Roman"/>
          <w:noProof/>
          <w:rtl/>
          <w:lang w:eastAsia="he-IL"/>
        </w:rPr>
      </w:pPr>
    </w:p>
    <w:p w14:paraId="261FB18B" w14:textId="77777777" w:rsidR="0009301B" w:rsidRDefault="00B81E87">
      <w:pPr>
        <w:spacing w:line="360" w:lineRule="auto"/>
        <w:jc w:val="both"/>
        <w:rPr>
          <w:lang w:eastAsia="he-IL"/>
        </w:rPr>
      </w:pPr>
      <w:r>
        <w:rPr>
          <w:rFonts w:hint="cs"/>
          <w:rtl/>
          <w:lang w:eastAsia="he-IL"/>
        </w:rPr>
        <w:t>הערך החברתי המוגן העומד בבסיס עבירות הסמים הינו בראש ובראשונה בריאות הציבור. בתי המשפט חזרו רבות על הצורך במיגור עבירות אלו וזאת בכל שלבי מערך הפצת הסם, החל בשימוש עצמי וכלה בעבירות הסחר החמורות. עבירות אלו לרוב מלוות ואף יוצרות עבירות נוספות וזאת בשל הצורך העז והבלתי נשלט, למצער, להשיג את אותה מנת סם.  אפנה לדבריו של כב' השופט א' שהם ב</w:t>
      </w:r>
      <w:hyperlink r:id="rId7" w:history="1">
        <w:r w:rsidRPr="00B81E87">
          <w:rPr>
            <w:color w:val="0000FF"/>
            <w:u w:val="single"/>
            <w:rtl/>
            <w:lang w:eastAsia="he-IL"/>
          </w:rPr>
          <w:t>ע"פ 3117/12</w:t>
        </w:r>
      </w:hyperlink>
      <w:r>
        <w:rPr>
          <w:rFonts w:hint="cs"/>
          <w:rtl/>
          <w:lang w:eastAsia="he-IL"/>
        </w:rPr>
        <w:t xml:space="preserve"> </w:t>
      </w:r>
      <w:r>
        <w:rPr>
          <w:rFonts w:hint="cs"/>
          <w:b/>
          <w:bCs/>
          <w:u w:val="single"/>
          <w:rtl/>
          <w:lang w:eastAsia="he-IL"/>
        </w:rPr>
        <w:t>ארביב נ' מדינת ישראל</w:t>
      </w:r>
      <w:r>
        <w:rPr>
          <w:rFonts w:hint="cs"/>
          <w:rtl/>
          <w:lang w:eastAsia="he-IL"/>
        </w:rPr>
        <w:t xml:space="preserve"> (6.9.12) לעניין הנזקים שנגרמים בעקבות עבירות הסמים: </w:t>
      </w:r>
    </w:p>
    <w:p w14:paraId="28EAD6D9" w14:textId="77777777" w:rsidR="0009301B" w:rsidRDefault="00B81E87">
      <w:pPr>
        <w:tabs>
          <w:tab w:val="left" w:pos="7046"/>
        </w:tabs>
        <w:ind w:left="1440" w:right="1260"/>
        <w:jc w:val="both"/>
        <w:rPr>
          <w:b/>
          <w:bCs/>
          <w:rtl/>
          <w:lang w:eastAsia="he-IL"/>
        </w:rPr>
      </w:pPr>
      <w:r>
        <w:rPr>
          <w:rFonts w:hint="cs"/>
          <w:b/>
          <w:bCs/>
          <w:rtl/>
        </w:rPr>
        <w:t>"בית משפט זה עמד, לא אחת, על חומרתן היתירה של עבירות הסמים, ועל ההשלכות הקשות שיש לשימוש בסם על גופו ועל נפשו של המשתמש</w:t>
      </w:r>
      <w:r>
        <w:rPr>
          <w:rFonts w:hint="cs"/>
          <w:b/>
          <w:bCs/>
          <w:rtl/>
          <w:lang w:eastAsia="he-IL"/>
        </w:rPr>
        <w:t>"</w:t>
      </w:r>
    </w:p>
    <w:p w14:paraId="544102E5" w14:textId="77777777" w:rsidR="0009301B" w:rsidRDefault="0009301B">
      <w:pPr>
        <w:tabs>
          <w:tab w:val="left" w:pos="7046"/>
        </w:tabs>
        <w:ind w:left="1440" w:right="1260"/>
        <w:jc w:val="both"/>
        <w:rPr>
          <w:b/>
          <w:bCs/>
          <w:lang w:eastAsia="he-IL"/>
        </w:rPr>
      </w:pPr>
    </w:p>
    <w:p w14:paraId="5D18F0A5" w14:textId="77777777" w:rsidR="0009301B" w:rsidRDefault="00B81E87">
      <w:pPr>
        <w:spacing w:line="360" w:lineRule="auto"/>
        <w:jc w:val="both"/>
        <w:rPr>
          <w:lang w:eastAsia="he-IL"/>
        </w:rPr>
      </w:pPr>
      <w:r>
        <w:rPr>
          <w:rFonts w:hint="cs"/>
          <w:rtl/>
          <w:lang w:eastAsia="he-IL"/>
        </w:rPr>
        <w:t xml:space="preserve">על החומרה בענישה שיש לנקוט כלפי המעורבים בשרשרת הפצת הסם ראה </w:t>
      </w:r>
      <w:hyperlink r:id="rId8" w:history="1">
        <w:r w:rsidRPr="00B81E87">
          <w:rPr>
            <w:color w:val="0000FF"/>
            <w:u w:val="single"/>
            <w:rtl/>
          </w:rPr>
          <w:t>ע"פ 211/09</w:t>
        </w:r>
      </w:hyperlink>
      <w:r>
        <w:rPr>
          <w:rFonts w:hint="cs"/>
          <w:rtl/>
        </w:rPr>
        <w:t xml:space="preserve"> </w:t>
      </w:r>
      <w:r>
        <w:rPr>
          <w:rFonts w:hint="cs"/>
          <w:b/>
          <w:bCs/>
          <w:u w:val="single"/>
          <w:rtl/>
        </w:rPr>
        <w:t>שמעון אזולאי נ' מדינת ישראל</w:t>
      </w:r>
      <w:r>
        <w:rPr>
          <w:rFonts w:hint="cs"/>
          <w:rtl/>
        </w:rPr>
        <w:t xml:space="preserve"> (22.6.2010):</w:t>
      </w:r>
    </w:p>
    <w:p w14:paraId="20D4C189" w14:textId="77777777" w:rsidR="0009301B" w:rsidRDefault="00B81E87">
      <w:pPr>
        <w:tabs>
          <w:tab w:val="num" w:pos="1466"/>
        </w:tabs>
        <w:spacing w:before="60"/>
        <w:ind w:left="1466" w:right="1260"/>
        <w:jc w:val="both"/>
        <w:rPr>
          <w:rFonts w:ascii="Arial" w:hAnsi="Arial"/>
          <w:b/>
          <w:bCs/>
          <w:rtl/>
        </w:rPr>
      </w:pPr>
      <w:r>
        <w:rPr>
          <w:rFonts w:ascii="Arial" w:hAnsi="Arial" w:hint="cs"/>
          <w:b/>
          <w:bCs/>
          <w:rtl/>
        </w:rPr>
        <w:t>"... הענישה בעבירות מסוג זה נועדה, קודם לכל, לשרת את מטרת הגמול לעבריין על עיסוק בסם העלול לסכן חיי אדם ולפגוע בבריאות המשתמשים בו; שנית, על העונש להעביר מסר חד-משמעי של הרתעה ביחס לעבריינים פוטנציאליים, ולשמש אות אזהרה אפקטיבי לכל מי שמתכוון לקחת חלק במערכת ההעברות והסחר בסמים, תהא אשר תהא הפונקציה אותה הוא ממלא בשרשרת זו של העברת הסם מיד ליד. מזה זמן רב, מדגישים בתי המשפט בפסיקתם את חשיבות הערך הענישתי בעבירות סמים כאחד הכלים החשובים בפעילות לביעורו של נגע הסמים. ההחמרה בענישה בגין עבירות סמים משרתת את מטרות הגמול וההרתעה, שהן היעדים העיקריים של הענישה בתחום הסמים".</w:t>
      </w:r>
    </w:p>
    <w:p w14:paraId="1D116536" w14:textId="77777777" w:rsidR="0009301B" w:rsidRDefault="00B81E87">
      <w:pPr>
        <w:spacing w:line="360" w:lineRule="auto"/>
        <w:jc w:val="both"/>
        <w:rPr>
          <w:rFonts w:ascii="Times New Roman" w:hAnsi="Times New Roman"/>
          <w:lang w:eastAsia="he-IL"/>
        </w:rPr>
      </w:pPr>
      <w:r>
        <w:rPr>
          <w:rFonts w:hint="cs"/>
          <w:rtl/>
          <w:lang w:eastAsia="he-IL"/>
        </w:rPr>
        <w:tab/>
      </w:r>
    </w:p>
    <w:p w14:paraId="3F64842F" w14:textId="77777777" w:rsidR="0009301B" w:rsidRDefault="00B81E87">
      <w:pPr>
        <w:spacing w:line="360" w:lineRule="auto"/>
        <w:jc w:val="both"/>
        <w:rPr>
          <w:rtl/>
          <w:lang w:eastAsia="he-IL"/>
        </w:rPr>
      </w:pPr>
      <w:r>
        <w:rPr>
          <w:rFonts w:hint="cs"/>
          <w:rtl/>
        </w:rPr>
        <w:t xml:space="preserve">בנוגע להתייחסות לסם מסוג חשיש, הרי שאין להקל בו ראש, הגם שאינו נמנה עם הסמים הקטלניים אפנה לדבריו היפים של כב' השופט חשין </w:t>
      </w:r>
      <w:r>
        <w:rPr>
          <w:rFonts w:hint="cs"/>
          <w:rtl/>
          <w:lang w:eastAsia="he-IL"/>
        </w:rPr>
        <w:t>ב</w:t>
      </w:r>
      <w:hyperlink r:id="rId9" w:history="1">
        <w:r w:rsidRPr="00B81E87">
          <w:rPr>
            <w:color w:val="0000FF"/>
            <w:u w:val="single"/>
            <w:rtl/>
            <w:lang w:eastAsia="he-IL"/>
          </w:rPr>
          <w:t>בש"פ 442/96</w:t>
        </w:r>
      </w:hyperlink>
      <w:r>
        <w:rPr>
          <w:rFonts w:hint="cs"/>
          <w:rtl/>
          <w:lang w:eastAsia="he-IL"/>
        </w:rPr>
        <w:t xml:space="preserve"> </w:t>
      </w:r>
      <w:r>
        <w:rPr>
          <w:rFonts w:hint="cs"/>
          <w:b/>
          <w:bCs/>
          <w:rtl/>
          <w:lang w:eastAsia="he-IL"/>
        </w:rPr>
        <w:t>מדינת ישראל נ' יריב טולדנו</w:t>
      </w:r>
      <w:r>
        <w:rPr>
          <w:rFonts w:hint="cs"/>
          <w:rtl/>
          <w:lang w:eastAsia="he-IL"/>
        </w:rPr>
        <w:t xml:space="preserve"> (לא פורסם): </w:t>
      </w:r>
    </w:p>
    <w:p w14:paraId="0E2FE86D" w14:textId="77777777" w:rsidR="0009301B" w:rsidRDefault="0009301B">
      <w:pPr>
        <w:spacing w:line="360" w:lineRule="auto"/>
        <w:jc w:val="both"/>
        <w:rPr>
          <w:rtl/>
          <w:lang w:eastAsia="he-IL"/>
        </w:rPr>
      </w:pPr>
    </w:p>
    <w:p w14:paraId="5EF45FE8" w14:textId="77777777" w:rsidR="0009301B" w:rsidRDefault="00B81E87">
      <w:pPr>
        <w:spacing w:line="360" w:lineRule="auto"/>
        <w:jc w:val="both"/>
        <w:rPr>
          <w:rtl/>
          <w:lang w:eastAsia="he-IL"/>
        </w:rPr>
      </w:pPr>
      <w:r>
        <w:rPr>
          <w:rFonts w:hint="cs"/>
          <w:rtl/>
          <w:lang w:eastAsia="he-IL"/>
        </w:rPr>
        <w:t>"</w:t>
      </w:r>
      <w:r>
        <w:rPr>
          <w:rFonts w:hint="cs"/>
          <w:b/>
          <w:bCs/>
          <w:rtl/>
          <w:lang w:eastAsia="he-IL"/>
        </w:rPr>
        <w:t>סם מסוכן הוא סם מסוכן גם אם אינו מן הסמים ה"קשים". נזכיר לעצמנו, שמא יישכח הדבר מאיתנו, כי המשיב עסק בסחר בסם מסוכן, דהיינו, בעבור בצע-כסף נכון היה לסכן את בריאותם ואת נפשם של אחרים</w:t>
      </w:r>
      <w:r>
        <w:rPr>
          <w:rFonts w:hint="cs"/>
          <w:rtl/>
          <w:lang w:eastAsia="he-IL"/>
        </w:rPr>
        <w:t xml:space="preserve">...". </w:t>
      </w:r>
    </w:p>
    <w:p w14:paraId="60103DF7" w14:textId="77777777" w:rsidR="0009301B" w:rsidRDefault="0009301B">
      <w:pPr>
        <w:spacing w:line="360" w:lineRule="auto"/>
        <w:jc w:val="both"/>
        <w:rPr>
          <w:rtl/>
          <w:lang w:eastAsia="he-IL"/>
        </w:rPr>
      </w:pPr>
    </w:p>
    <w:p w14:paraId="6A262224" w14:textId="77777777" w:rsidR="0009301B" w:rsidRDefault="00B81E87">
      <w:pPr>
        <w:spacing w:line="360" w:lineRule="auto"/>
        <w:jc w:val="both"/>
        <w:rPr>
          <w:rtl/>
          <w:lang w:eastAsia="he-IL"/>
        </w:rPr>
      </w:pPr>
      <w:r>
        <w:rPr>
          <w:rFonts w:hint="cs"/>
          <w:rtl/>
        </w:rPr>
        <w:t xml:space="preserve">על "המדרון החלקלק" שבשימוש בסמים ראו </w:t>
      </w:r>
      <w:hyperlink r:id="rId10" w:history="1">
        <w:r w:rsidRPr="00B81E87">
          <w:rPr>
            <w:color w:val="0000FF"/>
            <w:u w:val="single"/>
            <w:rtl/>
            <w:lang w:eastAsia="he-IL"/>
          </w:rPr>
          <w:t>ע"פ 170/07</w:t>
        </w:r>
      </w:hyperlink>
      <w:r>
        <w:rPr>
          <w:rFonts w:hint="cs"/>
          <w:rtl/>
          <w:lang w:eastAsia="he-IL"/>
        </w:rPr>
        <w:t xml:space="preserve"> </w:t>
      </w:r>
      <w:r>
        <w:rPr>
          <w:rFonts w:hint="cs"/>
          <w:b/>
          <w:bCs/>
          <w:rtl/>
          <w:lang w:eastAsia="he-IL"/>
        </w:rPr>
        <w:t>ליאור מטיס נ' מ"י</w:t>
      </w:r>
      <w:r>
        <w:rPr>
          <w:rFonts w:hint="cs"/>
          <w:rtl/>
          <w:lang w:eastAsia="he-IL"/>
        </w:rPr>
        <w:t xml:space="preserve">  (19/11/2007):</w:t>
      </w:r>
    </w:p>
    <w:p w14:paraId="53F8B11E" w14:textId="77777777" w:rsidR="0009301B" w:rsidRDefault="00B81E87">
      <w:pPr>
        <w:spacing w:line="276" w:lineRule="auto"/>
        <w:ind w:left="567" w:right="709"/>
        <w:jc w:val="both"/>
        <w:rPr>
          <w:b/>
          <w:bCs/>
          <w:rtl/>
          <w:lang w:eastAsia="he-IL"/>
        </w:rPr>
      </w:pPr>
      <w:r>
        <w:rPr>
          <w:rFonts w:hint="cs"/>
          <w:rtl/>
          <w:lang w:eastAsia="he-IL"/>
        </w:rPr>
        <w:t>"</w:t>
      </w:r>
      <w:r>
        <w:rPr>
          <w:rFonts w:hint="cs"/>
          <w:b/>
          <w:bCs/>
          <w:rtl/>
          <w:lang w:eastAsia="he-IL"/>
        </w:rPr>
        <w:t xml:space="preserve">לרוע המזל, סמים קלים מהווים לעיתים קרובות את יריית הפתיחה להתמכרות לסמים קשים יותר שלא לדבר על כך שגם בשימוש בהם עצמם טמונה סכנה" </w:t>
      </w:r>
    </w:p>
    <w:p w14:paraId="06AFB746" w14:textId="77777777" w:rsidR="0009301B" w:rsidRDefault="0009301B">
      <w:pPr>
        <w:spacing w:line="276" w:lineRule="auto"/>
        <w:ind w:left="1134"/>
        <w:jc w:val="both"/>
        <w:rPr>
          <w:rtl/>
          <w:lang w:eastAsia="he-IL"/>
        </w:rPr>
      </w:pPr>
    </w:p>
    <w:p w14:paraId="1E16B712" w14:textId="77777777" w:rsidR="0009301B" w:rsidRDefault="00B81E87">
      <w:pPr>
        <w:spacing w:line="276" w:lineRule="auto"/>
        <w:jc w:val="both"/>
        <w:rPr>
          <w:rtl/>
          <w:lang w:eastAsia="he-IL"/>
        </w:rPr>
      </w:pPr>
      <w:r>
        <w:rPr>
          <w:rFonts w:hint="cs"/>
          <w:rtl/>
          <w:lang w:eastAsia="he-IL"/>
        </w:rPr>
        <w:t xml:space="preserve">וכן </w:t>
      </w:r>
      <w:hyperlink r:id="rId11" w:history="1">
        <w:r w:rsidRPr="00B81E87">
          <w:rPr>
            <w:color w:val="0000FF"/>
            <w:u w:val="single"/>
            <w:rtl/>
            <w:lang w:eastAsia="he-IL"/>
          </w:rPr>
          <w:t>ע"פ 407/97</w:t>
        </w:r>
      </w:hyperlink>
      <w:r>
        <w:rPr>
          <w:rFonts w:hint="cs"/>
          <w:rtl/>
          <w:lang w:eastAsia="he-IL"/>
        </w:rPr>
        <w:t xml:space="preserve"> </w:t>
      </w:r>
      <w:r>
        <w:rPr>
          <w:rFonts w:hint="cs"/>
          <w:b/>
          <w:bCs/>
          <w:rtl/>
          <w:lang w:eastAsia="he-IL"/>
        </w:rPr>
        <w:t>אמויאל נ' מדינת ישראל,</w:t>
      </w:r>
      <w:r>
        <w:rPr>
          <w:rFonts w:hint="cs"/>
          <w:rtl/>
          <w:lang w:eastAsia="he-IL"/>
        </w:rPr>
        <w:t xml:space="preserve"> תק-על 97(2), 375:</w:t>
      </w:r>
    </w:p>
    <w:p w14:paraId="687A01AE" w14:textId="77777777" w:rsidR="0009301B" w:rsidRDefault="0009301B">
      <w:pPr>
        <w:spacing w:line="276" w:lineRule="auto"/>
        <w:jc w:val="both"/>
        <w:rPr>
          <w:rtl/>
          <w:lang w:eastAsia="he-IL"/>
        </w:rPr>
      </w:pPr>
    </w:p>
    <w:p w14:paraId="2B9F6FBE" w14:textId="77777777" w:rsidR="0009301B" w:rsidRDefault="00B81E87">
      <w:pPr>
        <w:spacing w:line="276" w:lineRule="auto"/>
        <w:ind w:left="708" w:right="709"/>
        <w:jc w:val="both"/>
        <w:rPr>
          <w:b/>
          <w:bCs/>
          <w:rtl/>
          <w:lang w:eastAsia="he-IL"/>
        </w:rPr>
      </w:pPr>
      <w:r>
        <w:rPr>
          <w:rFonts w:hint="cs"/>
          <w:b/>
          <w:bCs/>
          <w:rtl/>
          <w:lang w:eastAsia="he-IL"/>
        </w:rPr>
        <w:t>"המאבק בהפצת הסמים כולל גם הפצתם של סמים קלים יחסית, דוגמת הקנבוס; ולמיותר יהיה לחזור ולהזכיר את המעבר הקל - והטבעי - מצריכתם של סמים קלים לכבדים יותר."</w:t>
      </w:r>
    </w:p>
    <w:p w14:paraId="1E8E8559" w14:textId="77777777" w:rsidR="0009301B" w:rsidRDefault="0009301B">
      <w:pPr>
        <w:spacing w:line="360" w:lineRule="auto"/>
        <w:jc w:val="both"/>
        <w:rPr>
          <w:rtl/>
          <w:lang w:eastAsia="he-IL"/>
        </w:rPr>
      </w:pPr>
    </w:p>
    <w:p w14:paraId="5C9E5915" w14:textId="77777777" w:rsidR="0009301B" w:rsidRDefault="00B81E87">
      <w:pPr>
        <w:spacing w:line="360" w:lineRule="auto"/>
        <w:jc w:val="both"/>
        <w:rPr>
          <w:rtl/>
          <w:lang w:eastAsia="he-IL"/>
        </w:rPr>
      </w:pPr>
      <w:r>
        <w:rPr>
          <w:rFonts w:hint="cs"/>
          <w:rtl/>
          <w:lang w:eastAsia="he-IL"/>
        </w:rPr>
        <w:t xml:space="preserve">עוד ראה בעניין זה </w:t>
      </w:r>
      <w:hyperlink r:id="rId12" w:history="1">
        <w:r w:rsidRPr="00B81E87">
          <w:rPr>
            <w:color w:val="0000FF"/>
            <w:u w:val="single"/>
            <w:rtl/>
            <w:lang w:eastAsia="he-IL"/>
          </w:rPr>
          <w:t>רע"פ 7996/12</w:t>
        </w:r>
      </w:hyperlink>
      <w:r>
        <w:rPr>
          <w:rFonts w:hint="cs"/>
          <w:rtl/>
          <w:lang w:eastAsia="he-IL"/>
        </w:rPr>
        <w:t xml:space="preserve"> </w:t>
      </w:r>
      <w:r>
        <w:rPr>
          <w:rFonts w:hint="cs"/>
          <w:b/>
          <w:bCs/>
          <w:u w:val="single"/>
          <w:rtl/>
          <w:lang w:eastAsia="he-IL"/>
        </w:rPr>
        <w:t>אליהו יוסף נ' מדינת ישראל</w:t>
      </w:r>
      <w:r>
        <w:rPr>
          <w:rFonts w:hint="cs"/>
          <w:rtl/>
          <w:lang w:eastAsia="he-IL"/>
        </w:rPr>
        <w:t xml:space="preserve"> (23.1.13). שם נקבע כי השיקול ההרתעתי שריר ותקף אף בכמויות שאינן גבוהות: </w:t>
      </w:r>
    </w:p>
    <w:p w14:paraId="41CC6BD9" w14:textId="77777777" w:rsidR="0009301B" w:rsidRDefault="00B81E87">
      <w:pPr>
        <w:ind w:left="1826" w:right="1260"/>
        <w:jc w:val="both"/>
        <w:rPr>
          <w:b/>
          <w:bCs/>
          <w:rtl/>
          <w:lang w:eastAsia="he-IL"/>
        </w:rPr>
      </w:pPr>
      <w:r>
        <w:rPr>
          <w:rFonts w:hint="cs"/>
          <w:b/>
          <w:bCs/>
          <w:rtl/>
        </w:rPr>
        <w:t xml:space="preserve">"...לא אחת עמד בית משפט זה על הצורך במדיניות ענישה מחמירה בעבירות מסוג זה, כחלק מהמלחמה בנגע הסמים ובהשפעתו השלילית על החברה (ראו </w:t>
      </w:r>
      <w:hyperlink r:id="rId13" w:history="1">
        <w:r w:rsidRPr="00B81E87">
          <w:rPr>
            <w:rFonts w:ascii="Times New Roman" w:hAnsi="Times New Roman" w:cs="Times New Roman"/>
            <w:b/>
            <w:bCs/>
            <w:color w:val="0000FF"/>
            <w:u w:val="single"/>
            <w:rtl/>
          </w:rPr>
          <w:t>ע"פ 3578/12</w:t>
        </w:r>
      </w:hyperlink>
      <w:r>
        <w:rPr>
          <w:rFonts w:hint="cs"/>
          <w:b/>
          <w:bCs/>
          <w:rtl/>
        </w:rPr>
        <w:t xml:space="preserve"> עזמה נ' מדינת ישראל (17.1.2013)). </w:t>
      </w:r>
      <w:r>
        <w:rPr>
          <w:rFonts w:hint="cs"/>
          <w:b/>
          <w:bCs/>
          <w:u w:val="single"/>
          <w:rtl/>
        </w:rPr>
        <w:t>אף אם כמויות הסמים נושא העבירות "קטנות" – כטענת המבקש – אין בכך כדי להפחית מחומרתן של עבירות אלה ומהצורך למגר אותן באמצעות הטלת עונש בעל היבט הרתעת</w:t>
      </w:r>
      <w:r>
        <w:rPr>
          <w:rFonts w:hint="cs"/>
          <w:b/>
          <w:bCs/>
          <w:rtl/>
        </w:rPr>
        <w:t xml:space="preserve">י". </w:t>
      </w:r>
    </w:p>
    <w:p w14:paraId="5A5228EA" w14:textId="77777777" w:rsidR="0009301B" w:rsidRDefault="0009301B">
      <w:pPr>
        <w:ind w:left="1826" w:right="1260"/>
        <w:jc w:val="both"/>
        <w:rPr>
          <w:b/>
          <w:bCs/>
          <w:rtl/>
          <w:lang w:eastAsia="he-IL"/>
        </w:rPr>
      </w:pPr>
    </w:p>
    <w:p w14:paraId="1CF884FB" w14:textId="77777777" w:rsidR="0009301B" w:rsidRDefault="00B81E87">
      <w:pPr>
        <w:ind w:left="1826" w:right="1260"/>
        <w:jc w:val="both"/>
        <w:rPr>
          <w:rtl/>
          <w:lang w:eastAsia="he-IL"/>
        </w:rPr>
      </w:pPr>
      <w:r>
        <w:rPr>
          <w:rFonts w:hint="cs"/>
          <w:b/>
          <w:bCs/>
          <w:rtl/>
          <w:lang w:eastAsia="he-IL"/>
        </w:rPr>
        <w:tab/>
      </w:r>
      <w:r>
        <w:rPr>
          <w:rFonts w:hint="cs"/>
          <w:b/>
          <w:bCs/>
          <w:rtl/>
          <w:lang w:eastAsia="he-IL"/>
        </w:rPr>
        <w:tab/>
      </w:r>
      <w:r>
        <w:rPr>
          <w:rFonts w:hint="cs"/>
          <w:b/>
          <w:bCs/>
          <w:rtl/>
          <w:lang w:eastAsia="he-IL"/>
        </w:rPr>
        <w:tab/>
        <w:t xml:space="preserve">      </w:t>
      </w:r>
      <w:r>
        <w:rPr>
          <w:rFonts w:hint="cs"/>
          <w:rtl/>
          <w:lang w:eastAsia="he-IL"/>
        </w:rPr>
        <w:t>(ההדגשות אינן במקור- ד.ב.ט.)</w:t>
      </w:r>
    </w:p>
    <w:p w14:paraId="05126136" w14:textId="77777777" w:rsidR="0009301B" w:rsidRDefault="0009301B">
      <w:pPr>
        <w:ind w:right="1260"/>
        <w:jc w:val="both"/>
        <w:rPr>
          <w:rtl/>
          <w:lang w:eastAsia="he-IL"/>
        </w:rPr>
      </w:pPr>
    </w:p>
    <w:p w14:paraId="2D2807CB" w14:textId="77777777" w:rsidR="0009301B" w:rsidRDefault="0009301B">
      <w:pPr>
        <w:ind w:right="1260"/>
        <w:jc w:val="both"/>
        <w:rPr>
          <w:rtl/>
          <w:lang w:eastAsia="he-IL"/>
        </w:rPr>
      </w:pPr>
    </w:p>
    <w:p w14:paraId="73BFD2E8" w14:textId="77777777" w:rsidR="0009301B" w:rsidRDefault="00B81E87">
      <w:pPr>
        <w:spacing w:line="360" w:lineRule="auto"/>
        <w:jc w:val="both"/>
        <w:rPr>
          <w:rtl/>
          <w:lang w:eastAsia="he-IL"/>
        </w:rPr>
      </w:pPr>
      <w:r>
        <w:rPr>
          <w:rFonts w:hint="cs"/>
          <w:rtl/>
          <w:lang w:eastAsia="he-IL"/>
        </w:rPr>
        <w:t xml:space="preserve">אשר למדיניות הענישה הנוהגת בעבירות בהן הורשע הנאשם , הרי שבדומה לעבירות אחרות ניתן למצוא קשת רחבה ביותר של עונשים החל מעונשי מאסר צופים פני עתיד ועד לעונשי מאסר המגיעים לשנה ויותר. בצד האמור לעיל, הרי שהדרך הכלל ניתן לומר כי הענישה הנוהגת נעה בין מספר חודשים מצומצם של מאסר בפועל שיכול וירוצה בדרך של עבודות שירות ועד שנת מאסר. </w:t>
      </w:r>
    </w:p>
    <w:p w14:paraId="210AF828" w14:textId="77777777" w:rsidR="0009301B" w:rsidRDefault="0009301B">
      <w:pPr>
        <w:spacing w:line="360" w:lineRule="auto"/>
        <w:jc w:val="both"/>
        <w:rPr>
          <w:rtl/>
          <w:lang w:eastAsia="he-IL"/>
        </w:rPr>
      </w:pPr>
    </w:p>
    <w:p w14:paraId="3CDEE355" w14:textId="77777777" w:rsidR="0009301B" w:rsidRDefault="00B81E87">
      <w:pPr>
        <w:spacing w:line="360" w:lineRule="auto"/>
        <w:jc w:val="both"/>
        <w:rPr>
          <w:rtl/>
          <w:lang w:eastAsia="he-IL"/>
        </w:rPr>
      </w:pPr>
      <w:r>
        <w:rPr>
          <w:rFonts w:hint="cs"/>
          <w:rtl/>
          <w:lang w:eastAsia="he-IL"/>
        </w:rPr>
        <w:t xml:space="preserve">מידת הפגיעה בערכים המפורטים ביחס לכל אחד מן האישומים נמצאת ברף הבינוני נמוך. ככל שהדבר נוגע לאישום הראשון מדובר באספקה ללא תמורה של סם אשר אינו נמנה על הסמים הקטלניים. כמות עצמה אינה גדולה ומתמצת בגרם אחד בלבד. מנגד, המדובר במעשה שקדם לו תכנון ובוצע באופן בלעדי ע"י הנאשם. כך גם יש ליתן הדעת לכך שאין קשר חברי בין הסוכן לבין הנאשם. לשון אחר, האספקה לא נעשתה בנסיבות חברתיות אלא בין ספק סם לבין צרכן לכאורי של סם. </w:t>
      </w:r>
    </w:p>
    <w:p w14:paraId="4DC414B0" w14:textId="77777777" w:rsidR="0009301B" w:rsidRDefault="0009301B">
      <w:pPr>
        <w:spacing w:line="360" w:lineRule="auto"/>
        <w:jc w:val="both"/>
        <w:rPr>
          <w:rtl/>
          <w:lang w:eastAsia="he-IL"/>
        </w:rPr>
      </w:pPr>
    </w:p>
    <w:p w14:paraId="765A717C" w14:textId="77777777" w:rsidR="0009301B" w:rsidRDefault="00B81E87">
      <w:pPr>
        <w:spacing w:line="360" w:lineRule="auto"/>
        <w:jc w:val="both"/>
        <w:rPr>
          <w:rtl/>
          <w:lang w:eastAsia="he-IL"/>
        </w:rPr>
      </w:pPr>
      <w:r>
        <w:rPr>
          <w:rFonts w:hint="cs"/>
          <w:rtl/>
          <w:lang w:eastAsia="he-IL"/>
        </w:rPr>
        <w:t xml:space="preserve">נסיבות העברת הסם עפ"י האמור בכתב האישום המתוקן לוטות בערפל, יחד עם זאת, לא נטען כי הנאשם השתמש בסמים והדבר נועד לצורך מימון התמכרות זו. משכך, הרי מעורבותו של הנאשם בעולם הסמים, יש להניח מבוססת על רצון להשגת רווחים כספיים קלים ומהירים, על חשבון ביטחונו של הציבור. </w:t>
      </w:r>
    </w:p>
    <w:p w14:paraId="06C0A22E" w14:textId="77777777" w:rsidR="0009301B" w:rsidRDefault="0009301B">
      <w:pPr>
        <w:spacing w:line="360" w:lineRule="auto"/>
        <w:jc w:val="both"/>
        <w:rPr>
          <w:rtl/>
          <w:lang w:eastAsia="he-IL"/>
        </w:rPr>
      </w:pPr>
    </w:p>
    <w:p w14:paraId="271A6334" w14:textId="77777777" w:rsidR="0009301B" w:rsidRDefault="00B81E87">
      <w:pPr>
        <w:spacing w:line="360" w:lineRule="auto"/>
        <w:jc w:val="both"/>
        <w:rPr>
          <w:rtl/>
          <w:lang w:eastAsia="he-IL"/>
        </w:rPr>
      </w:pPr>
      <w:r>
        <w:rPr>
          <w:rFonts w:hint="cs"/>
          <w:rtl/>
          <w:lang w:eastAsia="he-IL"/>
        </w:rPr>
        <w:t xml:space="preserve">אשר לאישום השני, המדובר מחד בכמות הגדולה משמעותית מזו המפורטת באישום הראשון, מאידך, אין המדובר בעבירה של סחר אלא בעבירה של החזקת סם. אין להתעלם מהשילוב הפלילי הבעייתי של מי אשר מחד מספק סם לאדם שאינו מכיר  ומאידך מחזיק ברשותו כמות גדולה יותר של סם, אשר נועדה להפצה. הסם אף הוא אינו נמנה על הסמים הקטלניים וגם אם מדובר בכמות משמעותית של סם, אין לדבר על כמויות גדולות ומסחריות. </w:t>
      </w:r>
    </w:p>
    <w:p w14:paraId="3A5C86FA" w14:textId="77777777" w:rsidR="0009301B" w:rsidRDefault="0009301B">
      <w:pPr>
        <w:spacing w:line="360" w:lineRule="auto"/>
        <w:jc w:val="both"/>
        <w:rPr>
          <w:rtl/>
          <w:lang w:eastAsia="he-IL"/>
        </w:rPr>
      </w:pPr>
    </w:p>
    <w:p w14:paraId="0AB2EA6F" w14:textId="77777777" w:rsidR="0009301B" w:rsidRDefault="00B81E87">
      <w:pPr>
        <w:spacing w:line="360" w:lineRule="auto"/>
        <w:jc w:val="both"/>
        <w:rPr>
          <w:rtl/>
          <w:lang w:eastAsia="he-IL"/>
        </w:rPr>
      </w:pPr>
      <w:r>
        <w:rPr>
          <w:rFonts w:hint="cs"/>
          <w:rtl/>
        </w:rPr>
        <w:t xml:space="preserve">לאור האמור לעיל, ובשים לב לערך החברתי שנפגע ומידת הפגיעה בו, למדיניות הענישה הנהוגה בעבירות אלו וכן בשים לב לנסיבות ביצוע העבירה, הנני קובע כי מתחם העונש ההולם בגין האירוע הראשון  נע </w:t>
      </w:r>
      <w:r>
        <w:rPr>
          <w:rFonts w:hint="cs"/>
          <w:rtl/>
          <w:lang w:eastAsia="he-IL"/>
        </w:rPr>
        <w:t xml:space="preserve">בין מספר חודשי מאסר שיכול וירוצו בדרך של עבודות שירות ועד 11 חודשי מאסר בפועל. מצאתי לקבוע מתחם דומה, חרף השינויים בעובדות כתב האישום, גם ביחס לאישום השני. </w:t>
      </w:r>
    </w:p>
    <w:p w14:paraId="0CD84DFD" w14:textId="77777777" w:rsidR="0009301B" w:rsidRDefault="00B81E87">
      <w:pPr>
        <w:spacing w:line="360" w:lineRule="auto"/>
        <w:jc w:val="both"/>
        <w:rPr>
          <w:rtl/>
        </w:rPr>
      </w:pPr>
      <w:r>
        <w:rPr>
          <w:rFonts w:hint="cs"/>
          <w:rtl/>
          <w:lang w:eastAsia="he-IL"/>
        </w:rPr>
        <w:t xml:space="preserve"> </w:t>
      </w:r>
    </w:p>
    <w:p w14:paraId="61349616" w14:textId="77777777" w:rsidR="0009301B" w:rsidRDefault="00B81E87">
      <w:pPr>
        <w:spacing w:line="360" w:lineRule="auto"/>
        <w:jc w:val="both"/>
        <w:rPr>
          <w:b/>
          <w:bCs/>
          <w:u w:val="single"/>
          <w:rtl/>
        </w:rPr>
      </w:pPr>
      <w:r>
        <w:rPr>
          <w:rFonts w:hint="cs"/>
          <w:b/>
          <w:bCs/>
          <w:u w:val="single"/>
          <w:rtl/>
        </w:rPr>
        <w:t>קביעת עונשו של הנאשם בגדרי המתחמים</w:t>
      </w:r>
    </w:p>
    <w:p w14:paraId="396EA628" w14:textId="77777777" w:rsidR="0009301B" w:rsidRDefault="00B81E87">
      <w:pPr>
        <w:spacing w:line="360" w:lineRule="auto"/>
        <w:jc w:val="both"/>
        <w:rPr>
          <w:rtl/>
        </w:rPr>
      </w:pPr>
      <w:r>
        <w:rPr>
          <w:rFonts w:hint="cs"/>
          <w:rtl/>
        </w:rPr>
        <w:t xml:space="preserve">בקביעת עונשו של הנאשם בגדרי המתחמים אותם קבעתי, יש לקחת בחשבון לקולא את הודאת הנאשם אשר חסכה בזמן שיפוטי יקר. עוד יש לקחת בחשבון את גילו הצעיר של הנאשם וכן את העובדה כי זה נעדר עבר פלילי. הלה ציין כי התייתם מאביו בגיל צעיר וכי הינו אב לתינוק בן חצי שנה- בנסיבות אלו ברי כי עונש המאסר יפגע במשפחתו. על פי הנטען, לנאשם הייתה יציבות תעסוקתית וזה מוכשר לעבוד כמסגר. הואיל ולא התבקש תסקיר, לא ניתן ללמוד על שיקולי שיקום או נתונים אחרים הנוגעים לשימוש שזה עושה בסמים, אם לאו. בנסיבות אלו אין כל הצדקה לחריגה  מתחת למתחם אותו קבעתי. </w:t>
      </w:r>
    </w:p>
    <w:p w14:paraId="64E9100A" w14:textId="77777777" w:rsidR="0009301B" w:rsidRDefault="0009301B">
      <w:pPr>
        <w:spacing w:line="360" w:lineRule="auto"/>
        <w:jc w:val="both"/>
        <w:rPr>
          <w:rtl/>
        </w:rPr>
      </w:pPr>
    </w:p>
    <w:p w14:paraId="5C1942B9" w14:textId="77777777" w:rsidR="0009301B" w:rsidRDefault="00B81E87">
      <w:pPr>
        <w:spacing w:line="360" w:lineRule="auto"/>
        <w:jc w:val="both"/>
        <w:rPr>
          <w:rtl/>
        </w:rPr>
      </w:pPr>
      <w:r>
        <w:rPr>
          <w:rFonts w:hint="cs"/>
          <w:rtl/>
        </w:rPr>
        <w:t xml:space="preserve">לחומרא יש ליתן הדעת לשיקולי הרתעת הרבים על רקע נפיצותן של העבירות, בפרט אמורים הדברים נוכח הפסיקה העניפה לפיה בעבירות כגון דא, על השיקולים האישיים לסגת מפני שיקוליי הרתעה וגמול. </w:t>
      </w:r>
    </w:p>
    <w:p w14:paraId="50218D0C" w14:textId="77777777" w:rsidR="0009301B" w:rsidRDefault="0009301B">
      <w:pPr>
        <w:spacing w:line="360" w:lineRule="auto"/>
        <w:jc w:val="both"/>
        <w:rPr>
          <w:rtl/>
          <w:lang w:eastAsia="he-IL"/>
        </w:rPr>
      </w:pPr>
    </w:p>
    <w:p w14:paraId="322CD708" w14:textId="77777777" w:rsidR="0009301B" w:rsidRDefault="00B81E87">
      <w:pPr>
        <w:spacing w:line="360" w:lineRule="auto"/>
        <w:jc w:val="both"/>
        <w:rPr>
          <w:rtl/>
          <w:lang w:eastAsia="he-IL"/>
        </w:rPr>
      </w:pPr>
      <w:r>
        <w:rPr>
          <w:rFonts w:hint="cs"/>
          <w:rtl/>
          <w:lang w:eastAsia="he-IL"/>
        </w:rPr>
        <w:t xml:space="preserve">אשר לעיצום הכלכלי- בעבירות סמים, יש מקום להטיל קנס כספי משמעותי. בכך תופחת עד מאוד גם הכדאיות הכלכלית של מי המתפתה לעבור עבירות סמים. בנסיבותיו של הנאשם אטיל עיצום כספי מתון וזאת בשים לב למאפייניו האישיים, אשר מלמדים על דלות חומרית וקושי בקיום היום יומי.  </w:t>
      </w:r>
    </w:p>
    <w:p w14:paraId="7D42274B" w14:textId="77777777" w:rsidR="0009301B" w:rsidRDefault="0009301B">
      <w:pPr>
        <w:spacing w:line="360" w:lineRule="auto"/>
        <w:jc w:val="both"/>
        <w:rPr>
          <w:rtl/>
          <w:lang w:eastAsia="he-IL"/>
        </w:rPr>
      </w:pPr>
    </w:p>
    <w:p w14:paraId="6DEA5CD5" w14:textId="77777777" w:rsidR="0009301B" w:rsidRDefault="00B81E87">
      <w:pPr>
        <w:spacing w:line="360" w:lineRule="auto"/>
        <w:jc w:val="both"/>
        <w:rPr>
          <w:rtl/>
          <w:lang w:eastAsia="he-IL"/>
        </w:rPr>
      </w:pPr>
      <w:r>
        <w:rPr>
          <w:rFonts w:hint="cs"/>
          <w:rtl/>
          <w:lang w:eastAsia="he-IL"/>
        </w:rPr>
        <w:t xml:space="preserve">בשולי הדברים אציין בנוגע לעתירת ב"כ המאשימה לחילוט הרכב שבו נתפסו הסמים כי הואיל והמדובר ברכב אשר אינו רשום על שמו של הנאשם – כאשר נטען שיש צד ג' תם שלא היה מודע לשימוש ברכב, יש להגיש בקשה נפרדת לחילוט הרכב ושמיעת ראיות בהתאם. </w:t>
      </w:r>
    </w:p>
    <w:p w14:paraId="52F8497E" w14:textId="77777777" w:rsidR="0009301B" w:rsidRDefault="0009301B">
      <w:pPr>
        <w:spacing w:line="360" w:lineRule="auto"/>
        <w:jc w:val="both"/>
        <w:rPr>
          <w:rtl/>
          <w:lang w:eastAsia="he-IL"/>
        </w:rPr>
      </w:pPr>
    </w:p>
    <w:p w14:paraId="1A285931" w14:textId="77777777" w:rsidR="0009301B" w:rsidRDefault="00B81E87">
      <w:pPr>
        <w:spacing w:line="360" w:lineRule="auto"/>
        <w:jc w:val="both"/>
        <w:rPr>
          <w:rFonts w:ascii="Arial" w:hAnsi="Arial"/>
          <w:rtl/>
        </w:rPr>
      </w:pPr>
      <w:r>
        <w:rPr>
          <w:rFonts w:ascii="Arial" w:hAnsi="Arial" w:hint="cs"/>
          <w:rtl/>
        </w:rPr>
        <w:t>כאמור בסעיף 40יג (ב) לחוק לאחר קביעת המתחמים רשאי בית המשפט לקבוע עונש נפרד לכל אירוע או לחילופין לקבוע עונש כולל לכל האירועים. בתיק זה מצאתי לקבוע עונש כולל בגין כלל העבירות.</w:t>
      </w:r>
    </w:p>
    <w:p w14:paraId="18F26E4A" w14:textId="77777777" w:rsidR="0009301B" w:rsidRDefault="0009301B">
      <w:pPr>
        <w:spacing w:line="360" w:lineRule="auto"/>
        <w:jc w:val="both"/>
        <w:rPr>
          <w:rFonts w:ascii="Times New Roman" w:hAnsi="Times New Roman"/>
          <w:noProof/>
          <w:rtl/>
          <w:lang w:eastAsia="he-IL"/>
        </w:rPr>
      </w:pPr>
    </w:p>
    <w:p w14:paraId="277DDD48" w14:textId="77777777" w:rsidR="0009301B" w:rsidRDefault="00B81E87">
      <w:pPr>
        <w:spacing w:line="360" w:lineRule="auto"/>
        <w:jc w:val="both"/>
        <w:rPr>
          <w:b/>
          <w:bCs/>
          <w:u w:val="single"/>
          <w:rtl/>
          <w:lang w:eastAsia="he-IL"/>
        </w:rPr>
      </w:pPr>
      <w:r>
        <w:rPr>
          <w:rFonts w:hint="cs"/>
          <w:b/>
          <w:bCs/>
          <w:u w:val="single"/>
          <w:rtl/>
          <w:lang w:eastAsia="he-IL"/>
        </w:rPr>
        <w:t>סוף דבר</w:t>
      </w:r>
    </w:p>
    <w:p w14:paraId="229EE92D" w14:textId="77777777" w:rsidR="0009301B" w:rsidRDefault="00B81E87">
      <w:pPr>
        <w:spacing w:line="360" w:lineRule="auto"/>
        <w:jc w:val="both"/>
        <w:rPr>
          <w:rtl/>
        </w:rPr>
      </w:pPr>
      <w:r>
        <w:rPr>
          <w:rFonts w:hint="cs"/>
          <w:b/>
          <w:bCs/>
          <w:rtl/>
          <w:lang w:eastAsia="he-IL"/>
        </w:rPr>
        <w:t>לאור המפורט לעיל, הנני גוזר על הנאשם את העונשים הבאים :</w:t>
      </w:r>
    </w:p>
    <w:p w14:paraId="45642AE7" w14:textId="77777777" w:rsidR="0009301B" w:rsidRDefault="00B81E87">
      <w:pPr>
        <w:pStyle w:val="ListParagraph"/>
        <w:numPr>
          <w:ilvl w:val="1"/>
          <w:numId w:val="1"/>
        </w:numPr>
        <w:spacing w:line="360" w:lineRule="auto"/>
        <w:jc w:val="both"/>
        <w:rPr>
          <w:rFonts w:cs="David"/>
          <w:lang w:eastAsia="he-IL"/>
        </w:rPr>
      </w:pPr>
      <w:r>
        <w:rPr>
          <w:rFonts w:cs="David" w:hint="cs"/>
          <w:rtl/>
          <w:lang w:eastAsia="he-IL"/>
        </w:rPr>
        <w:t xml:space="preserve">8 חודשים מאסר בפועל שימנו מיום מעצרו 05.05.14. </w:t>
      </w:r>
    </w:p>
    <w:p w14:paraId="2ECECBAB" w14:textId="77777777" w:rsidR="0009301B" w:rsidRDefault="00B81E87">
      <w:pPr>
        <w:numPr>
          <w:ilvl w:val="1"/>
          <w:numId w:val="1"/>
        </w:numPr>
        <w:spacing w:line="360" w:lineRule="auto"/>
        <w:jc w:val="both"/>
        <w:rPr>
          <w:rtl/>
          <w:lang w:eastAsia="he-IL"/>
        </w:rPr>
      </w:pPr>
      <w:r>
        <w:rPr>
          <w:rFonts w:hint="cs"/>
          <w:rtl/>
          <w:lang w:eastAsia="he-IL"/>
        </w:rPr>
        <w:t xml:space="preserve">5 חודשי מאסר על תנאי לתקופה של 3 שנים שלא יעבור על עבירות סמים מסוג עוון. </w:t>
      </w:r>
    </w:p>
    <w:p w14:paraId="4E681A3D" w14:textId="77777777" w:rsidR="0009301B" w:rsidRDefault="00B81E87">
      <w:pPr>
        <w:numPr>
          <w:ilvl w:val="1"/>
          <w:numId w:val="1"/>
        </w:numPr>
        <w:spacing w:line="360" w:lineRule="auto"/>
        <w:jc w:val="both"/>
        <w:rPr>
          <w:lang w:eastAsia="he-IL"/>
        </w:rPr>
      </w:pPr>
      <w:r>
        <w:rPr>
          <w:rFonts w:hint="cs"/>
          <w:rtl/>
          <w:lang w:eastAsia="he-IL"/>
        </w:rPr>
        <w:t>10 חודשי מאסר על תנאי לתקופה של 3 שנים שלא יעבור על עבירות סמים מסוג פשע.</w:t>
      </w:r>
    </w:p>
    <w:p w14:paraId="0AC37C11" w14:textId="77777777" w:rsidR="0009301B" w:rsidRDefault="00B81E87">
      <w:pPr>
        <w:numPr>
          <w:ilvl w:val="1"/>
          <w:numId w:val="1"/>
        </w:numPr>
        <w:spacing w:line="360" w:lineRule="auto"/>
        <w:jc w:val="both"/>
        <w:rPr>
          <w:lang w:eastAsia="he-IL"/>
        </w:rPr>
      </w:pPr>
      <w:r>
        <w:rPr>
          <w:rFonts w:hint="cs"/>
          <w:rtl/>
          <w:lang w:eastAsia="he-IL"/>
        </w:rPr>
        <w:t xml:space="preserve">3,000 ₪ קנס או 10 ימי מאסר תמורתו. הקנס ישולם עד ליום 1.1.2015. </w:t>
      </w:r>
    </w:p>
    <w:p w14:paraId="087B4CDB" w14:textId="77777777" w:rsidR="0009301B" w:rsidRDefault="00B81E87">
      <w:pPr>
        <w:numPr>
          <w:ilvl w:val="1"/>
          <w:numId w:val="1"/>
        </w:numPr>
        <w:spacing w:line="360" w:lineRule="auto"/>
        <w:jc w:val="both"/>
        <w:rPr>
          <w:lang w:eastAsia="he-IL"/>
        </w:rPr>
      </w:pPr>
      <w:r>
        <w:rPr>
          <w:rFonts w:hint="cs"/>
          <w:rtl/>
          <w:lang w:eastAsia="he-IL"/>
        </w:rPr>
        <w:t xml:space="preserve">6 חודשי פסילה על תנאי מלהחזיק רישיון נהיגה למשך שנתיים מיום שחרורו, שלא יעבור עבירות לפי פקודת הסמים. </w:t>
      </w:r>
    </w:p>
    <w:p w14:paraId="7D401544" w14:textId="77777777" w:rsidR="0009301B" w:rsidRDefault="00B81E87">
      <w:pPr>
        <w:numPr>
          <w:ilvl w:val="1"/>
          <w:numId w:val="1"/>
        </w:numPr>
        <w:spacing w:line="360" w:lineRule="auto"/>
        <w:jc w:val="both"/>
        <w:rPr>
          <w:lang w:eastAsia="he-IL"/>
        </w:rPr>
      </w:pPr>
      <w:r>
        <w:rPr>
          <w:rFonts w:hint="cs"/>
          <w:rtl/>
          <w:lang w:eastAsia="he-IL"/>
        </w:rPr>
        <w:t>התחייבות על סך 10,000 ש"ח, אשר יהיה עליו לשלם באם בתוך שנתיים מהיום יעבור על עבירות נוספות לפיהן הורשע.  היה והנאשם לא יחתום על התחייבות כאמור בתוך 7 ימים - ייאסר בגין כך למשך  20 יום.</w:t>
      </w:r>
    </w:p>
    <w:p w14:paraId="1E7CDC3F" w14:textId="77777777" w:rsidR="0009301B" w:rsidRDefault="0009301B">
      <w:pPr>
        <w:spacing w:line="360" w:lineRule="auto"/>
        <w:jc w:val="both"/>
        <w:rPr>
          <w:b/>
          <w:bCs/>
          <w:lang w:eastAsia="he-IL"/>
        </w:rPr>
      </w:pPr>
    </w:p>
    <w:p w14:paraId="371A312F" w14:textId="77777777" w:rsidR="0009301B" w:rsidRDefault="00B81E87">
      <w:pPr>
        <w:spacing w:line="360" w:lineRule="auto"/>
        <w:jc w:val="both"/>
        <w:rPr>
          <w:b/>
          <w:bCs/>
          <w:lang w:eastAsia="he-IL"/>
        </w:rPr>
      </w:pPr>
      <w:r>
        <w:rPr>
          <w:rFonts w:hint="cs"/>
          <w:b/>
          <w:bCs/>
          <w:rtl/>
          <w:lang w:eastAsia="he-IL"/>
        </w:rPr>
        <w:t>ניתן צו כללי למוצגים לפי שיקול דעת היחידה החוקרת: להשמיד, לחלט, להשיב לבעלים לפי שיקול דעתה.</w:t>
      </w:r>
    </w:p>
    <w:p w14:paraId="02DD98D1" w14:textId="77777777" w:rsidR="0009301B" w:rsidRDefault="0009301B">
      <w:pPr>
        <w:spacing w:line="360" w:lineRule="auto"/>
        <w:jc w:val="both"/>
        <w:rPr>
          <w:b/>
          <w:bCs/>
          <w:rtl/>
          <w:lang w:eastAsia="he-IL"/>
        </w:rPr>
      </w:pPr>
    </w:p>
    <w:p w14:paraId="0A3C3B02" w14:textId="77777777" w:rsidR="0009301B" w:rsidRDefault="00B81E87">
      <w:pPr>
        <w:spacing w:line="360" w:lineRule="auto"/>
        <w:jc w:val="both"/>
        <w:rPr>
          <w:b/>
          <w:bCs/>
          <w:rtl/>
          <w:lang w:eastAsia="he-IL"/>
        </w:rPr>
      </w:pPr>
      <w:r>
        <w:rPr>
          <w:rFonts w:hint="cs"/>
          <w:b/>
          <w:bCs/>
          <w:rtl/>
          <w:lang w:eastAsia="he-IL"/>
        </w:rPr>
        <w:t xml:space="preserve">זכות ערעור לבית המשפט המחוזי בתוך 45 יום מהיום. </w:t>
      </w:r>
    </w:p>
    <w:p w14:paraId="43B06E3B" w14:textId="77777777" w:rsidR="0009301B" w:rsidRDefault="00B81E87">
      <w:pPr>
        <w:spacing w:line="360" w:lineRule="auto"/>
        <w:jc w:val="both"/>
        <w:rPr>
          <w:sz w:val="6"/>
          <w:szCs w:val="6"/>
          <w:rtl/>
        </w:rPr>
      </w:pPr>
      <w:r>
        <w:rPr>
          <w:sz w:val="6"/>
          <w:szCs w:val="6"/>
          <w:rtl/>
        </w:rPr>
        <w:t>#3#&gt;</w:t>
      </w:r>
    </w:p>
    <w:p w14:paraId="6281A83C" w14:textId="77777777" w:rsidR="0009301B" w:rsidRDefault="0009301B">
      <w:pPr>
        <w:jc w:val="right"/>
        <w:rPr>
          <w:rtl/>
        </w:rPr>
      </w:pPr>
    </w:p>
    <w:p w14:paraId="231FFC69" w14:textId="77777777" w:rsidR="0009301B" w:rsidRDefault="00B81E87">
      <w:pPr>
        <w:jc w:val="center"/>
        <w:rPr>
          <w:rtl/>
        </w:rPr>
      </w:pPr>
      <w:r>
        <w:rPr>
          <w:b/>
          <w:bCs/>
          <w:rtl/>
        </w:rPr>
        <w:t xml:space="preserve">ניתנה והודעה היום כ"ח סיוון תשע"ד, 26/06/2014 במעמד הנוכחים. </w:t>
      </w:r>
    </w:p>
    <w:p w14:paraId="1D23103A" w14:textId="77777777" w:rsidR="0009301B" w:rsidRPr="00B81E87" w:rsidRDefault="00B81E87">
      <w:pPr>
        <w:spacing w:line="360" w:lineRule="auto"/>
        <w:jc w:val="both"/>
        <w:rPr>
          <w:color w:val="FFFFFF"/>
          <w:sz w:val="2"/>
          <w:szCs w:val="2"/>
          <w:rtl/>
        </w:rPr>
      </w:pPr>
      <w:bookmarkStart w:id="7" w:name="_GoBack"/>
      <w:bookmarkEnd w:id="7"/>
      <w:r w:rsidRPr="00B81E87">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09301B" w14:paraId="1F778578" w14:textId="77777777">
        <w:trPr>
          <w:trHeight w:val="364"/>
          <w:jc w:val="right"/>
        </w:trPr>
        <w:tc>
          <w:tcPr>
            <w:tcW w:w="3708" w:type="dxa"/>
          </w:tcPr>
          <w:p w14:paraId="653250DE" w14:textId="77777777" w:rsidR="0009301B" w:rsidRPr="00B81E87" w:rsidRDefault="00B81E87">
            <w:pPr>
              <w:jc w:val="center"/>
              <w:rPr>
                <w:rFonts w:ascii="Times New Roman" w:eastAsia="Times New Roman" w:hAnsi="Times New Roman" w:cs="Times New Roman"/>
                <w:color w:val="FFFFFF"/>
                <w:sz w:val="2"/>
                <w:szCs w:val="2"/>
              </w:rPr>
            </w:pPr>
            <w:r w:rsidRPr="00B81E87">
              <w:rPr>
                <w:rFonts w:ascii="Times New Roman" w:eastAsia="Times New Roman" w:hAnsi="Times New Roman" w:cs="Times New Roman"/>
                <w:color w:val="FFFFFF"/>
                <w:sz w:val="2"/>
                <w:szCs w:val="2"/>
                <w:rtl/>
              </w:rPr>
              <w:t>54678313</w:t>
            </w:r>
          </w:p>
          <w:p w14:paraId="56553FA5" w14:textId="77777777" w:rsidR="0009301B" w:rsidRDefault="0009301B">
            <w:pPr>
              <w:jc w:val="center"/>
              <w:rPr>
                <w:rFonts w:ascii="Times New Roman" w:eastAsia="Times New Roman" w:hAnsi="Times New Roman" w:cs="Times New Roman"/>
                <w:rtl/>
              </w:rPr>
            </w:pPr>
          </w:p>
        </w:tc>
      </w:tr>
      <w:tr w:rsidR="0009301B" w14:paraId="32738A7A" w14:textId="77777777">
        <w:trPr>
          <w:trHeight w:val="415"/>
          <w:jc w:val="right"/>
        </w:trPr>
        <w:tc>
          <w:tcPr>
            <w:tcW w:w="3708" w:type="dxa"/>
          </w:tcPr>
          <w:p w14:paraId="47480EFB" w14:textId="77777777" w:rsidR="0009301B" w:rsidRDefault="00B81E87">
            <w:pPr>
              <w:jc w:val="center"/>
              <w:rPr>
                <w:rFonts w:ascii="Times New Roman" w:eastAsia="Times New Roman" w:hAnsi="Times New Roman"/>
                <w:b/>
                <w:bCs/>
                <w:rtl/>
              </w:rPr>
            </w:pPr>
            <w:r>
              <w:rPr>
                <w:rFonts w:ascii="Times New Roman" w:eastAsia="Times New Roman" w:hAnsi="Times New Roman" w:hint="cs"/>
                <w:rtl/>
              </w:rPr>
              <w:t>דניאל</w:t>
            </w:r>
            <w:r>
              <w:rPr>
                <w:rFonts w:ascii="Times New Roman" w:eastAsia="Times New Roman" w:hAnsi="Times New Roman" w:hint="cs"/>
                <w:b/>
                <w:bCs/>
                <w:rtl/>
              </w:rPr>
              <w:t xml:space="preserve"> </w:t>
            </w:r>
            <w:r>
              <w:rPr>
                <w:rFonts w:ascii="Times New Roman" w:eastAsia="Times New Roman" w:hAnsi="Times New Roman" w:hint="cs"/>
                <w:rtl/>
              </w:rPr>
              <w:t>בן טולילה</w:t>
            </w:r>
            <w:r>
              <w:rPr>
                <w:rFonts w:ascii="Times New Roman" w:eastAsia="Times New Roman" w:hAnsi="Times New Roman" w:hint="cs"/>
                <w:b/>
                <w:bCs/>
                <w:rtl/>
              </w:rPr>
              <w:t xml:space="preserve">, </w:t>
            </w:r>
            <w:r>
              <w:rPr>
                <w:rFonts w:ascii="Times New Roman" w:eastAsia="Times New Roman" w:hAnsi="Times New Roman" w:hint="cs"/>
                <w:rtl/>
              </w:rPr>
              <w:t>שופט</w:t>
            </w:r>
          </w:p>
        </w:tc>
      </w:tr>
    </w:tbl>
    <w:p w14:paraId="15943540" w14:textId="77777777" w:rsidR="0009301B" w:rsidRDefault="0009301B">
      <w:pPr>
        <w:spacing w:line="360" w:lineRule="auto"/>
        <w:jc w:val="both"/>
        <w:rPr>
          <w:rtl/>
        </w:rPr>
      </w:pPr>
    </w:p>
    <w:p w14:paraId="71CBA44D" w14:textId="77777777" w:rsidR="00B81E87" w:rsidRPr="00B81E87" w:rsidRDefault="00B81E87" w:rsidP="00B81E87">
      <w:pPr>
        <w:keepNext/>
        <w:rPr>
          <w:color w:val="000000"/>
          <w:sz w:val="22"/>
          <w:szCs w:val="22"/>
          <w:rtl/>
        </w:rPr>
      </w:pPr>
    </w:p>
    <w:p w14:paraId="2C6B05D3" w14:textId="77777777" w:rsidR="00B81E87" w:rsidRPr="00B81E87" w:rsidRDefault="00B81E87" w:rsidP="00B81E87">
      <w:pPr>
        <w:keepNext/>
        <w:rPr>
          <w:color w:val="000000"/>
          <w:sz w:val="22"/>
          <w:szCs w:val="22"/>
          <w:rtl/>
        </w:rPr>
      </w:pPr>
      <w:r w:rsidRPr="00B81E87">
        <w:rPr>
          <w:color w:val="000000"/>
          <w:sz w:val="22"/>
          <w:szCs w:val="22"/>
          <w:rtl/>
        </w:rPr>
        <w:t>דניאל בן טולילה 54678313</w:t>
      </w:r>
    </w:p>
    <w:p w14:paraId="20CB4034" w14:textId="77777777" w:rsidR="00B81E87" w:rsidRDefault="00B81E87" w:rsidP="00B81E87">
      <w:r w:rsidRPr="00B81E87">
        <w:rPr>
          <w:color w:val="000000"/>
          <w:rtl/>
        </w:rPr>
        <w:t>נוסח מסמך זה כפוף לשינויי ניסוח ועריכה</w:t>
      </w:r>
    </w:p>
    <w:p w14:paraId="306AC87C" w14:textId="77777777" w:rsidR="00B81E87" w:rsidRDefault="00B81E87" w:rsidP="00B81E87">
      <w:pPr>
        <w:rPr>
          <w:rtl/>
        </w:rPr>
      </w:pPr>
    </w:p>
    <w:p w14:paraId="0B99FC5D" w14:textId="77777777" w:rsidR="00B81E87" w:rsidRDefault="00B81E87" w:rsidP="00B81E87">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r w:rsidR="001F45F7">
        <w:rPr>
          <w:rFonts w:hint="cs"/>
          <w:color w:val="0000FF"/>
          <w:u w:val="single"/>
          <w:rtl/>
        </w:rPr>
        <w:t xml:space="preserve"> </w:t>
      </w:r>
    </w:p>
    <w:p w14:paraId="2D7341EB" w14:textId="77777777" w:rsidR="0009301B" w:rsidRPr="00B81E87" w:rsidRDefault="0009301B" w:rsidP="00B81E87">
      <w:pPr>
        <w:jc w:val="center"/>
        <w:rPr>
          <w:color w:val="0000FF"/>
          <w:u w:val="single"/>
        </w:rPr>
      </w:pPr>
    </w:p>
    <w:sectPr w:rsidR="0009301B" w:rsidRPr="00B81E87" w:rsidSect="00B81E87">
      <w:headerReference w:type="even" r:id="rId15"/>
      <w:headerReference w:type="default" r:id="rId16"/>
      <w:footerReference w:type="even" r:id="rId17"/>
      <w:footerReference w:type="default" r:id="rId1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6FC3F" w14:textId="77777777" w:rsidR="001951D7" w:rsidRPr="007A1416" w:rsidRDefault="001951D7">
      <w:pPr>
        <w:rPr>
          <w:rFonts w:cs="Arial"/>
          <w:szCs w:val="20"/>
        </w:rPr>
      </w:pPr>
      <w:r>
        <w:separator/>
      </w:r>
    </w:p>
  </w:endnote>
  <w:endnote w:type="continuationSeparator" w:id="0">
    <w:p w14:paraId="71028938" w14:textId="77777777" w:rsidR="001951D7" w:rsidRPr="007A1416" w:rsidRDefault="001951D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6735B" w14:textId="77777777" w:rsidR="00B81E87" w:rsidRDefault="00B81E87" w:rsidP="00B81E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8</w:t>
    </w:r>
    <w:r>
      <w:rPr>
        <w:rFonts w:ascii="FrankRuehl" w:hAnsi="FrankRuehl" w:cs="FrankRuehl"/>
        <w:rtl/>
      </w:rPr>
      <w:fldChar w:fldCharType="end"/>
    </w:r>
  </w:p>
  <w:p w14:paraId="33344B04" w14:textId="77777777" w:rsidR="0009301B" w:rsidRPr="00B81E87" w:rsidRDefault="00B81E87" w:rsidP="00B81E87">
    <w:pPr>
      <w:pStyle w:val="a4"/>
      <w:pBdr>
        <w:top w:val="single" w:sz="4" w:space="1" w:color="auto"/>
        <w:between w:val="single" w:sz="4" w:space="0" w:color="auto"/>
      </w:pBdr>
      <w:spacing w:after="60"/>
      <w:jc w:val="center"/>
      <w:rPr>
        <w:rFonts w:ascii="FrankRuehl" w:hAnsi="FrankRuehl" w:cs="FrankRuehl"/>
        <w:color w:val="000000"/>
      </w:rPr>
    </w:pPr>
    <w:r w:rsidRPr="00B81E8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9F613" w14:textId="77777777" w:rsidR="00B81E87" w:rsidRDefault="00B81E87" w:rsidP="00B81E8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87223">
      <w:rPr>
        <w:rFonts w:ascii="FrankRuehl" w:hAnsi="FrankRuehl" w:cs="FrankRuehl"/>
        <w:noProof/>
        <w:rtl/>
      </w:rPr>
      <w:t>1</w:t>
    </w:r>
    <w:r>
      <w:rPr>
        <w:rFonts w:ascii="FrankRuehl" w:hAnsi="FrankRuehl" w:cs="FrankRuehl"/>
        <w:rtl/>
      </w:rPr>
      <w:fldChar w:fldCharType="end"/>
    </w:r>
  </w:p>
  <w:p w14:paraId="2322025B" w14:textId="77777777" w:rsidR="0009301B" w:rsidRPr="00B81E87" w:rsidRDefault="00B81E87" w:rsidP="00B81E87">
    <w:pPr>
      <w:pStyle w:val="a4"/>
      <w:pBdr>
        <w:top w:val="single" w:sz="4" w:space="1" w:color="auto"/>
        <w:between w:val="single" w:sz="4" w:space="0" w:color="auto"/>
      </w:pBdr>
      <w:spacing w:after="60"/>
      <w:jc w:val="center"/>
      <w:rPr>
        <w:rFonts w:ascii="FrankRuehl" w:hAnsi="FrankRuehl" w:cs="FrankRuehl"/>
        <w:color w:val="000000"/>
      </w:rPr>
    </w:pPr>
    <w:r w:rsidRPr="00B81E87">
      <w:rPr>
        <w:rFonts w:ascii="FrankRuehl" w:hAnsi="FrankRuehl" w:cs="FrankRuehl"/>
        <w:color w:val="000000"/>
      </w:rPr>
      <w:pict w14:anchorId="5E49D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A31E41" w14:textId="77777777" w:rsidR="001951D7" w:rsidRPr="007A1416" w:rsidRDefault="001951D7">
      <w:pPr>
        <w:rPr>
          <w:rFonts w:cs="Arial"/>
          <w:szCs w:val="20"/>
        </w:rPr>
      </w:pPr>
      <w:r>
        <w:separator/>
      </w:r>
    </w:p>
  </w:footnote>
  <w:footnote w:type="continuationSeparator" w:id="0">
    <w:p w14:paraId="57B35447" w14:textId="77777777" w:rsidR="001951D7" w:rsidRPr="007A1416" w:rsidRDefault="001951D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7D8EB" w14:textId="77777777" w:rsidR="00B81E87" w:rsidRPr="00B81E87" w:rsidRDefault="00B81E87" w:rsidP="00B81E8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16006-05-14</w:t>
    </w:r>
    <w:r>
      <w:rPr>
        <w:color w:val="000000"/>
        <w:sz w:val="22"/>
        <w:szCs w:val="22"/>
        <w:rtl/>
      </w:rPr>
      <w:tab/>
      <w:t xml:space="preserve"> מדינת ישראל נ' מחמד אבו צהיבאן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6197BB" w14:textId="77777777" w:rsidR="00B81E87" w:rsidRPr="00B81E87" w:rsidRDefault="00B81E87" w:rsidP="00B81E8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16006-05-14</w:t>
    </w:r>
    <w:r>
      <w:rPr>
        <w:color w:val="000000"/>
        <w:sz w:val="22"/>
        <w:szCs w:val="22"/>
        <w:rtl/>
      </w:rPr>
      <w:tab/>
      <w:t xml:space="preserve"> מדינת ישראל נ' מחמד אבו צהיבאן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20822"/>
    <w:multiLevelType w:val="hybridMultilevel"/>
    <w:tmpl w:val="4664FF12"/>
    <w:lvl w:ilvl="0" w:tplc="48EE4A34">
      <w:start w:val="9"/>
      <w:numFmt w:val="decimal"/>
      <w:lvlText w:val="%1."/>
      <w:lvlJc w:val="left"/>
      <w:pPr>
        <w:tabs>
          <w:tab w:val="num" w:pos="1080"/>
        </w:tabs>
        <w:ind w:left="1080" w:hanging="720"/>
      </w:pPr>
      <w:rPr>
        <w:rFonts w:cs="Times New Roman"/>
        <w:b w:val="0"/>
        <w:bCs w:val="0"/>
      </w:rPr>
    </w:lvl>
    <w:lvl w:ilvl="1" w:tplc="0EECCC88">
      <w:start w:val="1"/>
      <w:numFmt w:val="hebrew1"/>
      <w:lvlText w:val="%2."/>
      <w:lvlJc w:val="center"/>
      <w:pPr>
        <w:tabs>
          <w:tab w:val="num" w:pos="1440"/>
        </w:tabs>
        <w:ind w:left="1440" w:hanging="360"/>
      </w:pPr>
      <w:rPr>
        <w:rFonts w:cs="David"/>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1070998500">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301B"/>
    <w:rsid w:val="00013BE2"/>
    <w:rsid w:val="0009301B"/>
    <w:rsid w:val="001951D7"/>
    <w:rsid w:val="001F45F7"/>
    <w:rsid w:val="00442C50"/>
    <w:rsid w:val="004D46CC"/>
    <w:rsid w:val="00887223"/>
    <w:rsid w:val="00B81E87"/>
    <w:rsid w:val="00CB62DF"/>
    <w:rsid w:val="00D158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3AA2CEDE"/>
  <w15:chartTrackingRefBased/>
  <w15:docId w15:val="{3750096A-3434-485C-8544-7B2D0E484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301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9301B"/>
    <w:pPr>
      <w:tabs>
        <w:tab w:val="center" w:pos="4153"/>
        <w:tab w:val="right" w:pos="8306"/>
      </w:tabs>
    </w:pPr>
  </w:style>
  <w:style w:type="paragraph" w:styleId="a4">
    <w:name w:val="footer"/>
    <w:basedOn w:val="a"/>
    <w:rsid w:val="0009301B"/>
    <w:pPr>
      <w:tabs>
        <w:tab w:val="center" w:pos="4153"/>
        <w:tab w:val="right" w:pos="8306"/>
      </w:tabs>
    </w:pPr>
  </w:style>
  <w:style w:type="character" w:styleId="a5">
    <w:name w:val="page number"/>
    <w:basedOn w:val="a0"/>
    <w:rsid w:val="0009301B"/>
  </w:style>
  <w:style w:type="character" w:customStyle="1" w:styleId="TimesNewRomanTimesNewRoman">
    <w:name w:val="סגנון (לטיני) Times New Roman (עברית ושפות אחרות) Times New Roman..."/>
    <w:rsid w:val="0009301B"/>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09301B"/>
    <w:rPr>
      <w:rFonts w:ascii="Times New Roman" w:eastAsia="Times New Roman" w:hAnsi="Times New Roman"/>
      <w:b/>
      <w:bCs/>
      <w:u w:val="single"/>
    </w:rPr>
  </w:style>
  <w:style w:type="character" w:styleId="Hyperlink">
    <w:name w:val="Hyperlink"/>
    <w:rsid w:val="0009301B"/>
    <w:rPr>
      <w:rFonts w:ascii="Times New Roman" w:hAnsi="Times New Roman" w:cs="Times New Roman" w:hint="default"/>
      <w:color w:val="0000FF"/>
      <w:u w:val="single"/>
    </w:rPr>
  </w:style>
  <w:style w:type="paragraph" w:customStyle="1" w:styleId="ListParagraph">
    <w:name w:val="List Paragraph"/>
    <w:basedOn w:val="a"/>
    <w:rsid w:val="0009301B"/>
    <w:pPr>
      <w:ind w:left="720"/>
      <w:contextualSpacing/>
    </w:pPr>
    <w:rPr>
      <w:rFonts w:ascii="Times New Roman" w:eastAsia="Times New Roman" w:hAnsi="Times New Roman" w:cs="Times New Roman"/>
    </w:rPr>
  </w:style>
  <w:style w:type="character" w:styleId="a6">
    <w:name w:val="line number"/>
    <w:basedOn w:val="a0"/>
    <w:rsid w:val="0009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5698919" TargetMode="External"/><Relationship Id="rId13" Type="http://schemas.openxmlformats.org/officeDocument/2006/relationships/hyperlink" Target="http://www.nevo.co.il/case/5583835"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nevo.co.il/case/5583030" TargetMode="External"/><Relationship Id="rId12" Type="http://schemas.openxmlformats.org/officeDocument/2006/relationships/hyperlink" Target="http://www.nevo.co.il/case/5605484"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inks/psika/?link=&#1506;&#1508;%20407/9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nevo.co.il/case/568178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inks/psika/?link=&#1489;&#1513;&#1508;%20442/96"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1488</Words>
  <Characters>7444</Characters>
  <Application>Microsoft Office Word</Application>
  <DocSecurity>0</DocSecurity>
  <Lines>62</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8915</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3145841</vt:i4>
      </vt:variant>
      <vt:variant>
        <vt:i4>18</vt:i4>
      </vt:variant>
      <vt:variant>
        <vt:i4>0</vt:i4>
      </vt:variant>
      <vt:variant>
        <vt:i4>5</vt:i4>
      </vt:variant>
      <vt:variant>
        <vt:lpwstr>http://www.nevo.co.il/case/5583835</vt:lpwstr>
      </vt:variant>
      <vt:variant>
        <vt:lpwstr/>
      </vt:variant>
      <vt:variant>
        <vt:i4>3473535</vt:i4>
      </vt:variant>
      <vt:variant>
        <vt:i4>15</vt:i4>
      </vt:variant>
      <vt:variant>
        <vt:i4>0</vt:i4>
      </vt:variant>
      <vt:variant>
        <vt:i4>5</vt:i4>
      </vt:variant>
      <vt:variant>
        <vt:lpwstr>http://www.nevo.co.il/case/5605484</vt:lpwstr>
      </vt:variant>
      <vt:variant>
        <vt:lpwstr/>
      </vt:variant>
      <vt:variant>
        <vt:i4>97453458</vt:i4>
      </vt:variant>
      <vt:variant>
        <vt:i4>12</vt:i4>
      </vt:variant>
      <vt:variant>
        <vt:i4>0</vt:i4>
      </vt:variant>
      <vt:variant>
        <vt:i4>5</vt:i4>
      </vt:variant>
      <vt:variant>
        <vt:lpwstr>http://www.nevo.co.il/links/psika/?link=עפ 407/97</vt:lpwstr>
      </vt:variant>
      <vt:variant>
        <vt:lpwstr/>
      </vt:variant>
      <vt:variant>
        <vt:i4>3997819</vt:i4>
      </vt:variant>
      <vt:variant>
        <vt:i4>9</vt:i4>
      </vt:variant>
      <vt:variant>
        <vt:i4>0</vt:i4>
      </vt:variant>
      <vt:variant>
        <vt:i4>5</vt:i4>
      </vt:variant>
      <vt:variant>
        <vt:lpwstr>http://www.nevo.co.il/case/5681787</vt:lpwstr>
      </vt:variant>
      <vt:variant>
        <vt:lpwstr/>
      </vt:variant>
      <vt:variant>
        <vt:i4>99942469</vt:i4>
      </vt:variant>
      <vt:variant>
        <vt:i4>6</vt:i4>
      </vt:variant>
      <vt:variant>
        <vt:i4>0</vt:i4>
      </vt:variant>
      <vt:variant>
        <vt:i4>5</vt:i4>
      </vt:variant>
      <vt:variant>
        <vt:lpwstr>http://www.nevo.co.il/links/psika/?link=בשפ 442/96</vt:lpwstr>
      </vt:variant>
      <vt:variant>
        <vt:lpwstr/>
      </vt:variant>
      <vt:variant>
        <vt:i4>3932283</vt:i4>
      </vt:variant>
      <vt:variant>
        <vt:i4>3</vt:i4>
      </vt:variant>
      <vt:variant>
        <vt:i4>0</vt:i4>
      </vt:variant>
      <vt:variant>
        <vt:i4>5</vt:i4>
      </vt:variant>
      <vt:variant>
        <vt:lpwstr>http://www.nevo.co.il/case/5698919</vt:lpwstr>
      </vt:variant>
      <vt:variant>
        <vt:lpwstr/>
      </vt:variant>
      <vt:variant>
        <vt:i4>3997809</vt:i4>
      </vt:variant>
      <vt:variant>
        <vt:i4>0</vt:i4>
      </vt:variant>
      <vt:variant>
        <vt:i4>0</vt:i4>
      </vt:variant>
      <vt:variant>
        <vt:i4>5</vt:i4>
      </vt:variant>
      <vt:variant>
        <vt:lpwstr>http://www.nevo.co.il/case/5583030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2025-04-22T22:19:00Z</dcterms:created>
  <dcterms:modified xsi:type="dcterms:W3CDTF">2025-04-22T22:19:00Z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16006</vt:lpwstr>
  </property>
  <property fmtid="{D5CDD505-2E9C-101B-9397-08002B2CF9AE}" pid="6" name="NEWPARTB">
    <vt:lpwstr>05</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מחמד אבו צהיבאן</vt:lpwstr>
  </property>
  <property fmtid="{D5CDD505-2E9C-101B-9397-08002B2CF9AE}" pid="10" name="LAWYER">
    <vt:lpwstr>קובי הרוש;וואתד</vt:lpwstr>
  </property>
  <property fmtid="{D5CDD505-2E9C-101B-9397-08002B2CF9AE}" pid="11" name="JUDGE">
    <vt:lpwstr>דניאל בן טולילה</vt:lpwstr>
  </property>
  <property fmtid="{D5CDD505-2E9C-101B-9397-08002B2CF9AE}" pid="12" name="CITY">
    <vt:lpwstr>ב"ש</vt:lpwstr>
  </property>
  <property fmtid="{D5CDD505-2E9C-101B-9397-08002B2CF9AE}" pid="13" name="DATE">
    <vt:lpwstr>20140626</vt:lpwstr>
  </property>
  <property fmtid="{D5CDD505-2E9C-101B-9397-08002B2CF9AE}" pid="14" name="TYPE_N_DATE">
    <vt:lpwstr>38020140626</vt:lpwstr>
  </property>
  <property fmtid="{D5CDD505-2E9C-101B-9397-08002B2CF9AE}" pid="15" name="CASESLISTTMP1">
    <vt:lpwstr>5583030;5698919;5681787;5605484;5583835</vt:lpwstr>
  </property>
  <property fmtid="{D5CDD505-2E9C-101B-9397-08002B2CF9AE}" pid="16" name="CASENOTES1">
    <vt:lpwstr>ProcID=30;209&amp;PartA=442&amp;PartC=96</vt:lpwstr>
  </property>
  <property fmtid="{D5CDD505-2E9C-101B-9397-08002B2CF9AE}" pid="17" name="CASENOTES2">
    <vt:lpwstr>ProcID=133;209&amp;PartA=407&amp;PartC=97</vt:lpwstr>
  </property>
  <property fmtid="{D5CDD505-2E9C-101B-9397-08002B2CF9AE}" pid="18" name="WORDNUMPAGES">
    <vt:lpwstr>5</vt:lpwstr>
  </property>
  <property fmtid="{D5CDD505-2E9C-101B-9397-08002B2CF9AE}" pid="19" name="TYPE_ABS_DATE">
    <vt:lpwstr>380020140626</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ISABSTRACT">
    <vt:lpwstr>Y</vt:lpwstr>
  </property>
</Properties>
</file>