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CA11F2" w:rsidRPr="00722C4C" w14:paraId="5B002681" w14:textId="77777777">
        <w:trPr>
          <w:trHeight w:hRule="exact" w:val="418"/>
          <w:jc w:val="center"/>
        </w:trPr>
        <w:tc>
          <w:tcPr>
            <w:tcW w:w="8721" w:type="dxa"/>
            <w:gridSpan w:val="2"/>
          </w:tcPr>
          <w:p w14:paraId="0408A720" w14:textId="77777777" w:rsidR="00CA11F2" w:rsidRPr="00722C4C" w:rsidRDefault="00722C4C">
            <w:pPr>
              <w:pStyle w:val="a3"/>
              <w:jc w:val="center"/>
              <w:rPr>
                <w:rFonts w:ascii="Tahoma" w:hAnsi="Tahoma" w:cs="Tahoma"/>
                <w:color w:val="000080"/>
                <w:rtl/>
              </w:rPr>
            </w:pPr>
            <w:bookmarkStart w:id="0" w:name="FirstLawyer"/>
            <w:bookmarkStart w:id="1" w:name="LastJudge"/>
            <w:r w:rsidRPr="00722C4C">
              <w:rPr>
                <w:rFonts w:ascii="Tahoma" w:hAnsi="Tahoma" w:cs="Tahoma"/>
                <w:b/>
                <w:bCs/>
                <w:color w:val="000080"/>
                <w:rtl/>
              </w:rPr>
              <w:t>בית משפט השלום בירושלים</w:t>
            </w:r>
          </w:p>
        </w:tc>
      </w:tr>
      <w:tr w:rsidR="00CA11F2" w:rsidRPr="00722C4C" w14:paraId="0B315461" w14:textId="77777777">
        <w:trPr>
          <w:trHeight w:val="337"/>
          <w:jc w:val="center"/>
        </w:trPr>
        <w:tc>
          <w:tcPr>
            <w:tcW w:w="5056" w:type="dxa"/>
          </w:tcPr>
          <w:p w14:paraId="2FD1FF53" w14:textId="77777777" w:rsidR="00CA11F2" w:rsidRPr="00722C4C" w:rsidRDefault="00722C4C">
            <w:pPr>
              <w:rPr>
                <w:rFonts w:cs="FrankRuehl"/>
                <w:sz w:val="28"/>
                <w:szCs w:val="28"/>
                <w:rtl/>
              </w:rPr>
            </w:pPr>
            <w:r w:rsidRPr="00722C4C">
              <w:rPr>
                <w:rFonts w:cs="FrankRuehl"/>
                <w:sz w:val="28"/>
                <w:szCs w:val="28"/>
                <w:rtl/>
              </w:rPr>
              <w:t>ת"פ</w:t>
            </w:r>
            <w:r w:rsidRPr="00722C4C">
              <w:rPr>
                <w:rFonts w:cs="FrankRuehl" w:hint="cs"/>
                <w:sz w:val="28"/>
                <w:szCs w:val="28"/>
                <w:rtl/>
              </w:rPr>
              <w:t xml:space="preserve"> </w:t>
            </w:r>
            <w:r w:rsidRPr="00722C4C">
              <w:rPr>
                <w:rFonts w:cs="FrankRuehl"/>
                <w:sz w:val="28"/>
                <w:szCs w:val="28"/>
                <w:rtl/>
              </w:rPr>
              <w:t>17917-05-14</w:t>
            </w:r>
            <w:r w:rsidRPr="00722C4C">
              <w:rPr>
                <w:rFonts w:cs="FrankRuehl" w:hint="cs"/>
                <w:sz w:val="28"/>
                <w:szCs w:val="28"/>
                <w:rtl/>
              </w:rPr>
              <w:t xml:space="preserve"> </w:t>
            </w:r>
            <w:r w:rsidRPr="00722C4C">
              <w:rPr>
                <w:rFonts w:cs="FrankRuehl"/>
                <w:sz w:val="28"/>
                <w:szCs w:val="28"/>
                <w:rtl/>
              </w:rPr>
              <w:t>מדינת ישראל נ' מדינה(אחר/נוסף)</w:t>
            </w:r>
          </w:p>
        </w:tc>
        <w:tc>
          <w:tcPr>
            <w:tcW w:w="3665" w:type="dxa"/>
          </w:tcPr>
          <w:p w14:paraId="263CF28A" w14:textId="77777777" w:rsidR="00CA11F2" w:rsidRPr="00722C4C" w:rsidRDefault="00722C4C">
            <w:pPr>
              <w:pStyle w:val="a3"/>
              <w:jc w:val="right"/>
              <w:rPr>
                <w:rFonts w:cs="FrankRuehl"/>
                <w:sz w:val="28"/>
                <w:szCs w:val="28"/>
                <w:rtl/>
              </w:rPr>
            </w:pPr>
            <w:r w:rsidRPr="00722C4C">
              <w:rPr>
                <w:rFonts w:cs="FrankRuehl"/>
                <w:sz w:val="28"/>
                <w:szCs w:val="28"/>
                <w:rtl/>
              </w:rPr>
              <w:t>02 דצמבר 2015</w:t>
            </w:r>
          </w:p>
        </w:tc>
      </w:tr>
    </w:tbl>
    <w:p w14:paraId="7E7EC236" w14:textId="77777777" w:rsidR="00CA11F2" w:rsidRPr="00722C4C" w:rsidRDefault="00722C4C">
      <w:pPr>
        <w:pStyle w:val="a3"/>
        <w:rPr>
          <w:rtl/>
        </w:rPr>
      </w:pPr>
      <w:r w:rsidRPr="00722C4C">
        <w:rPr>
          <w:rFonts w:hint="cs"/>
          <w:rtl/>
        </w:rPr>
        <w:t xml:space="preserve"> </w:t>
      </w:r>
    </w:p>
    <w:p w14:paraId="5FED7B90" w14:textId="77777777" w:rsidR="00CA11F2" w:rsidRPr="00722C4C" w:rsidRDefault="00722C4C">
      <w:pPr>
        <w:pStyle w:val="a3"/>
      </w:pPr>
      <w:r w:rsidRPr="00722C4C">
        <w:rPr>
          <w:rFonts w:cs="Times New Roman" w:hint="cs"/>
          <w:b/>
          <w:bCs/>
          <w:sz w:val="26"/>
          <w:szCs w:val="28"/>
          <w:rtl/>
        </w:rPr>
        <w:t xml:space="preserve"> </w:t>
      </w:r>
    </w:p>
    <w:p w14:paraId="34AA3D86" w14:textId="77777777" w:rsidR="00CA11F2" w:rsidRPr="00722C4C" w:rsidRDefault="00CA11F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A11F2" w:rsidRPr="00722C4C" w14:paraId="73C6F5FD" w14:textId="77777777">
        <w:trPr>
          <w:trHeight w:val="295"/>
          <w:jc w:val="center"/>
        </w:trPr>
        <w:tc>
          <w:tcPr>
            <w:tcW w:w="923" w:type="dxa"/>
            <w:tcBorders>
              <w:top w:val="nil"/>
              <w:left w:val="nil"/>
              <w:bottom w:val="nil"/>
              <w:right w:val="nil"/>
            </w:tcBorders>
            <w:shd w:val="clear" w:color="auto" w:fill="auto"/>
          </w:tcPr>
          <w:p w14:paraId="0206FAFA" w14:textId="77777777" w:rsidR="00CA11F2" w:rsidRPr="00722C4C" w:rsidRDefault="00722C4C">
            <w:pPr>
              <w:jc w:val="both"/>
              <w:rPr>
                <w:rFonts w:ascii="Arial" w:hAnsi="Arial" w:cs="FrankRuehl"/>
                <w:sz w:val="28"/>
                <w:szCs w:val="28"/>
              </w:rPr>
            </w:pPr>
            <w:r w:rsidRPr="00722C4C">
              <w:rPr>
                <w:rFonts w:ascii="Arial" w:hAnsi="Arial" w:cs="FrankRuehl" w:hint="cs"/>
                <w:sz w:val="28"/>
                <w:szCs w:val="28"/>
                <w:rtl/>
              </w:rPr>
              <w:t>ב</w:t>
            </w:r>
            <w:r w:rsidRPr="00722C4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0D6EC42" w14:textId="77777777" w:rsidR="00CA11F2" w:rsidRPr="00722C4C" w:rsidRDefault="00722C4C">
            <w:pPr>
              <w:rPr>
                <w:rFonts w:ascii="Arial" w:hAnsi="Arial" w:cs="FrankRuehl"/>
                <w:b/>
                <w:bCs/>
                <w:sz w:val="28"/>
                <w:szCs w:val="28"/>
                <w:rtl/>
              </w:rPr>
            </w:pPr>
            <w:r w:rsidRPr="00722C4C">
              <w:rPr>
                <w:rFonts w:ascii="Arial" w:hAnsi="Arial" w:cs="FrankRuehl" w:hint="cs"/>
                <w:b/>
                <w:bCs/>
                <w:sz w:val="28"/>
                <w:szCs w:val="28"/>
                <w:rtl/>
              </w:rPr>
              <w:t>כב' השופטת דנה כהן-לקח</w:t>
            </w:r>
          </w:p>
          <w:p w14:paraId="30329CF6" w14:textId="77777777" w:rsidR="00CA11F2" w:rsidRPr="00722C4C" w:rsidRDefault="00CA11F2">
            <w:pPr>
              <w:rPr>
                <w:rFonts w:ascii="Arial" w:hAnsi="Arial" w:cs="FrankRuehl"/>
                <w:b/>
                <w:bCs/>
                <w:sz w:val="28"/>
                <w:szCs w:val="28"/>
                <w:rtl/>
              </w:rPr>
            </w:pPr>
          </w:p>
          <w:p w14:paraId="20BC52F3" w14:textId="77777777" w:rsidR="00CA11F2" w:rsidRPr="00722C4C" w:rsidRDefault="00722C4C">
            <w:pPr>
              <w:tabs>
                <w:tab w:val="left" w:pos="991"/>
              </w:tabs>
              <w:jc w:val="both"/>
              <w:rPr>
                <w:rFonts w:ascii="Arial" w:hAnsi="Arial" w:cs="FrankRuehl"/>
                <w:b/>
                <w:bCs/>
                <w:sz w:val="28"/>
                <w:szCs w:val="28"/>
              </w:rPr>
            </w:pPr>
            <w:r w:rsidRPr="00722C4C">
              <w:rPr>
                <w:rFonts w:ascii="Arial" w:hAnsi="Arial" w:cs="FrankRuehl"/>
                <w:b/>
                <w:bCs/>
                <w:sz w:val="28"/>
                <w:szCs w:val="28"/>
                <w:rtl/>
              </w:rPr>
              <w:tab/>
            </w:r>
          </w:p>
        </w:tc>
      </w:tr>
      <w:tr w:rsidR="00CA11F2" w:rsidRPr="00722C4C" w14:paraId="08F60261" w14:textId="77777777">
        <w:trPr>
          <w:trHeight w:val="355"/>
          <w:jc w:val="center"/>
        </w:trPr>
        <w:tc>
          <w:tcPr>
            <w:tcW w:w="923" w:type="dxa"/>
            <w:tcBorders>
              <w:top w:val="nil"/>
              <w:left w:val="nil"/>
              <w:bottom w:val="nil"/>
              <w:right w:val="nil"/>
            </w:tcBorders>
            <w:shd w:val="clear" w:color="auto" w:fill="auto"/>
          </w:tcPr>
          <w:p w14:paraId="32D7D037" w14:textId="77777777" w:rsidR="00CA11F2" w:rsidRPr="00722C4C" w:rsidRDefault="00722C4C">
            <w:pPr>
              <w:jc w:val="both"/>
              <w:rPr>
                <w:rFonts w:ascii="Arial" w:hAnsi="Arial" w:cs="FrankRuehl"/>
                <w:sz w:val="28"/>
                <w:szCs w:val="28"/>
              </w:rPr>
            </w:pPr>
            <w:bookmarkStart w:id="2" w:name="FirstAppellant"/>
            <w:r w:rsidRPr="00722C4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C5B97A3" w14:textId="77777777" w:rsidR="00CA11F2" w:rsidRPr="00722C4C" w:rsidRDefault="00722C4C">
            <w:r w:rsidRPr="00722C4C">
              <w:rPr>
                <w:rFonts w:hint="cs"/>
                <w:rtl/>
              </w:rPr>
              <w:t>מדינת ישראל</w:t>
            </w:r>
          </w:p>
        </w:tc>
        <w:tc>
          <w:tcPr>
            <w:tcW w:w="3771" w:type="dxa"/>
            <w:tcBorders>
              <w:top w:val="nil"/>
              <w:left w:val="nil"/>
              <w:bottom w:val="nil"/>
              <w:right w:val="nil"/>
            </w:tcBorders>
            <w:shd w:val="clear" w:color="auto" w:fill="auto"/>
          </w:tcPr>
          <w:p w14:paraId="00D510E6" w14:textId="77777777" w:rsidR="00CA11F2" w:rsidRPr="00722C4C" w:rsidRDefault="00CA11F2">
            <w:pPr>
              <w:jc w:val="both"/>
              <w:rPr>
                <w:rFonts w:ascii="Arial" w:hAnsi="Arial" w:cs="FrankRuehl"/>
                <w:sz w:val="28"/>
                <w:szCs w:val="28"/>
              </w:rPr>
            </w:pPr>
          </w:p>
        </w:tc>
      </w:tr>
      <w:bookmarkEnd w:id="2"/>
      <w:tr w:rsidR="00CA11F2" w:rsidRPr="00722C4C" w14:paraId="36F2D88B" w14:textId="77777777">
        <w:trPr>
          <w:trHeight w:val="355"/>
          <w:jc w:val="center"/>
        </w:trPr>
        <w:tc>
          <w:tcPr>
            <w:tcW w:w="923" w:type="dxa"/>
            <w:tcBorders>
              <w:top w:val="nil"/>
              <w:left w:val="nil"/>
              <w:bottom w:val="nil"/>
              <w:right w:val="nil"/>
            </w:tcBorders>
            <w:shd w:val="clear" w:color="auto" w:fill="auto"/>
          </w:tcPr>
          <w:p w14:paraId="60C5E6E7" w14:textId="77777777" w:rsidR="00CA11F2" w:rsidRPr="00722C4C" w:rsidRDefault="00CA11F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33822F2" w14:textId="77777777" w:rsidR="00CA11F2" w:rsidRPr="00722C4C" w:rsidRDefault="00CA11F2">
            <w:pPr>
              <w:jc w:val="both"/>
              <w:rPr>
                <w:rtl/>
              </w:rPr>
            </w:pPr>
          </w:p>
        </w:tc>
        <w:tc>
          <w:tcPr>
            <w:tcW w:w="3771" w:type="dxa"/>
            <w:tcBorders>
              <w:top w:val="nil"/>
              <w:left w:val="nil"/>
              <w:bottom w:val="nil"/>
              <w:right w:val="nil"/>
            </w:tcBorders>
            <w:shd w:val="clear" w:color="auto" w:fill="auto"/>
          </w:tcPr>
          <w:p w14:paraId="3BA152D0" w14:textId="77777777" w:rsidR="00CA11F2" w:rsidRPr="00722C4C" w:rsidRDefault="00722C4C">
            <w:pPr>
              <w:jc w:val="right"/>
              <w:rPr>
                <w:rFonts w:ascii="Arial" w:hAnsi="Arial" w:cs="FrankRuehl"/>
                <w:sz w:val="28"/>
                <w:szCs w:val="28"/>
                <w:rtl/>
              </w:rPr>
            </w:pPr>
            <w:r w:rsidRPr="00722C4C">
              <w:rPr>
                <w:rFonts w:ascii="Arial" w:hAnsi="Arial" w:cs="FrankRuehl" w:hint="cs"/>
                <w:sz w:val="28"/>
                <w:szCs w:val="28"/>
                <w:rtl/>
              </w:rPr>
              <w:t>ה</w:t>
            </w:r>
            <w:r w:rsidRPr="00722C4C">
              <w:rPr>
                <w:rFonts w:hint="cs"/>
                <w:rtl/>
              </w:rPr>
              <w:t>מאשימה</w:t>
            </w:r>
          </w:p>
        </w:tc>
      </w:tr>
      <w:tr w:rsidR="00CA11F2" w:rsidRPr="00722C4C" w14:paraId="2C337E06" w14:textId="77777777">
        <w:trPr>
          <w:trHeight w:val="355"/>
          <w:jc w:val="center"/>
        </w:trPr>
        <w:tc>
          <w:tcPr>
            <w:tcW w:w="923" w:type="dxa"/>
            <w:tcBorders>
              <w:top w:val="nil"/>
              <w:left w:val="nil"/>
              <w:bottom w:val="nil"/>
              <w:right w:val="nil"/>
            </w:tcBorders>
            <w:shd w:val="clear" w:color="auto" w:fill="auto"/>
          </w:tcPr>
          <w:p w14:paraId="1D6A2451" w14:textId="77777777" w:rsidR="00CA11F2" w:rsidRPr="00722C4C" w:rsidRDefault="00CA11F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BFFE669" w14:textId="77777777" w:rsidR="00CA11F2" w:rsidRPr="00722C4C" w:rsidRDefault="00CA11F2">
            <w:pPr>
              <w:jc w:val="center"/>
              <w:rPr>
                <w:rFonts w:ascii="Arial" w:hAnsi="Arial" w:cs="FrankRuehl"/>
                <w:b/>
                <w:bCs/>
                <w:sz w:val="28"/>
                <w:szCs w:val="28"/>
                <w:rtl/>
              </w:rPr>
            </w:pPr>
          </w:p>
          <w:p w14:paraId="7336F959" w14:textId="77777777" w:rsidR="00CA11F2" w:rsidRPr="00722C4C" w:rsidRDefault="00722C4C">
            <w:pPr>
              <w:jc w:val="center"/>
              <w:rPr>
                <w:rFonts w:ascii="Arial" w:hAnsi="Arial" w:cs="FrankRuehl"/>
                <w:b/>
                <w:bCs/>
                <w:sz w:val="28"/>
                <w:szCs w:val="28"/>
                <w:rtl/>
              </w:rPr>
            </w:pPr>
            <w:r w:rsidRPr="00722C4C">
              <w:rPr>
                <w:rFonts w:ascii="Arial" w:hAnsi="Arial" w:cs="FrankRuehl"/>
                <w:b/>
                <w:bCs/>
                <w:sz w:val="28"/>
                <w:szCs w:val="28"/>
                <w:rtl/>
              </w:rPr>
              <w:t>נגד</w:t>
            </w:r>
          </w:p>
          <w:p w14:paraId="1F08B5CF" w14:textId="77777777" w:rsidR="00CA11F2" w:rsidRPr="00722C4C" w:rsidRDefault="00CA11F2">
            <w:pPr>
              <w:jc w:val="both"/>
              <w:rPr>
                <w:rFonts w:ascii="Arial" w:hAnsi="Arial" w:cs="FrankRuehl"/>
                <w:sz w:val="28"/>
                <w:szCs w:val="28"/>
              </w:rPr>
            </w:pPr>
          </w:p>
        </w:tc>
      </w:tr>
      <w:tr w:rsidR="00CA11F2" w:rsidRPr="00722C4C" w14:paraId="30E00B57" w14:textId="77777777">
        <w:trPr>
          <w:trHeight w:val="355"/>
          <w:jc w:val="center"/>
        </w:trPr>
        <w:tc>
          <w:tcPr>
            <w:tcW w:w="923" w:type="dxa"/>
            <w:tcBorders>
              <w:top w:val="nil"/>
              <w:left w:val="nil"/>
              <w:bottom w:val="nil"/>
              <w:right w:val="nil"/>
            </w:tcBorders>
            <w:shd w:val="clear" w:color="auto" w:fill="auto"/>
          </w:tcPr>
          <w:p w14:paraId="4E766C05" w14:textId="77777777" w:rsidR="00CA11F2" w:rsidRPr="00722C4C" w:rsidRDefault="00CA11F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01ACC5E" w14:textId="77777777" w:rsidR="00CA11F2" w:rsidRPr="00722C4C" w:rsidRDefault="00722C4C">
            <w:pPr>
              <w:jc w:val="both"/>
              <w:rPr>
                <w:rtl/>
              </w:rPr>
            </w:pPr>
            <w:r w:rsidRPr="00722C4C">
              <w:rPr>
                <w:rFonts w:hint="cs"/>
                <w:rtl/>
              </w:rPr>
              <w:t xml:space="preserve">דן מדינה </w:t>
            </w:r>
          </w:p>
        </w:tc>
        <w:tc>
          <w:tcPr>
            <w:tcW w:w="3771" w:type="dxa"/>
            <w:tcBorders>
              <w:top w:val="nil"/>
              <w:left w:val="nil"/>
              <w:bottom w:val="nil"/>
              <w:right w:val="nil"/>
            </w:tcBorders>
            <w:shd w:val="clear" w:color="auto" w:fill="auto"/>
          </w:tcPr>
          <w:p w14:paraId="0F1EEFBE" w14:textId="77777777" w:rsidR="00CA11F2" w:rsidRPr="00722C4C" w:rsidRDefault="00CA11F2">
            <w:pPr>
              <w:jc w:val="right"/>
              <w:rPr>
                <w:rFonts w:ascii="Arial" w:hAnsi="Arial" w:cs="FrankRuehl"/>
                <w:sz w:val="28"/>
                <w:szCs w:val="28"/>
              </w:rPr>
            </w:pPr>
          </w:p>
        </w:tc>
      </w:tr>
      <w:tr w:rsidR="00CA11F2" w:rsidRPr="00722C4C" w14:paraId="6E45527F" w14:textId="77777777">
        <w:trPr>
          <w:trHeight w:val="355"/>
          <w:jc w:val="center"/>
        </w:trPr>
        <w:tc>
          <w:tcPr>
            <w:tcW w:w="923" w:type="dxa"/>
            <w:tcBorders>
              <w:top w:val="nil"/>
              <w:left w:val="nil"/>
              <w:bottom w:val="nil"/>
              <w:right w:val="nil"/>
            </w:tcBorders>
            <w:shd w:val="clear" w:color="auto" w:fill="auto"/>
          </w:tcPr>
          <w:p w14:paraId="1E1FCEBE" w14:textId="77777777" w:rsidR="00CA11F2" w:rsidRPr="00722C4C" w:rsidRDefault="00CA11F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54B0319" w14:textId="77777777" w:rsidR="00CA11F2" w:rsidRPr="00722C4C" w:rsidRDefault="00CA11F2">
            <w:pPr>
              <w:jc w:val="both"/>
              <w:rPr>
                <w:rtl/>
              </w:rPr>
            </w:pPr>
          </w:p>
        </w:tc>
        <w:tc>
          <w:tcPr>
            <w:tcW w:w="3771" w:type="dxa"/>
            <w:tcBorders>
              <w:top w:val="nil"/>
              <w:left w:val="nil"/>
              <w:bottom w:val="nil"/>
              <w:right w:val="nil"/>
            </w:tcBorders>
            <w:shd w:val="clear" w:color="auto" w:fill="auto"/>
          </w:tcPr>
          <w:p w14:paraId="69C2B923" w14:textId="77777777" w:rsidR="00CA11F2" w:rsidRPr="00722C4C" w:rsidRDefault="00722C4C">
            <w:pPr>
              <w:jc w:val="right"/>
              <w:rPr>
                <w:rFonts w:ascii="Arial" w:hAnsi="Arial" w:cs="FrankRuehl"/>
                <w:sz w:val="28"/>
                <w:szCs w:val="28"/>
              </w:rPr>
            </w:pPr>
            <w:r w:rsidRPr="00722C4C">
              <w:rPr>
                <w:rFonts w:ascii="Arial" w:hAnsi="Arial" w:cs="FrankRuehl" w:hint="cs"/>
                <w:sz w:val="28"/>
                <w:szCs w:val="28"/>
                <w:rtl/>
              </w:rPr>
              <w:t>ה</w:t>
            </w:r>
            <w:r w:rsidRPr="00722C4C">
              <w:rPr>
                <w:rFonts w:hint="cs"/>
                <w:rtl/>
              </w:rPr>
              <w:t>נאשם</w:t>
            </w:r>
          </w:p>
        </w:tc>
      </w:tr>
    </w:tbl>
    <w:p w14:paraId="747AC9B8" w14:textId="77777777" w:rsidR="003E2E0E" w:rsidRDefault="003E2E0E">
      <w:pPr>
        <w:rPr>
          <w:rFonts w:cs="FrankRuehl"/>
          <w:sz w:val="28"/>
          <w:szCs w:val="28"/>
          <w:rtl/>
        </w:rPr>
      </w:pPr>
      <w:bookmarkStart w:id="3" w:name="LawTable"/>
      <w:bookmarkEnd w:id="3"/>
    </w:p>
    <w:p w14:paraId="25999427" w14:textId="77777777" w:rsidR="003E2E0E" w:rsidRPr="003E2E0E" w:rsidRDefault="003E2E0E" w:rsidP="003E2E0E">
      <w:pPr>
        <w:spacing w:after="120" w:line="240" w:lineRule="exact"/>
        <w:ind w:left="283" w:hanging="283"/>
        <w:jc w:val="both"/>
        <w:rPr>
          <w:rFonts w:ascii="FrankRuehl" w:hAnsi="FrankRuehl" w:cs="FrankRuehl"/>
          <w:rtl/>
        </w:rPr>
      </w:pPr>
    </w:p>
    <w:p w14:paraId="0FD55CD6" w14:textId="77777777" w:rsidR="003E2E0E" w:rsidRPr="003E2E0E" w:rsidRDefault="003E2E0E" w:rsidP="003E2E0E">
      <w:pPr>
        <w:spacing w:after="120" w:line="240" w:lineRule="exact"/>
        <w:ind w:left="283" w:hanging="283"/>
        <w:jc w:val="both"/>
        <w:rPr>
          <w:rFonts w:ascii="FrankRuehl" w:hAnsi="FrankRuehl" w:cs="FrankRuehl"/>
          <w:rtl/>
        </w:rPr>
      </w:pPr>
      <w:r w:rsidRPr="003E2E0E">
        <w:rPr>
          <w:rFonts w:ascii="FrankRuehl" w:hAnsi="FrankRuehl" w:cs="FrankRuehl"/>
          <w:rtl/>
        </w:rPr>
        <w:t xml:space="preserve">חקיקה שאוזכרה: </w:t>
      </w:r>
    </w:p>
    <w:p w14:paraId="075727DB" w14:textId="77777777" w:rsidR="003E2E0E" w:rsidRPr="003E2E0E" w:rsidRDefault="003E2E0E" w:rsidP="003E2E0E">
      <w:pPr>
        <w:spacing w:after="120" w:line="240" w:lineRule="exact"/>
        <w:ind w:left="283" w:hanging="283"/>
        <w:jc w:val="both"/>
        <w:rPr>
          <w:rFonts w:ascii="FrankRuehl" w:hAnsi="FrankRuehl" w:cs="FrankRuehl"/>
          <w:rtl/>
        </w:rPr>
      </w:pPr>
      <w:hyperlink r:id="rId7" w:history="1">
        <w:r w:rsidRPr="003E2E0E">
          <w:rPr>
            <w:rFonts w:ascii="FrankRuehl" w:hAnsi="FrankRuehl" w:cs="FrankRuehl"/>
            <w:color w:val="0000FF"/>
            <w:u w:val="single"/>
            <w:rtl/>
          </w:rPr>
          <w:t>פקודת הסמים המסוכנים [נוסח חדש], תשל"ג-1973</w:t>
        </w:r>
      </w:hyperlink>
      <w:r w:rsidRPr="003E2E0E">
        <w:rPr>
          <w:rFonts w:ascii="FrankRuehl" w:hAnsi="FrankRuehl" w:cs="FrankRuehl"/>
          <w:rtl/>
        </w:rPr>
        <w:t xml:space="preserve">: סע'  </w:t>
      </w:r>
      <w:hyperlink r:id="rId8" w:history="1">
        <w:r w:rsidRPr="003E2E0E">
          <w:rPr>
            <w:rFonts w:ascii="FrankRuehl" w:hAnsi="FrankRuehl" w:cs="FrankRuehl"/>
            <w:color w:val="0000FF"/>
            <w:u w:val="single"/>
            <w:rtl/>
          </w:rPr>
          <w:t>6</w:t>
        </w:r>
      </w:hyperlink>
      <w:r w:rsidRPr="003E2E0E">
        <w:rPr>
          <w:rFonts w:ascii="FrankRuehl" w:hAnsi="FrankRuehl" w:cs="FrankRuehl"/>
          <w:rtl/>
        </w:rPr>
        <w:t xml:space="preserve">, </w:t>
      </w:r>
      <w:hyperlink r:id="rId9" w:history="1">
        <w:r w:rsidRPr="003E2E0E">
          <w:rPr>
            <w:rFonts w:ascii="FrankRuehl" w:hAnsi="FrankRuehl" w:cs="FrankRuehl"/>
            <w:color w:val="0000FF"/>
            <w:u w:val="single"/>
            <w:rtl/>
          </w:rPr>
          <w:t>10</w:t>
        </w:r>
      </w:hyperlink>
    </w:p>
    <w:p w14:paraId="35A0B32F" w14:textId="77777777" w:rsidR="003E2E0E" w:rsidRPr="003E2E0E" w:rsidRDefault="003E2E0E" w:rsidP="003E2E0E">
      <w:pPr>
        <w:spacing w:after="120" w:line="240" w:lineRule="exact"/>
        <w:ind w:left="283" w:hanging="283"/>
        <w:jc w:val="both"/>
        <w:rPr>
          <w:rFonts w:ascii="FrankRuehl" w:hAnsi="FrankRuehl" w:cs="FrankRuehl"/>
          <w:rtl/>
        </w:rPr>
      </w:pPr>
      <w:hyperlink r:id="rId10" w:history="1">
        <w:r w:rsidRPr="003E2E0E">
          <w:rPr>
            <w:rFonts w:ascii="FrankRuehl" w:hAnsi="FrankRuehl" w:cs="FrankRuehl"/>
            <w:color w:val="0000FF"/>
            <w:u w:val="single"/>
            <w:rtl/>
          </w:rPr>
          <w:t>חוק חוקרים פרטיים ושירותי שמירה, תשל"ב-1972</w:t>
        </w:r>
      </w:hyperlink>
      <w:r w:rsidRPr="003E2E0E">
        <w:rPr>
          <w:rFonts w:ascii="FrankRuehl" w:hAnsi="FrankRuehl" w:cs="FrankRuehl"/>
          <w:rtl/>
        </w:rPr>
        <w:t xml:space="preserve">: סע'  </w:t>
      </w:r>
      <w:hyperlink r:id="rId11" w:history="1">
        <w:r w:rsidRPr="003E2E0E">
          <w:rPr>
            <w:rFonts w:ascii="FrankRuehl" w:hAnsi="FrankRuehl" w:cs="FrankRuehl"/>
            <w:color w:val="0000FF"/>
            <w:u w:val="single"/>
            <w:rtl/>
          </w:rPr>
          <w:t>19</w:t>
        </w:r>
      </w:hyperlink>
      <w:r w:rsidRPr="003E2E0E">
        <w:rPr>
          <w:rFonts w:ascii="FrankRuehl" w:hAnsi="FrankRuehl" w:cs="FrankRuehl"/>
          <w:rtl/>
        </w:rPr>
        <w:t xml:space="preserve">, </w:t>
      </w:r>
      <w:hyperlink r:id="rId12" w:history="1">
        <w:r w:rsidRPr="003E2E0E">
          <w:rPr>
            <w:rFonts w:ascii="FrankRuehl" w:hAnsi="FrankRuehl" w:cs="FrankRuehl"/>
            <w:color w:val="0000FF"/>
            <w:u w:val="single"/>
            <w:rtl/>
          </w:rPr>
          <w:t>28</w:t>
        </w:r>
      </w:hyperlink>
    </w:p>
    <w:p w14:paraId="7106D582" w14:textId="77777777" w:rsidR="003E2E0E" w:rsidRPr="003E2E0E" w:rsidRDefault="003E2E0E" w:rsidP="003E2E0E">
      <w:pPr>
        <w:spacing w:after="120" w:line="240" w:lineRule="exact"/>
        <w:ind w:left="283" w:hanging="283"/>
        <w:jc w:val="both"/>
        <w:rPr>
          <w:rFonts w:ascii="FrankRuehl" w:hAnsi="FrankRuehl" w:cs="FrankRuehl"/>
          <w:rtl/>
        </w:rPr>
      </w:pPr>
      <w:hyperlink r:id="rId13" w:history="1">
        <w:r w:rsidRPr="003E2E0E">
          <w:rPr>
            <w:rFonts w:ascii="FrankRuehl" w:hAnsi="FrankRuehl" w:cs="FrankRuehl"/>
            <w:color w:val="0000FF"/>
            <w:u w:val="single"/>
            <w:rtl/>
          </w:rPr>
          <w:t>חוק כלי היריה, תש"ט-1949</w:t>
        </w:r>
      </w:hyperlink>
      <w:r w:rsidRPr="003E2E0E">
        <w:rPr>
          <w:rFonts w:ascii="FrankRuehl" w:hAnsi="FrankRuehl" w:cs="FrankRuehl"/>
          <w:rtl/>
        </w:rPr>
        <w:t xml:space="preserve">: סע'  </w:t>
      </w:r>
      <w:hyperlink r:id="rId14" w:history="1">
        <w:r w:rsidRPr="003E2E0E">
          <w:rPr>
            <w:rFonts w:ascii="FrankRuehl" w:hAnsi="FrankRuehl" w:cs="FrankRuehl"/>
            <w:color w:val="0000FF"/>
            <w:u w:val="single"/>
            <w:rtl/>
          </w:rPr>
          <w:t>12</w:t>
        </w:r>
      </w:hyperlink>
    </w:p>
    <w:p w14:paraId="2E39C859" w14:textId="77777777" w:rsidR="003E2E0E" w:rsidRPr="003E2E0E" w:rsidRDefault="003E2E0E" w:rsidP="003E2E0E">
      <w:pPr>
        <w:spacing w:after="120" w:line="240" w:lineRule="exact"/>
        <w:ind w:left="283" w:hanging="283"/>
        <w:jc w:val="both"/>
        <w:rPr>
          <w:rFonts w:ascii="FrankRuehl" w:hAnsi="FrankRuehl" w:cs="FrankRuehl"/>
          <w:rtl/>
        </w:rPr>
      </w:pPr>
      <w:hyperlink r:id="rId15" w:history="1">
        <w:r w:rsidRPr="003E2E0E">
          <w:rPr>
            <w:rFonts w:ascii="FrankRuehl" w:hAnsi="FrankRuehl" w:cs="FrankRuehl"/>
            <w:color w:val="0000FF"/>
            <w:u w:val="single"/>
            <w:rtl/>
          </w:rPr>
          <w:t>חוק העונשין, תשל"ז-1977</w:t>
        </w:r>
      </w:hyperlink>
      <w:r w:rsidRPr="003E2E0E">
        <w:rPr>
          <w:rFonts w:ascii="FrankRuehl" w:hAnsi="FrankRuehl" w:cs="FrankRuehl"/>
          <w:rtl/>
        </w:rPr>
        <w:t xml:space="preserve">: סע'  </w:t>
      </w:r>
      <w:hyperlink r:id="rId16" w:history="1">
        <w:r w:rsidRPr="003E2E0E">
          <w:rPr>
            <w:rFonts w:ascii="FrankRuehl" w:hAnsi="FrankRuehl" w:cs="FrankRuehl"/>
            <w:color w:val="0000FF"/>
            <w:u w:val="single"/>
            <w:rtl/>
          </w:rPr>
          <w:t>40ג(א)</w:t>
        </w:r>
      </w:hyperlink>
      <w:r w:rsidRPr="003E2E0E">
        <w:rPr>
          <w:rFonts w:ascii="FrankRuehl" w:hAnsi="FrankRuehl" w:cs="FrankRuehl"/>
          <w:rtl/>
        </w:rPr>
        <w:t xml:space="preserve">, </w:t>
      </w:r>
      <w:hyperlink r:id="rId17" w:history="1">
        <w:r w:rsidRPr="003E2E0E">
          <w:rPr>
            <w:rFonts w:ascii="FrankRuehl" w:hAnsi="FrankRuehl" w:cs="FrankRuehl"/>
            <w:color w:val="0000FF"/>
            <w:u w:val="single"/>
            <w:rtl/>
          </w:rPr>
          <w:t>40ד(א)</w:t>
        </w:r>
      </w:hyperlink>
      <w:r w:rsidRPr="003E2E0E">
        <w:rPr>
          <w:rFonts w:ascii="FrankRuehl" w:hAnsi="FrankRuehl" w:cs="FrankRuehl"/>
          <w:rtl/>
        </w:rPr>
        <w:t xml:space="preserve">, </w:t>
      </w:r>
      <w:hyperlink r:id="rId18" w:history="1">
        <w:r w:rsidRPr="003E2E0E">
          <w:rPr>
            <w:rFonts w:ascii="FrankRuehl" w:hAnsi="FrankRuehl" w:cs="FrankRuehl"/>
            <w:color w:val="0000FF"/>
            <w:u w:val="single"/>
            <w:rtl/>
          </w:rPr>
          <w:t>40יא</w:t>
        </w:r>
      </w:hyperlink>
      <w:r w:rsidRPr="003E2E0E">
        <w:rPr>
          <w:rFonts w:ascii="FrankRuehl" w:hAnsi="FrankRuehl" w:cs="FrankRuehl"/>
          <w:rtl/>
        </w:rPr>
        <w:t xml:space="preserve">, </w:t>
      </w:r>
      <w:hyperlink r:id="rId19" w:history="1">
        <w:r w:rsidRPr="003E2E0E">
          <w:rPr>
            <w:rFonts w:ascii="FrankRuehl" w:hAnsi="FrankRuehl" w:cs="FrankRuehl"/>
            <w:color w:val="0000FF"/>
            <w:u w:val="single"/>
            <w:rtl/>
          </w:rPr>
          <w:t>40יג(א)</w:t>
        </w:r>
      </w:hyperlink>
    </w:p>
    <w:p w14:paraId="79C7DC5D" w14:textId="77777777" w:rsidR="003E2E0E" w:rsidRPr="003E2E0E" w:rsidRDefault="003E2E0E">
      <w:pPr>
        <w:rPr>
          <w:rFonts w:cs="FrankRuehl"/>
          <w:sz w:val="28"/>
          <w:szCs w:val="28"/>
          <w:rtl/>
        </w:rPr>
      </w:pPr>
      <w:bookmarkStart w:id="4" w:name="LawTable_End"/>
      <w:bookmarkEnd w:id="4"/>
    </w:p>
    <w:p w14:paraId="035DDA6B" w14:textId="77777777" w:rsidR="00CA11F2" w:rsidRPr="00722C4C" w:rsidRDefault="00CA11F2">
      <w:pPr>
        <w:rPr>
          <w:rFonts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11F2" w:rsidRPr="00722C4C" w14:paraId="4CF21F8E" w14:textId="77777777">
        <w:trPr>
          <w:trHeight w:val="355"/>
          <w:jc w:val="center"/>
        </w:trPr>
        <w:tc>
          <w:tcPr>
            <w:tcW w:w="8820" w:type="dxa"/>
            <w:tcBorders>
              <w:top w:val="nil"/>
              <w:left w:val="nil"/>
              <w:bottom w:val="nil"/>
              <w:right w:val="nil"/>
            </w:tcBorders>
            <w:shd w:val="clear" w:color="auto" w:fill="auto"/>
          </w:tcPr>
          <w:p w14:paraId="4290ED73" w14:textId="77777777" w:rsidR="00CA11F2" w:rsidRPr="00722C4C" w:rsidRDefault="00722C4C">
            <w:pPr>
              <w:jc w:val="center"/>
              <w:rPr>
                <w:rFonts w:ascii="Arial" w:hAnsi="Arial" w:cs="FrankRuehl"/>
                <w:sz w:val="32"/>
                <w:szCs w:val="32"/>
                <w:rtl/>
              </w:rPr>
            </w:pPr>
            <w:r w:rsidRPr="00722C4C">
              <w:rPr>
                <w:rFonts w:ascii="Arial" w:hAnsi="Arial" w:cs="FrankRuehl" w:hint="cs"/>
                <w:b/>
                <w:bCs/>
                <w:sz w:val="32"/>
                <w:szCs w:val="32"/>
                <w:rtl/>
              </w:rPr>
              <w:t xml:space="preserve">החלטה </w:t>
            </w:r>
            <w:bookmarkStart w:id="5" w:name="PsakDin"/>
            <w:r w:rsidRPr="00722C4C">
              <w:rPr>
                <w:rFonts w:ascii="Arial" w:hAnsi="Arial" w:cs="FrankRuehl" w:hint="cs"/>
                <w:b/>
                <w:bCs/>
                <w:sz w:val="32"/>
                <w:szCs w:val="32"/>
                <w:rtl/>
              </w:rPr>
              <w:t>וגזר-דין</w:t>
            </w:r>
            <w:bookmarkEnd w:id="5"/>
          </w:p>
        </w:tc>
      </w:tr>
    </w:tbl>
    <w:p w14:paraId="7FB16F10" w14:textId="77777777" w:rsidR="00CA11F2" w:rsidRPr="00722C4C" w:rsidRDefault="00CA11F2">
      <w:pPr>
        <w:spacing w:line="480" w:lineRule="auto"/>
        <w:rPr>
          <w:rFonts w:ascii="Arial" w:hAnsi="Arial" w:cs="FrankRuehl"/>
          <w:sz w:val="28"/>
          <w:szCs w:val="28"/>
          <w:rtl/>
        </w:rPr>
      </w:pPr>
    </w:p>
    <w:p w14:paraId="54FEA8E7" w14:textId="77777777" w:rsidR="00CA11F2" w:rsidRPr="00722C4C" w:rsidRDefault="00722C4C">
      <w:pPr>
        <w:spacing w:after="120" w:line="360" w:lineRule="auto"/>
        <w:jc w:val="both"/>
        <w:rPr>
          <w:rFonts w:cs="FrankRuehl"/>
          <w:sz w:val="28"/>
          <w:szCs w:val="28"/>
          <w:rtl/>
        </w:rPr>
      </w:pPr>
      <w:r w:rsidRPr="00722C4C">
        <w:rPr>
          <w:rFonts w:cs="FrankRuehl" w:hint="cs"/>
          <w:sz w:val="28"/>
          <w:szCs w:val="28"/>
          <w:rtl/>
        </w:rPr>
        <w:t>רקע</w:t>
      </w:r>
    </w:p>
    <w:p w14:paraId="48A29BEE" w14:textId="77777777" w:rsidR="00CA11F2" w:rsidRPr="00722C4C" w:rsidRDefault="00722C4C">
      <w:pPr>
        <w:spacing w:after="120" w:line="360" w:lineRule="auto"/>
        <w:jc w:val="both"/>
        <w:rPr>
          <w:rFonts w:cs="FrankRuehl"/>
          <w:sz w:val="28"/>
          <w:szCs w:val="28"/>
          <w:rtl/>
        </w:rPr>
      </w:pPr>
      <w:r w:rsidRPr="00722C4C">
        <w:rPr>
          <w:rFonts w:cs="FrankRuehl" w:hint="cs"/>
          <w:sz w:val="28"/>
          <w:szCs w:val="28"/>
          <w:rtl/>
        </w:rPr>
        <w:t>1.</w:t>
      </w:r>
      <w:r w:rsidRPr="00722C4C">
        <w:rPr>
          <w:rFonts w:cs="FrankRuehl" w:hint="cs"/>
          <w:sz w:val="28"/>
          <w:szCs w:val="28"/>
          <w:rtl/>
        </w:rPr>
        <w:tab/>
      </w:r>
      <w:bookmarkStart w:id="6" w:name="ABSTRACT_START"/>
      <w:bookmarkEnd w:id="6"/>
      <w:r w:rsidRPr="00722C4C">
        <w:rPr>
          <w:rFonts w:cs="FrankRuehl" w:hint="cs"/>
          <w:sz w:val="28"/>
          <w:szCs w:val="28"/>
          <w:rtl/>
        </w:rPr>
        <w:t xml:space="preserve">ביום 3.7.2014 הורשע הנאשם בהתאם להודאתו, בעבירות שיוחסו לו בכתב אישום מתוקן כדלקמן: גידול סם מסוכן לפי </w:t>
      </w:r>
      <w:hyperlink r:id="rId20" w:history="1">
        <w:r w:rsidR="008A1BEB" w:rsidRPr="008A1BEB">
          <w:rPr>
            <w:rFonts w:cs="FrankRuehl"/>
            <w:color w:val="0000FF"/>
            <w:sz w:val="28"/>
            <w:szCs w:val="28"/>
            <w:u w:val="single"/>
            <w:rtl/>
          </w:rPr>
          <w:t>סעיף 6</w:t>
        </w:r>
      </w:hyperlink>
      <w:r w:rsidRPr="00722C4C">
        <w:rPr>
          <w:rFonts w:cs="FrankRuehl" w:hint="cs"/>
          <w:sz w:val="28"/>
          <w:szCs w:val="28"/>
          <w:rtl/>
        </w:rPr>
        <w:t xml:space="preserve"> ל</w:t>
      </w:r>
      <w:hyperlink r:id="rId21" w:history="1">
        <w:r w:rsidRPr="00722C4C">
          <w:rPr>
            <w:rFonts w:cs="FrankRuehl"/>
            <w:color w:val="0000FF"/>
            <w:sz w:val="28"/>
            <w:szCs w:val="28"/>
            <w:u w:val="single"/>
            <w:rtl/>
          </w:rPr>
          <w:t>פקודת הסמים המסוכנים</w:t>
        </w:r>
      </w:hyperlink>
      <w:r w:rsidRPr="00722C4C">
        <w:rPr>
          <w:rFonts w:cs="FrankRuehl" w:hint="cs"/>
          <w:sz w:val="28"/>
          <w:szCs w:val="28"/>
          <w:rtl/>
        </w:rPr>
        <w:t xml:space="preserve"> [נוסח חדש], התשל"ג-1973 (להלן: </w:t>
      </w:r>
      <w:r w:rsidRPr="00722C4C">
        <w:rPr>
          <w:rFonts w:cs="Miriam" w:hint="cs"/>
          <w:rtl/>
        </w:rPr>
        <w:t>פקודת הסמים</w:t>
      </w:r>
      <w:r w:rsidRPr="00722C4C">
        <w:rPr>
          <w:rFonts w:cs="FrankRuehl" w:hint="cs"/>
          <w:sz w:val="28"/>
          <w:szCs w:val="28"/>
          <w:rtl/>
        </w:rPr>
        <w:t xml:space="preserve"> או </w:t>
      </w:r>
      <w:r w:rsidRPr="00722C4C">
        <w:rPr>
          <w:rFonts w:cs="Miriam" w:hint="cs"/>
          <w:rtl/>
        </w:rPr>
        <w:t>הפקודה</w:t>
      </w:r>
      <w:r w:rsidRPr="00722C4C">
        <w:rPr>
          <w:rFonts w:cs="FrankRuehl" w:hint="cs"/>
          <w:sz w:val="28"/>
          <w:szCs w:val="28"/>
          <w:rtl/>
        </w:rPr>
        <w:t xml:space="preserve">); והחזקה בכלים המשמשים להכנת סם מסוכן לפי </w:t>
      </w:r>
      <w:hyperlink r:id="rId22" w:history="1">
        <w:r w:rsidR="008A1BEB" w:rsidRPr="008A1BEB">
          <w:rPr>
            <w:rFonts w:cs="FrankRuehl"/>
            <w:color w:val="0000FF"/>
            <w:sz w:val="28"/>
            <w:szCs w:val="28"/>
            <w:u w:val="single"/>
            <w:rtl/>
          </w:rPr>
          <w:t>סעיף 10</w:t>
        </w:r>
      </w:hyperlink>
      <w:r w:rsidRPr="00722C4C">
        <w:rPr>
          <w:rFonts w:cs="FrankRuehl" w:hint="cs"/>
          <w:sz w:val="28"/>
          <w:szCs w:val="28"/>
          <w:rtl/>
        </w:rPr>
        <w:t xml:space="preserve"> רישא לפקודה. </w:t>
      </w:r>
    </w:p>
    <w:p w14:paraId="2144D686" w14:textId="77777777" w:rsidR="00CA11F2" w:rsidRPr="00722C4C" w:rsidRDefault="00CA11F2">
      <w:pPr>
        <w:spacing w:after="120" w:line="360" w:lineRule="auto"/>
        <w:jc w:val="both"/>
        <w:rPr>
          <w:rFonts w:cs="FrankRuehl"/>
          <w:sz w:val="28"/>
          <w:szCs w:val="28"/>
          <w:rtl/>
        </w:rPr>
      </w:pPr>
    </w:p>
    <w:p w14:paraId="68E69D15" w14:textId="77777777" w:rsidR="00CA11F2" w:rsidRPr="00722C4C" w:rsidRDefault="00722C4C">
      <w:pPr>
        <w:spacing w:after="120" w:line="360" w:lineRule="auto"/>
        <w:jc w:val="both"/>
        <w:rPr>
          <w:rFonts w:cs="FrankRuehl"/>
          <w:sz w:val="28"/>
          <w:szCs w:val="28"/>
          <w:rtl/>
        </w:rPr>
      </w:pPr>
      <w:r w:rsidRPr="00722C4C">
        <w:rPr>
          <w:rFonts w:cs="FrankRuehl" w:hint="cs"/>
          <w:sz w:val="28"/>
          <w:szCs w:val="28"/>
          <w:rtl/>
        </w:rPr>
        <w:tab/>
        <w:t xml:space="preserve">בהתאם לעובדות כתב-האישום המתוקן, מספר חודשים לפני יום 7.5.2014 (במועד שאינו ידוע במדויק למאשימה), בעת שהנאשם התגורר בשכירות בדירה השייכת לאביו, הוא ייעד חדר באותה דירה כמעבדה לגידול סמים, ובו גידל סם מסוכן מסוג קנביס במשקל </w:t>
      </w:r>
      <w:smartTag w:uri="urn:schemas-microsoft-com:office:smarttags" w:element="metricconverter">
        <w:smartTagPr>
          <w:attr w:name="ProductID" w:val="135.19 גרם"/>
        </w:smartTagPr>
        <w:r w:rsidRPr="00722C4C">
          <w:rPr>
            <w:rFonts w:cs="FrankRuehl" w:hint="cs"/>
            <w:sz w:val="28"/>
            <w:szCs w:val="28"/>
            <w:rtl/>
          </w:rPr>
          <w:t>135.19 גרם</w:t>
        </w:r>
      </w:smartTag>
      <w:r w:rsidRPr="00722C4C">
        <w:rPr>
          <w:rFonts w:cs="FrankRuehl" w:hint="cs"/>
          <w:sz w:val="28"/>
          <w:szCs w:val="28"/>
          <w:rtl/>
        </w:rPr>
        <w:t xml:space="preserve"> נטו. באותן נסיבות, כשלושה שבועות לפני המועד בו נתפס על ידי המשטרה, החל הנאשם בגידול זרעי הסם, תוך שימוש בציוד רב אשר בו הצטייד מבעוד מועד, לרבות: אוהלים, אדניות, אדמה, </w:t>
      </w:r>
      <w:r w:rsidRPr="00722C4C">
        <w:rPr>
          <w:rFonts w:cs="FrankRuehl" w:hint="cs"/>
          <w:sz w:val="28"/>
          <w:szCs w:val="28"/>
          <w:rtl/>
        </w:rPr>
        <w:lastRenderedPageBreak/>
        <w:t xml:space="preserve">מערכת השקיה וסינון, מאוורר, מקלות תמיכה, נייר מבודד, מנורות תאורה, גוף חימום, אינקובטור, מערכת סינון אויר, חומרי דישון, שקיות וקופסאות לגידול סמים. בנוסף, אחסן הנאשם במחסן הסמוך לדירה ציוד רב המשמש להכנה ולהחזקה של סמים מסוכנים. </w:t>
      </w:r>
    </w:p>
    <w:p w14:paraId="722516A0" w14:textId="77777777" w:rsidR="00CA11F2" w:rsidRPr="00722C4C" w:rsidRDefault="00722C4C">
      <w:pPr>
        <w:spacing w:after="120" w:line="360" w:lineRule="auto"/>
        <w:jc w:val="both"/>
        <w:rPr>
          <w:rFonts w:cs="FrankRuehl"/>
          <w:sz w:val="28"/>
          <w:szCs w:val="28"/>
          <w:rtl/>
        </w:rPr>
      </w:pPr>
      <w:bookmarkStart w:id="7" w:name="ABSTRACT_END"/>
      <w:bookmarkEnd w:id="7"/>
      <w:r w:rsidRPr="00722C4C">
        <w:rPr>
          <w:rFonts w:cs="FrankRuehl" w:hint="cs"/>
          <w:sz w:val="28"/>
          <w:szCs w:val="28"/>
          <w:rtl/>
        </w:rPr>
        <w:tab/>
      </w:r>
    </w:p>
    <w:p w14:paraId="13E1FCD3" w14:textId="77777777" w:rsidR="00CA11F2" w:rsidRPr="00722C4C" w:rsidRDefault="00722C4C">
      <w:pPr>
        <w:spacing w:after="120" w:line="360" w:lineRule="auto"/>
        <w:jc w:val="both"/>
        <w:rPr>
          <w:rFonts w:cs="FrankRuehl"/>
          <w:sz w:val="28"/>
          <w:szCs w:val="28"/>
          <w:rtl/>
        </w:rPr>
      </w:pPr>
      <w:r w:rsidRPr="00722C4C">
        <w:rPr>
          <w:rFonts w:cs="FrankRuehl" w:hint="cs"/>
          <w:sz w:val="28"/>
          <w:szCs w:val="28"/>
          <w:rtl/>
        </w:rPr>
        <w:t>2.</w:t>
      </w:r>
      <w:r w:rsidRPr="00722C4C">
        <w:rPr>
          <w:rFonts w:cs="FrankRuehl" w:hint="cs"/>
          <w:sz w:val="28"/>
          <w:szCs w:val="28"/>
          <w:rtl/>
        </w:rPr>
        <w:tab/>
        <w:t>הסדר-הטיעון בין הצדדים לא כלל הסכמה לעניין העונש, והצדדים נותרו חופשיים בטיעוניהם. יחד עם זאת, הוסכם כי הנאשם יופנה לשירות המבחן לצורך הכנת תסקיר בעניינו. לבקשת הסנגור, התבקש שירות המבחן לבחון את שאלת ביטול ההרשעה, תוך שבית-המשפט הדגיש כי אינו מביע כל עמדה בעניין. בסך-הכל, הוגשו בעניינו של הנאשם ארבעה תסקירים.</w:t>
      </w:r>
    </w:p>
    <w:p w14:paraId="5FACF880" w14:textId="77777777" w:rsidR="00CA11F2" w:rsidRPr="00722C4C" w:rsidRDefault="00CA11F2">
      <w:pPr>
        <w:spacing w:after="120" w:line="360" w:lineRule="auto"/>
        <w:jc w:val="both"/>
        <w:rPr>
          <w:rFonts w:cs="FrankRuehl"/>
          <w:sz w:val="28"/>
          <w:szCs w:val="28"/>
          <w:rtl/>
        </w:rPr>
      </w:pPr>
    </w:p>
    <w:p w14:paraId="09C63C24" w14:textId="77777777" w:rsidR="00CA11F2" w:rsidRPr="00722C4C" w:rsidRDefault="00722C4C">
      <w:pPr>
        <w:spacing w:after="120" w:line="360" w:lineRule="auto"/>
        <w:jc w:val="both"/>
        <w:rPr>
          <w:rFonts w:cs="FrankRuehl"/>
          <w:sz w:val="28"/>
          <w:szCs w:val="28"/>
          <w:rtl/>
        </w:rPr>
      </w:pPr>
      <w:r w:rsidRPr="00722C4C">
        <w:rPr>
          <w:rFonts w:cs="FrankRuehl" w:hint="cs"/>
          <w:sz w:val="28"/>
          <w:szCs w:val="28"/>
          <w:rtl/>
        </w:rPr>
        <w:t>תסקירי שירות המבחן</w:t>
      </w:r>
    </w:p>
    <w:p w14:paraId="14FDEB4D" w14:textId="77777777" w:rsidR="00CA11F2" w:rsidRPr="00722C4C" w:rsidRDefault="00722C4C">
      <w:pPr>
        <w:spacing w:after="120" w:line="360" w:lineRule="auto"/>
        <w:jc w:val="both"/>
        <w:rPr>
          <w:rFonts w:cs="FrankRuehl"/>
          <w:sz w:val="28"/>
          <w:szCs w:val="28"/>
          <w:rtl/>
        </w:rPr>
      </w:pPr>
      <w:r w:rsidRPr="00722C4C">
        <w:rPr>
          <w:rFonts w:cs="FrankRuehl" w:hint="cs"/>
          <w:sz w:val="28"/>
          <w:szCs w:val="28"/>
          <w:rtl/>
        </w:rPr>
        <w:t>3.</w:t>
      </w:r>
      <w:r w:rsidRPr="00722C4C">
        <w:rPr>
          <w:rFonts w:cs="FrankRuehl" w:hint="cs"/>
          <w:sz w:val="28"/>
          <w:szCs w:val="28"/>
          <w:rtl/>
        </w:rPr>
        <w:tab/>
      </w:r>
      <w:r w:rsidRPr="00722C4C">
        <w:rPr>
          <w:rFonts w:cs="FrankRuehl" w:hint="cs"/>
          <w:b/>
          <w:bCs/>
          <w:sz w:val="28"/>
          <w:szCs w:val="28"/>
          <w:rtl/>
        </w:rPr>
        <w:t>התסקיר הראשון</w:t>
      </w:r>
      <w:r w:rsidRPr="00722C4C">
        <w:rPr>
          <w:rFonts w:cs="FrankRuehl" w:hint="cs"/>
          <w:sz w:val="28"/>
          <w:szCs w:val="28"/>
          <w:rtl/>
        </w:rPr>
        <w:t xml:space="preserve"> בעניינו של הנאשם הועבר לעיוני ביום 29.10.2014. מהתסקיר עלה כי הנאשם הינו בן 36, רווק ונעדר עבר פלילי. התסקיר סוקר את נסיבות חייו של הנאשם ויחסיו עם הוריו ובני משפחתו. בילדותו, עבד אביו של הנאשם במשרד החוץ, ועל כן נדדה משפחתו בין מספר ארצות שונות לאורך חייו. בהיותו בן 7, עת התגוררה משפחתו ביוסטון טקסס אשר בארצות הברית, התגלה אצל הנאשם גידול סרטני ממאיר בחלל הבטן, ובעקבותיו נאלץ לעבור ניתוחים וטיפולים עד שנרפא. בהיותו בגיל העשרה חיה משפחתו באקוודור, והנאשם למד בבית ספר אמריקאי בקרבת מקום. שם, חווה הנאשם בדידות גדולה ומשבר אישי בשל היותו היהודי היחיד בבית ספרו, ואלה הובילו להחלטתו לשוב לישראל בגפו בגיל 16. הנאשם סיים את לימודיו התיכוניים בפנימייה במרכז הארץ עם תעודת בגרות מלאה. הנאשם סיפר כי בעת שהיה חניך בפנימייה התוודע לראשונה לשימוש בסמים בנסיבות חברתיות בתדירות נמוכה. כשסיים את לימודיו, התגייס הנאשם לצבא ושירת שירות צבאי מלא בתפקיד טכנאי ציוד מסווג, ואף הוענק לו פרס חניך מצטיין. לאחר שהשתחרר משירותו הצבאי, עבד הנאשם במספר עבודות מזדמנות ונסע לטייל בדרום אמריקה. כאשר שב ארצה למד גרפיקה ובניית אתרים, והחל לעבוד כאחראי משמרת בחברת אבטחה במשך 4 שנים, עד למעצרו. לדברי הנאשם, בשנים שקדמו למעצרו החל לעשן סם מסוג מריחואנה בתדירות יום יומית.</w:t>
      </w:r>
    </w:p>
    <w:p w14:paraId="6C38A19E" w14:textId="77777777" w:rsidR="00CA11F2" w:rsidRPr="00722C4C" w:rsidRDefault="00CA11F2">
      <w:pPr>
        <w:spacing w:after="120" w:line="360" w:lineRule="auto"/>
        <w:jc w:val="both"/>
        <w:rPr>
          <w:rFonts w:cs="FrankRuehl"/>
          <w:sz w:val="28"/>
          <w:szCs w:val="28"/>
          <w:rtl/>
        </w:rPr>
      </w:pPr>
    </w:p>
    <w:p w14:paraId="539D1086" w14:textId="77777777" w:rsidR="00CA11F2" w:rsidRPr="00722C4C" w:rsidRDefault="00722C4C">
      <w:pPr>
        <w:spacing w:after="120" w:line="360" w:lineRule="auto"/>
        <w:ind w:firstLine="720"/>
        <w:jc w:val="both"/>
        <w:rPr>
          <w:rFonts w:cs="FrankRuehl"/>
          <w:sz w:val="28"/>
          <w:szCs w:val="28"/>
          <w:rtl/>
        </w:rPr>
      </w:pPr>
      <w:r w:rsidRPr="00722C4C">
        <w:rPr>
          <w:rFonts w:cs="FrankRuehl" w:hint="cs"/>
          <w:sz w:val="28"/>
          <w:szCs w:val="28"/>
          <w:rtl/>
        </w:rPr>
        <w:t xml:space="preserve">אשר לעבירות נשוא התיק שבכותרת  - בתסקיר צוין כי הנאשם לקח אחריות על העבירות המיוחסות לו בכתב האישום המתוקן, והסבירן על רקע שימושו בסמים ואי הבנתו את החומרה הפלילית של מעשיו. שירות המבחן התרשם כי הנאשם מביע חרטה כנה על מעשיו, וכי קשייו הרגשיים עִמם לא השכיל להתמודד באופן בונה, הם שהובילו אותו לפנות לסמים כמפלט. הנאשם </w:t>
      </w:r>
      <w:r w:rsidRPr="00722C4C">
        <w:rPr>
          <w:rFonts w:cs="FrankRuehl" w:hint="cs"/>
          <w:sz w:val="28"/>
          <w:szCs w:val="28"/>
          <w:rtl/>
        </w:rPr>
        <w:lastRenderedPageBreak/>
        <w:t>טען לפני שירות המבחן כי מאז מעצרו אינו משתמש בסמים. ואכן, בדיקות שתן לגילוי שרידי סם נמצאו נקיות.</w:t>
      </w:r>
    </w:p>
    <w:p w14:paraId="4B8FD4B2" w14:textId="77777777" w:rsidR="00CA11F2" w:rsidRPr="00722C4C" w:rsidRDefault="00CA11F2">
      <w:pPr>
        <w:spacing w:after="120" w:line="360" w:lineRule="auto"/>
        <w:ind w:firstLine="720"/>
        <w:jc w:val="both"/>
        <w:rPr>
          <w:rFonts w:cs="FrankRuehl"/>
          <w:sz w:val="28"/>
          <w:szCs w:val="28"/>
          <w:rtl/>
        </w:rPr>
      </w:pPr>
    </w:p>
    <w:p w14:paraId="67DF9FB5" w14:textId="77777777" w:rsidR="00CA11F2" w:rsidRPr="00722C4C" w:rsidRDefault="00722C4C">
      <w:pPr>
        <w:spacing w:after="120" w:line="360" w:lineRule="auto"/>
        <w:ind w:firstLine="720"/>
        <w:jc w:val="both"/>
        <w:rPr>
          <w:rFonts w:cs="FrankRuehl"/>
          <w:sz w:val="28"/>
          <w:szCs w:val="28"/>
          <w:rtl/>
        </w:rPr>
      </w:pPr>
      <w:r w:rsidRPr="00722C4C">
        <w:rPr>
          <w:rFonts w:cs="FrankRuehl" w:hint="cs"/>
          <w:sz w:val="28"/>
          <w:szCs w:val="28"/>
          <w:rtl/>
        </w:rPr>
        <w:t xml:space="preserve">במישור ההתרשמות - שירות המבחן התרשם כי הנאשם הִנו בעל דימוי עצמי נמוך, עם חווית נטישה ועזיבה, אשר נוכח חוסר היציבות וחוסר הקביעות שאפיינו את ילדותו, מרגיש תלישות וחוסר שייכות בכל מקום אשר נמצא. שירות המבחן התרשם כי לאורך השנים ניכרו קשיים תפקודיים ורגשיים אשר לא עובדו, וניכר כי גם כיום הנאשם חווה תסכולים בשגרת חייו עִמם הוא מתקשה להתמודד. עוד התרשם שירות המבחן כי על רקע מצוקותיו הנפשיות הגדולות, ראה הנאשם בסמים מפלט ודרך לברוח מהמציאות. הערכת שירות המבחן הייתה כי כל אלה מהווים </w:t>
      </w:r>
      <w:r w:rsidRPr="00722C4C">
        <w:rPr>
          <w:rFonts w:cs="FrankRuehl" w:hint="cs"/>
          <w:b/>
          <w:bCs/>
          <w:sz w:val="28"/>
          <w:szCs w:val="28"/>
          <w:rtl/>
        </w:rPr>
        <w:t xml:space="preserve">גורמי סיכון </w:t>
      </w:r>
      <w:r w:rsidRPr="00722C4C">
        <w:rPr>
          <w:rFonts w:cs="FrankRuehl" w:hint="cs"/>
          <w:sz w:val="28"/>
          <w:szCs w:val="28"/>
          <w:rtl/>
        </w:rPr>
        <w:t>להישנות מעורבות עבריינית מצדו של הנאשם. יחד עם זאת, צוין כי לנאשם כוחות חיוביים לתפקוד, וכי כיום הוא מודע יותר להתנהגותו ולמניעיה, ולמרכיבים החלשים באישיותו. כמו כן, צוין כי הנאשם מביע רצון לשינוי והשתלב בטיפול מעמיק בבעיות הסמים. הערכת שירות המבחן הייתה כי כל אלה מהווים</w:t>
      </w:r>
      <w:r w:rsidRPr="00722C4C">
        <w:rPr>
          <w:rFonts w:cs="FrankRuehl" w:hint="cs"/>
          <w:b/>
          <w:bCs/>
          <w:sz w:val="28"/>
          <w:szCs w:val="28"/>
          <w:rtl/>
        </w:rPr>
        <w:t xml:space="preserve"> גורמי סיכוי</w:t>
      </w:r>
      <w:r w:rsidRPr="00722C4C">
        <w:rPr>
          <w:rFonts w:cs="FrankRuehl" w:hint="cs"/>
          <w:sz w:val="28"/>
          <w:szCs w:val="28"/>
          <w:rtl/>
        </w:rPr>
        <w:t xml:space="preserve"> לשיקום ולהימנעות מהתנהגות עבריינית.</w:t>
      </w:r>
    </w:p>
    <w:p w14:paraId="08FEC3F1" w14:textId="77777777" w:rsidR="00CA11F2" w:rsidRPr="00722C4C" w:rsidRDefault="00CA11F2">
      <w:pPr>
        <w:spacing w:after="120" w:line="360" w:lineRule="auto"/>
        <w:ind w:firstLine="720"/>
        <w:jc w:val="both"/>
        <w:rPr>
          <w:rFonts w:cs="FrankRuehl"/>
          <w:sz w:val="28"/>
          <w:szCs w:val="28"/>
          <w:rtl/>
        </w:rPr>
      </w:pPr>
    </w:p>
    <w:p w14:paraId="30AF9838" w14:textId="77777777" w:rsidR="00CA11F2" w:rsidRPr="00722C4C" w:rsidRDefault="00722C4C">
      <w:pPr>
        <w:spacing w:after="120" w:line="360" w:lineRule="auto"/>
        <w:ind w:firstLine="720"/>
        <w:jc w:val="both"/>
        <w:rPr>
          <w:rFonts w:cs="FrankRuehl"/>
          <w:sz w:val="28"/>
          <w:szCs w:val="28"/>
          <w:rtl/>
        </w:rPr>
      </w:pPr>
      <w:r w:rsidRPr="00722C4C">
        <w:rPr>
          <w:rFonts w:cs="FrankRuehl" w:hint="cs"/>
          <w:sz w:val="28"/>
          <w:szCs w:val="28"/>
          <w:rtl/>
        </w:rPr>
        <w:t>בתסקיר צוין כי הנאשם הופנה לטיפול במכון הירושלמי לתחלואה כפולה ולמאבק בסמים, אך לאחר שתי פגישות היכרות, בחר שלא להמשיך לקבל טיפול במקום מכיוון שנבהל מהאנשים שטופלו במקום (אשר חלקם סובלים מבעיות נפשיות). בהמשך, פנה הנאשם מיוזמתו למטפל פרטי המתמחה בתחום הסמים, ונפגש איתו שלוש פעמים. שירות המבחן התרשם במסגרת התסקיר הראשון כי הנאשם מצוי בשלבים ראשוניים של תהליך שינוי ושיקום, וכי ההליכים המשפטיים מהווים גורם מדרבן נוסף עבורו להתמיד בטיפול. בהתחשב בכל אלה, המליץ שירות המבחן במסגרת התסקיר הראשון, לשנות את התנאים המגבילים של מעצר בית מלא ולאפשר לנאשם לחזור לשגרת חיים נורמטיבית, תוך שילובו במסגרת טיפולית ופיקוחית אשר תעזור לו לנתב את צעדיו ולהתמודד עם קשיים אליהם נחשף בחיי היום-יום. כן המליץ שירות המבחן על תקופת דחייה בת ארבעה חודשים על מנת לבחון את התקדמותו של הנאשם במסגרת הטיפול הפרטני.</w:t>
      </w:r>
    </w:p>
    <w:p w14:paraId="5B6F6180" w14:textId="77777777" w:rsidR="00CA11F2" w:rsidRPr="00722C4C" w:rsidRDefault="00CA11F2">
      <w:pPr>
        <w:spacing w:after="120" w:line="360" w:lineRule="auto"/>
        <w:ind w:firstLine="720"/>
        <w:jc w:val="both"/>
        <w:rPr>
          <w:rFonts w:cs="FrankRuehl"/>
          <w:sz w:val="28"/>
          <w:szCs w:val="28"/>
          <w:rtl/>
        </w:rPr>
      </w:pPr>
    </w:p>
    <w:p w14:paraId="5AFC5E70" w14:textId="77777777" w:rsidR="00CA11F2" w:rsidRPr="00722C4C" w:rsidRDefault="00722C4C">
      <w:pPr>
        <w:spacing w:after="120" w:line="360" w:lineRule="auto"/>
        <w:ind w:firstLine="720"/>
        <w:jc w:val="both"/>
        <w:rPr>
          <w:rFonts w:cs="FrankRuehl"/>
          <w:sz w:val="28"/>
          <w:szCs w:val="28"/>
          <w:rtl/>
        </w:rPr>
      </w:pPr>
      <w:r w:rsidRPr="00722C4C">
        <w:rPr>
          <w:rFonts w:cs="FrankRuehl" w:hint="cs"/>
          <w:sz w:val="28"/>
          <w:szCs w:val="28"/>
          <w:rtl/>
        </w:rPr>
        <w:t>ב</w:t>
      </w:r>
      <w:r w:rsidRPr="00722C4C">
        <w:rPr>
          <w:rFonts w:cs="FrankRuehl" w:hint="cs"/>
          <w:b/>
          <w:bCs/>
          <w:sz w:val="28"/>
          <w:szCs w:val="28"/>
          <w:rtl/>
        </w:rPr>
        <w:t>תסקיר השני,</w:t>
      </w:r>
      <w:r w:rsidRPr="00722C4C">
        <w:rPr>
          <w:rFonts w:cs="FrankRuehl" w:hint="cs"/>
          <w:sz w:val="28"/>
          <w:szCs w:val="28"/>
          <w:rtl/>
        </w:rPr>
        <w:t xml:space="preserve"> שהוגש לעיוני ביום 25.2.2015, צוין כי במהלך חודש דצמבר של שנת 2014, עבר הנאשם תאונת עבודה בה שבר את קרסול רגלו. כתוצאה מכך, נאלץ הנאשם לעבור מספר ניתוחים ברגלו ולהתאשפז בבית החולים. לאחר שהשתחרר, סבל הנאשם מזיהום ברגלו ומסיבוכים בשל הניתוחים שעבר, ועל כן התנייד בכיסא גלגלים והתקשה בתפקוד בסיסי. בעקבות התאונה, התקשה הנאשם להגיע לשירות המבחן לצורך מסירת בדיקות לגילוי שרידי סם וכן התקשה להמשיך לנסוע למודיעין לצורך הטיפול הפרטי בו החל, ועל כן פנה לשירות המבחן בבקשה להפנותו ליחידה להתמכרויות בירושלים (של"מ) להתחלת אבחון וטיפול במקום וכן למסירת בדיקות לגילוי שרידי סם שם. בהתחשב בכך, התבקשה דחייה של ארבעה חודשים נוספים לצורך המשך מעקב אחר התקדמותו של הנאשם ביחידת של"מ.</w:t>
      </w:r>
    </w:p>
    <w:p w14:paraId="1EBFE0F5" w14:textId="77777777" w:rsidR="00CA11F2" w:rsidRPr="00722C4C" w:rsidRDefault="00CA11F2">
      <w:pPr>
        <w:spacing w:after="120" w:line="360" w:lineRule="auto"/>
        <w:ind w:firstLine="720"/>
        <w:jc w:val="both"/>
        <w:rPr>
          <w:rFonts w:cs="FrankRuehl"/>
          <w:sz w:val="28"/>
          <w:szCs w:val="28"/>
          <w:rtl/>
        </w:rPr>
      </w:pPr>
    </w:p>
    <w:p w14:paraId="4225CA8E" w14:textId="77777777" w:rsidR="00CA11F2" w:rsidRPr="00722C4C" w:rsidRDefault="00722C4C">
      <w:pPr>
        <w:spacing w:after="120" w:line="360" w:lineRule="auto"/>
        <w:ind w:firstLine="720"/>
        <w:jc w:val="both"/>
        <w:rPr>
          <w:rFonts w:cs="FrankRuehl"/>
          <w:sz w:val="28"/>
          <w:szCs w:val="28"/>
          <w:rtl/>
        </w:rPr>
      </w:pPr>
      <w:r w:rsidRPr="00722C4C">
        <w:rPr>
          <w:rFonts w:cs="FrankRuehl" w:hint="cs"/>
          <w:sz w:val="28"/>
          <w:szCs w:val="28"/>
          <w:rtl/>
        </w:rPr>
        <w:t>ה</w:t>
      </w:r>
      <w:r w:rsidRPr="00722C4C">
        <w:rPr>
          <w:rFonts w:cs="FrankRuehl" w:hint="cs"/>
          <w:b/>
          <w:bCs/>
          <w:sz w:val="28"/>
          <w:szCs w:val="28"/>
          <w:rtl/>
        </w:rPr>
        <w:t>תסקיר השלישי</w:t>
      </w:r>
      <w:r w:rsidRPr="00722C4C">
        <w:rPr>
          <w:rFonts w:cs="FrankRuehl" w:hint="cs"/>
          <w:sz w:val="28"/>
          <w:szCs w:val="28"/>
          <w:rtl/>
        </w:rPr>
        <w:t xml:space="preserve"> הוגש לעיוני ביום 21.6.2015. בתסקיר האמור צוין כי הנאשם המשיך בטיפול במסגרת יחידת של"מ, וכי מדיווח של גורמי הטיפול עולה כי הנאשם נמצא בהליך טיפולי משמעותי בו הוא משקיע מאמצים רבים, מתמודד עם מציאות חייו וקשייו הרגשיים, מנסה לשנות דפוסי התנהגות מכשילים וניכרת התקדמות במצבו. עוד צוין כי הנאשם מוסר בקביעות בדיקות שתן לגילוי שרידי סם, וכל הבדיקות שמסר נמצאו תקינות. אשר לתאונה אותה עבר הנאשם, צוין כי הנאשם החל בתהליך שיקום רגלו אך עדיין זקוק למספר התערבויות רפואיות, ביניהן ניתוח. בשל מצבו הרפואי הוא אינו עובד, מתקשה בתפקוד בסיסי וזקוק לקביים כדי להתנייד. להערכת שירות המבחן, ההליכים המשפטיים בעניינו של הנאשם מדרבנים אותו להמשיך בטיפול, ומסייעים לו בתהליך השיקום. </w:t>
      </w:r>
    </w:p>
    <w:p w14:paraId="3ED8823A" w14:textId="77777777" w:rsidR="00CA11F2" w:rsidRPr="00722C4C" w:rsidRDefault="00CA11F2">
      <w:pPr>
        <w:spacing w:after="120" w:line="360" w:lineRule="auto"/>
        <w:ind w:firstLine="720"/>
        <w:jc w:val="both"/>
        <w:rPr>
          <w:rFonts w:cs="FrankRuehl"/>
          <w:sz w:val="28"/>
          <w:szCs w:val="28"/>
          <w:rtl/>
        </w:rPr>
      </w:pPr>
    </w:p>
    <w:p w14:paraId="1308C057" w14:textId="77777777" w:rsidR="00CA11F2" w:rsidRPr="00722C4C" w:rsidRDefault="00722C4C">
      <w:pPr>
        <w:spacing w:after="120" w:line="360" w:lineRule="auto"/>
        <w:ind w:firstLine="720"/>
        <w:jc w:val="both"/>
        <w:rPr>
          <w:rFonts w:cs="FrankRuehl"/>
          <w:sz w:val="28"/>
          <w:szCs w:val="28"/>
          <w:rtl/>
        </w:rPr>
      </w:pPr>
      <w:r w:rsidRPr="00722C4C">
        <w:rPr>
          <w:rFonts w:cs="FrankRuehl" w:hint="cs"/>
          <w:sz w:val="28"/>
          <w:szCs w:val="28"/>
          <w:rtl/>
        </w:rPr>
        <w:t>במישור ההמלצה – ציין שירות המבחן כי מחד גיסא, מדובר בעבירות חמורות. מאידך גיסא, התחשב שירות המבחן בתהליך בו החל הנאשם בחודשים האחרונים (לרבות ניקיון מסמים), בהתמדה בתהליך הטיפולי וכן במצבו הרפואי של הנאשם. בהתחשב בכל אלה, המליץ שירות המבחן כי יוטל על הנאשם צו שירות לתועלת הציבור כענישה מוחשית, בהיקף של 150 שעות, וכן מאסר מותנה. כמו כן, המליץ שירות המבחן על העמדת הנאשם בצו מבחן למשך שנה, במסגרתו ימשיך לקבל טיפול ביחידת של"מ בירושלים וימסור בדיקות שתן אשר יעקבו אחר ניקיונו מסמים.</w:t>
      </w:r>
    </w:p>
    <w:p w14:paraId="51C79834" w14:textId="77777777" w:rsidR="00CA11F2" w:rsidRPr="00722C4C" w:rsidRDefault="00CA11F2">
      <w:pPr>
        <w:spacing w:after="120" w:line="360" w:lineRule="auto"/>
        <w:ind w:firstLine="720"/>
        <w:jc w:val="both"/>
        <w:rPr>
          <w:rFonts w:cs="FrankRuehl"/>
          <w:sz w:val="28"/>
          <w:szCs w:val="28"/>
          <w:rtl/>
        </w:rPr>
      </w:pPr>
    </w:p>
    <w:p w14:paraId="7126F17B" w14:textId="77777777" w:rsidR="00CA11F2" w:rsidRPr="00722C4C" w:rsidRDefault="00722C4C">
      <w:pPr>
        <w:spacing w:after="120" w:line="360" w:lineRule="auto"/>
        <w:jc w:val="both"/>
        <w:rPr>
          <w:rFonts w:cs="FrankRuehl"/>
          <w:sz w:val="28"/>
          <w:szCs w:val="28"/>
          <w:rtl/>
        </w:rPr>
      </w:pPr>
      <w:r w:rsidRPr="00722C4C">
        <w:rPr>
          <w:rFonts w:cs="FrankRuehl" w:hint="cs"/>
          <w:sz w:val="28"/>
          <w:szCs w:val="28"/>
          <w:rtl/>
        </w:rPr>
        <w:tab/>
        <w:t>ב</w:t>
      </w:r>
      <w:r w:rsidRPr="00722C4C">
        <w:rPr>
          <w:rFonts w:cs="FrankRuehl" w:hint="cs"/>
          <w:b/>
          <w:bCs/>
          <w:sz w:val="28"/>
          <w:szCs w:val="28"/>
          <w:rtl/>
        </w:rPr>
        <w:t>תסקיר הרביעי</w:t>
      </w:r>
      <w:r w:rsidRPr="00722C4C">
        <w:rPr>
          <w:rFonts w:cs="FrankRuehl" w:hint="cs"/>
          <w:sz w:val="28"/>
          <w:szCs w:val="28"/>
          <w:rtl/>
        </w:rPr>
        <w:t xml:space="preserve"> (והאחרון), שהוגש לעיוני ביום 26.7.2015, התייחס שירות המבחן לסוגיית ביטול ההרשעה, וזאת לבקשת הסנגור. בתסקיר צוין כי הנאשם חושש כי הרשעה עלולה לפגוע בסיכוייו לחזור לעבודה כשומר, וכי הרשעה עלולה להביא לפגיעה נוספת בדימוי העצמי. בהתחשב בכך, וכדי לא לפגוע באפשרויות תעסוקה עתידיות וכן כדי לחזק את הנאשם במסלול הטיפולי, המליץ שירות המבחן על ביטול הרשעתו של הנאשם. </w:t>
      </w:r>
    </w:p>
    <w:p w14:paraId="7E0AFFC7" w14:textId="77777777" w:rsidR="00CA11F2" w:rsidRPr="00722C4C" w:rsidRDefault="00CA11F2">
      <w:pPr>
        <w:spacing w:after="120" w:line="360" w:lineRule="auto"/>
        <w:jc w:val="both"/>
        <w:rPr>
          <w:rFonts w:cs="FrankRuehl"/>
          <w:sz w:val="28"/>
          <w:szCs w:val="28"/>
          <w:rtl/>
        </w:rPr>
      </w:pPr>
    </w:p>
    <w:p w14:paraId="07037E7E" w14:textId="77777777" w:rsidR="00CA11F2" w:rsidRPr="00722C4C" w:rsidRDefault="00722C4C">
      <w:pPr>
        <w:spacing w:after="120" w:line="360" w:lineRule="auto"/>
        <w:jc w:val="both"/>
        <w:rPr>
          <w:rFonts w:cs="FrankRuehl"/>
          <w:sz w:val="28"/>
          <w:szCs w:val="28"/>
          <w:rtl/>
        </w:rPr>
      </w:pPr>
      <w:r w:rsidRPr="00722C4C">
        <w:rPr>
          <w:rFonts w:cs="FrankRuehl" w:hint="cs"/>
          <w:sz w:val="28"/>
          <w:szCs w:val="28"/>
          <w:rtl/>
        </w:rPr>
        <w:t xml:space="preserve">טיעוני הצדדים בסוגיות ההרשעה והעונש </w:t>
      </w:r>
    </w:p>
    <w:p w14:paraId="2C184B5E" w14:textId="77777777" w:rsidR="00CA11F2" w:rsidRPr="00722C4C" w:rsidRDefault="00722C4C">
      <w:pPr>
        <w:spacing w:after="120" w:line="360" w:lineRule="auto"/>
        <w:jc w:val="both"/>
        <w:rPr>
          <w:rFonts w:cs="Arial"/>
          <w:sz w:val="28"/>
          <w:szCs w:val="28"/>
          <w:rtl/>
        </w:rPr>
      </w:pPr>
      <w:r w:rsidRPr="00722C4C">
        <w:rPr>
          <w:rFonts w:ascii="Calibri" w:hAnsi="Calibri" w:cs="FrankRuehl" w:hint="cs"/>
          <w:sz w:val="28"/>
          <w:szCs w:val="28"/>
          <w:rtl/>
        </w:rPr>
        <w:t>4.</w:t>
      </w:r>
      <w:r w:rsidRPr="00722C4C">
        <w:rPr>
          <w:rFonts w:ascii="Calibri" w:hAnsi="Calibri" w:cs="FrankRuehl" w:hint="cs"/>
          <w:sz w:val="28"/>
          <w:szCs w:val="28"/>
          <w:rtl/>
        </w:rPr>
        <w:tab/>
        <w:t>בא-כוח המאשימה, עו"ד אריה ברנד, טען כי מתחם העונש ההולם לעבירות שבוצעו על-ידי הנאשם נע מ- 6 חודשי מאסר בפועל שיכול וירוצו בעבודות שירות, ועד 18 חודשי מאסר בפועל. בא-כוח המאשימה טען כי לא מתקיימים תנאיה של ההלכה הפסוקה לביטול הרשעה, והתנגד לכך. בנסיבות העניין, משיקולי הרתעת היחיד והרבים, עתר בא-כוח המאשימה להטיל על הנאשם 6 חודשי מאסר בפועל ושבוע, לריצוי ממש.</w:t>
      </w:r>
    </w:p>
    <w:p w14:paraId="3B101357" w14:textId="77777777" w:rsidR="00CA11F2" w:rsidRPr="00722C4C" w:rsidRDefault="00CA11F2">
      <w:pPr>
        <w:spacing w:after="120" w:line="360" w:lineRule="auto"/>
        <w:jc w:val="both"/>
        <w:rPr>
          <w:rFonts w:ascii="Calibri" w:hAnsi="Calibri" w:cs="FrankRuehl"/>
          <w:sz w:val="28"/>
          <w:szCs w:val="28"/>
          <w:rtl/>
        </w:rPr>
      </w:pPr>
    </w:p>
    <w:p w14:paraId="72C2C14D" w14:textId="77777777" w:rsidR="00CA11F2" w:rsidRPr="00722C4C" w:rsidRDefault="00722C4C">
      <w:pPr>
        <w:spacing w:after="120" w:line="360" w:lineRule="auto"/>
        <w:jc w:val="both"/>
        <w:rPr>
          <w:rFonts w:ascii="Calibri" w:hAnsi="Calibri" w:cs="FrankRuehl"/>
          <w:sz w:val="28"/>
          <w:szCs w:val="28"/>
        </w:rPr>
      </w:pPr>
      <w:r w:rsidRPr="00722C4C">
        <w:rPr>
          <w:rFonts w:ascii="Calibri" w:hAnsi="Calibri" w:cs="FrankRuehl" w:hint="cs"/>
          <w:sz w:val="28"/>
          <w:szCs w:val="28"/>
          <w:rtl/>
        </w:rPr>
        <w:t>5.         מנגד, בא-כוח הנאשם, עו"ד רועי פוליטי, טען כי מתחם העונש ההולם נע ממאסר מותנה ושל"צ, ועד מספר חודשי מאסר בפועל שיכול וירוצו בעבודות שירות. בנסיבות העניין, עתר הסנגור לבטל את הרשעת מרשו, ולהטיל עליו צו של"צ וצו מבחן לפי המלצת שירות המבחן, וזאת בשים לב למכלול הנסיבות לקולא ולדרך השיקומית בה צעד הנאשם בתיק זה.</w:t>
      </w:r>
    </w:p>
    <w:p w14:paraId="347E98DD" w14:textId="77777777" w:rsidR="00CA11F2" w:rsidRPr="00722C4C" w:rsidRDefault="00CA11F2">
      <w:pPr>
        <w:spacing w:after="120" w:line="360" w:lineRule="auto"/>
        <w:jc w:val="both"/>
        <w:rPr>
          <w:rFonts w:ascii="Calibri" w:hAnsi="Calibri" w:cs="FrankRuehl"/>
          <w:sz w:val="28"/>
          <w:szCs w:val="28"/>
        </w:rPr>
      </w:pPr>
    </w:p>
    <w:p w14:paraId="77BB33B8" w14:textId="77777777" w:rsidR="00CA11F2" w:rsidRPr="00722C4C" w:rsidRDefault="00722C4C">
      <w:pPr>
        <w:spacing w:after="120" w:line="360" w:lineRule="auto"/>
        <w:jc w:val="both"/>
        <w:rPr>
          <w:rFonts w:ascii="Calibri" w:hAnsi="Calibri" w:cs="FrankRuehl"/>
          <w:sz w:val="28"/>
          <w:szCs w:val="28"/>
          <w:rtl/>
        </w:rPr>
      </w:pPr>
      <w:r w:rsidRPr="00722C4C">
        <w:rPr>
          <w:rFonts w:ascii="Calibri" w:hAnsi="Calibri" w:cs="FrankRuehl" w:hint="cs"/>
          <w:sz w:val="28"/>
          <w:szCs w:val="28"/>
          <w:rtl/>
        </w:rPr>
        <w:tab/>
        <w:t>יוער כי באי-כוח שני הצדדים הפנו לאסמכתאות מן הפסיקה בתמיכה לטיעוניהם, הן בסוגית ההרשעה והן בסוגית העונש.</w:t>
      </w:r>
    </w:p>
    <w:p w14:paraId="63BC0716" w14:textId="77777777" w:rsidR="00CA11F2" w:rsidRPr="00722C4C" w:rsidRDefault="00CA11F2">
      <w:pPr>
        <w:spacing w:after="120" w:line="360" w:lineRule="auto"/>
        <w:jc w:val="both"/>
        <w:rPr>
          <w:rFonts w:ascii="Calibri" w:hAnsi="Calibri" w:cs="FrankRuehl"/>
          <w:sz w:val="28"/>
          <w:szCs w:val="28"/>
          <w:rtl/>
        </w:rPr>
      </w:pPr>
    </w:p>
    <w:p w14:paraId="3F68D0E7" w14:textId="77777777" w:rsidR="00CA11F2" w:rsidRPr="00722C4C" w:rsidRDefault="00722C4C">
      <w:pPr>
        <w:spacing w:after="120" w:line="360" w:lineRule="auto"/>
        <w:jc w:val="both"/>
        <w:rPr>
          <w:rFonts w:ascii="Calibri" w:hAnsi="Calibri" w:cs="FrankRuehl"/>
          <w:sz w:val="28"/>
          <w:szCs w:val="28"/>
          <w:rtl/>
        </w:rPr>
      </w:pPr>
      <w:r w:rsidRPr="00722C4C">
        <w:rPr>
          <w:rFonts w:ascii="Calibri" w:hAnsi="Calibri" w:cs="FrankRuehl" w:hint="cs"/>
          <w:sz w:val="28"/>
          <w:szCs w:val="28"/>
          <w:rtl/>
        </w:rPr>
        <w:tab/>
        <w:t>הנאשם בדבריו לפניי טען כי הפנים את חומרת המעשים בהם הורשע והביע צער עליהם. הנאשם הוסיף כי במשך כשנה וחצי הוא שומר על ניקיון מסמים.</w:t>
      </w:r>
    </w:p>
    <w:p w14:paraId="3322F5B3" w14:textId="77777777" w:rsidR="00CA11F2" w:rsidRPr="00722C4C" w:rsidRDefault="00CA11F2">
      <w:pPr>
        <w:spacing w:after="120" w:line="360" w:lineRule="auto"/>
        <w:jc w:val="both"/>
        <w:rPr>
          <w:rFonts w:cs="FrankRuehl"/>
          <w:sz w:val="28"/>
          <w:szCs w:val="28"/>
          <w:rtl/>
        </w:rPr>
      </w:pPr>
    </w:p>
    <w:p w14:paraId="5F38AE50" w14:textId="77777777" w:rsidR="00CA11F2" w:rsidRPr="00722C4C" w:rsidRDefault="00722C4C">
      <w:pPr>
        <w:spacing w:after="120" w:line="360" w:lineRule="auto"/>
        <w:jc w:val="both"/>
        <w:rPr>
          <w:rFonts w:cs="FrankRuehl"/>
          <w:sz w:val="28"/>
          <w:szCs w:val="28"/>
          <w:rtl/>
        </w:rPr>
      </w:pPr>
      <w:r w:rsidRPr="00722C4C">
        <w:rPr>
          <w:rFonts w:cs="FrankRuehl" w:hint="cs"/>
          <w:sz w:val="28"/>
          <w:szCs w:val="28"/>
          <w:rtl/>
        </w:rPr>
        <w:t>סוגית ההרשעה</w:t>
      </w:r>
    </w:p>
    <w:p w14:paraId="1C842E8C" w14:textId="77777777" w:rsidR="00CA11F2" w:rsidRPr="00722C4C" w:rsidRDefault="00722C4C">
      <w:pPr>
        <w:spacing w:after="120" w:line="360" w:lineRule="auto"/>
        <w:jc w:val="both"/>
        <w:rPr>
          <w:rFonts w:ascii="Calibri" w:hAnsi="Calibri" w:cs="Arial"/>
          <w:sz w:val="22"/>
          <w:szCs w:val="22"/>
          <w:rtl/>
        </w:rPr>
      </w:pPr>
      <w:r w:rsidRPr="00722C4C">
        <w:rPr>
          <w:rFonts w:ascii="Calibri" w:hAnsi="Calibri" w:cs="FrankRuehl" w:hint="cs"/>
          <w:sz w:val="28"/>
          <w:szCs w:val="28"/>
          <w:rtl/>
        </w:rPr>
        <w:t>6.</w:t>
      </w:r>
      <w:r w:rsidRPr="00722C4C">
        <w:rPr>
          <w:rFonts w:ascii="Calibri" w:hAnsi="Calibri" w:cs="FrankRuehl" w:hint="cs"/>
          <w:sz w:val="28"/>
          <w:szCs w:val="28"/>
          <w:rtl/>
        </w:rPr>
        <w:tab/>
        <w:t>כידוע, הכלל לגבי נאשמים בגירים הוא כי משהוכח ביצועהּ של עבירה, יש להרשיע את הנאשם בדין. הימנעות מהרשעה או ביטולה מהווים אמצעי חריג שבית-המשפט יעשה בו שימוש רק בנסיבות מיוחדות ויוצאות דופן, בהן בית-המשפט שוכנע כי אין יחס סביר בין הנזק הצפוי לנאשם מן ההרשעה, לבין חומרתה של העבירה ונסיבות ביצועה. הנטל על ההגנה לשכנע כי בנסיבות המקרה יש לחרוג מן הכלל ולהעדיף את השיקולים האישיים התומכים בביטול ההרשעה, על-פני שיקולים נוגדים אחרים המצדדים בהותרת ההרשעה על כנה ובהם: עקרון ההלימה והוקעת מעשי העבירה, הצורך בהרתעת היחיד והרבים, וכן מדיניות אכיפה אחידה ושוויונית כלפי כלל העומדים לדין.</w:t>
      </w:r>
    </w:p>
    <w:p w14:paraId="15FA7186" w14:textId="77777777" w:rsidR="00CA11F2" w:rsidRPr="00722C4C" w:rsidRDefault="00CA11F2">
      <w:pPr>
        <w:spacing w:after="120" w:line="360" w:lineRule="auto"/>
        <w:jc w:val="both"/>
        <w:rPr>
          <w:rFonts w:ascii="Calibri" w:hAnsi="Calibri" w:cs="Arial"/>
          <w:sz w:val="22"/>
          <w:szCs w:val="22"/>
          <w:rtl/>
        </w:rPr>
      </w:pPr>
    </w:p>
    <w:p w14:paraId="43E1F227" w14:textId="77777777" w:rsidR="00CA11F2" w:rsidRPr="00722C4C" w:rsidRDefault="00722C4C">
      <w:pPr>
        <w:spacing w:after="120" w:line="360" w:lineRule="auto"/>
        <w:ind w:firstLine="720"/>
        <w:jc w:val="both"/>
        <w:rPr>
          <w:rFonts w:ascii="Calibri" w:hAnsi="Calibri" w:cs="Arial"/>
          <w:sz w:val="22"/>
          <w:szCs w:val="22"/>
          <w:rtl/>
        </w:rPr>
      </w:pPr>
      <w:r w:rsidRPr="00722C4C">
        <w:rPr>
          <w:rFonts w:ascii="Calibri" w:hAnsi="Calibri" w:cs="FrankRuehl" w:hint="cs"/>
          <w:sz w:val="28"/>
          <w:szCs w:val="28"/>
          <w:rtl/>
        </w:rPr>
        <w:t xml:space="preserve">בהתאם להלכה הפסוקה, על-מנת לבטל הרשעה בעניינו של נאשם בגיר, על בית-המשפט לבחון </w:t>
      </w:r>
      <w:r w:rsidRPr="00722C4C">
        <w:rPr>
          <w:rFonts w:ascii="Calibri" w:hAnsi="Calibri" w:cs="FrankRuehl" w:hint="cs"/>
          <w:b/>
          <w:bCs/>
          <w:sz w:val="28"/>
          <w:szCs w:val="28"/>
          <w:rtl/>
        </w:rPr>
        <w:t>הצטברותם</w:t>
      </w:r>
      <w:r w:rsidRPr="00722C4C">
        <w:rPr>
          <w:rFonts w:ascii="Calibri" w:hAnsi="Calibri" w:cs="FrankRuehl" w:hint="cs"/>
          <w:sz w:val="28"/>
          <w:szCs w:val="28"/>
          <w:rtl/>
        </w:rPr>
        <w:t xml:space="preserve"> של שני תנאים מרכזיים: </w:t>
      </w:r>
      <w:r w:rsidRPr="00722C4C">
        <w:rPr>
          <w:rFonts w:ascii="Calibri" w:hAnsi="Calibri" w:cs="Miriam" w:hint="cs"/>
          <w:rtl/>
        </w:rPr>
        <w:t>ראשית</w:t>
      </w:r>
      <w:r w:rsidRPr="00722C4C">
        <w:rPr>
          <w:rFonts w:ascii="Calibri" w:hAnsi="Calibri" w:cs="FrankRuehl" w:hint="cs"/>
          <w:sz w:val="28"/>
          <w:szCs w:val="28"/>
          <w:rtl/>
        </w:rPr>
        <w:t xml:space="preserve">, האם סוג העבירה ונסיבות ביצועה מאפשרים לוותר בנסיבות המקרה על ההרשעה מבלי לפגוע באופן מהותי בשיקולי הענישה האחרים. </w:t>
      </w:r>
      <w:r w:rsidRPr="00722C4C">
        <w:rPr>
          <w:rFonts w:ascii="Calibri" w:hAnsi="Calibri" w:cs="Miriam" w:hint="cs"/>
          <w:rtl/>
        </w:rPr>
        <w:t>ושנית</w:t>
      </w:r>
      <w:r w:rsidRPr="00722C4C">
        <w:rPr>
          <w:rFonts w:ascii="Calibri" w:hAnsi="Calibri" w:cs="FrankRuehl" w:hint="cs"/>
          <w:sz w:val="28"/>
          <w:szCs w:val="28"/>
          <w:rtl/>
        </w:rPr>
        <w:t xml:space="preserve">, האם הרשעה תפגע פגיעה חמורה בשיקום הנאשם (ראו: </w:t>
      </w:r>
      <w:hyperlink r:id="rId23" w:history="1">
        <w:r w:rsidRPr="00722C4C">
          <w:rPr>
            <w:rFonts w:cs="FrankRuehl"/>
            <w:color w:val="0000FF"/>
            <w:sz w:val="28"/>
            <w:szCs w:val="28"/>
            <w:u w:val="single"/>
            <w:rtl/>
          </w:rPr>
          <w:t>ע"פ 2083/96 כתב נ' מדינת ישראל, פ"ד נב</w:t>
        </w:r>
      </w:hyperlink>
      <w:r w:rsidRPr="00722C4C">
        <w:rPr>
          <w:rFonts w:ascii="Calibri" w:hAnsi="Calibri" w:cs="FrankRuehl" w:hint="cs"/>
          <w:sz w:val="28"/>
          <w:szCs w:val="28"/>
          <w:rtl/>
        </w:rPr>
        <w:t xml:space="preserve">(3) 337 (1997)). </w:t>
      </w:r>
    </w:p>
    <w:p w14:paraId="4E139F27" w14:textId="77777777" w:rsidR="00CA11F2" w:rsidRPr="00722C4C" w:rsidRDefault="00CA11F2">
      <w:pPr>
        <w:spacing w:after="120" w:line="360" w:lineRule="auto"/>
        <w:ind w:firstLine="720"/>
        <w:jc w:val="both"/>
        <w:rPr>
          <w:rFonts w:ascii="Calibri" w:hAnsi="Calibri" w:cs="Arial"/>
          <w:sz w:val="22"/>
          <w:szCs w:val="22"/>
          <w:rtl/>
        </w:rPr>
      </w:pPr>
    </w:p>
    <w:p w14:paraId="61CD84F7" w14:textId="77777777" w:rsidR="00CA11F2" w:rsidRPr="00722C4C" w:rsidRDefault="00722C4C">
      <w:pPr>
        <w:spacing w:after="120" w:line="360" w:lineRule="auto"/>
        <w:ind w:firstLine="720"/>
        <w:jc w:val="both"/>
        <w:rPr>
          <w:rFonts w:ascii="Calibri" w:hAnsi="Calibri" w:cs="Arial"/>
          <w:sz w:val="22"/>
          <w:szCs w:val="22"/>
          <w:rtl/>
        </w:rPr>
      </w:pPr>
      <w:r w:rsidRPr="00722C4C">
        <w:rPr>
          <w:rFonts w:ascii="Calibri" w:hAnsi="Calibri" w:cs="FrankRuehl" w:hint="cs"/>
          <w:sz w:val="28"/>
          <w:szCs w:val="28"/>
          <w:rtl/>
        </w:rPr>
        <w:t xml:space="preserve">לאחר שבחנתי את עניינו של הנאשם שלפניי, אני סבורה כי התנאים הנדרשים לצורך חריגה מן הכלל וביטול ההרשעה לא הוּכחוּ. להלן הנימוקים למסקנה זו. </w:t>
      </w:r>
    </w:p>
    <w:p w14:paraId="2472E3DB" w14:textId="77777777" w:rsidR="00CA11F2" w:rsidRPr="00722C4C" w:rsidRDefault="00722C4C">
      <w:pPr>
        <w:spacing w:after="120" w:line="360" w:lineRule="auto"/>
        <w:jc w:val="both"/>
        <w:rPr>
          <w:rFonts w:ascii="Calibri" w:hAnsi="Calibri" w:cs="Arial"/>
          <w:sz w:val="22"/>
          <w:szCs w:val="22"/>
        </w:rPr>
      </w:pPr>
      <w:r w:rsidRPr="00722C4C">
        <w:rPr>
          <w:rFonts w:ascii="Calibri" w:hAnsi="Calibri" w:cs="FrankRuehl" w:hint="cs"/>
          <w:sz w:val="28"/>
          <w:szCs w:val="28"/>
          <w:rtl/>
        </w:rPr>
        <w:tab/>
      </w:r>
    </w:p>
    <w:p w14:paraId="669C0027" w14:textId="77777777" w:rsidR="00CA11F2" w:rsidRPr="00722C4C" w:rsidRDefault="00722C4C">
      <w:pPr>
        <w:spacing w:after="120" w:line="360" w:lineRule="auto"/>
        <w:jc w:val="both"/>
        <w:rPr>
          <w:rFonts w:ascii="Calibri" w:hAnsi="Calibri" w:cs="FrankRuehl"/>
          <w:sz w:val="28"/>
          <w:szCs w:val="28"/>
          <w:rtl/>
        </w:rPr>
      </w:pPr>
      <w:r w:rsidRPr="00722C4C">
        <w:rPr>
          <w:rFonts w:ascii="Calibri" w:hAnsi="Calibri" w:cs="FrankRuehl" w:hint="cs"/>
          <w:sz w:val="28"/>
          <w:szCs w:val="28"/>
          <w:rtl/>
        </w:rPr>
        <w:t>7.</w:t>
      </w:r>
      <w:r w:rsidRPr="00722C4C">
        <w:rPr>
          <w:rFonts w:ascii="Calibri" w:hAnsi="Calibri" w:cs="FrankRuehl" w:hint="cs"/>
          <w:sz w:val="28"/>
          <w:szCs w:val="28"/>
          <w:rtl/>
        </w:rPr>
        <w:tab/>
        <w:t xml:space="preserve">בכל הנוגע לסוג העבירות ונסיבות ביצוען - </w:t>
      </w:r>
      <w:r w:rsidRPr="00722C4C">
        <w:rPr>
          <w:rFonts w:cs="FrankRuehl" w:hint="cs"/>
          <w:sz w:val="28"/>
          <w:szCs w:val="28"/>
          <w:rtl/>
        </w:rPr>
        <w:t xml:space="preserve">הנאשם גידל בביתו סם מסוג קנביס במשקל של כ- </w:t>
      </w:r>
      <w:smartTag w:uri="urn:schemas-microsoft-com:office:smarttags" w:element="metricconverter">
        <w:smartTagPr>
          <w:attr w:name="ProductID" w:val="135.19 גרם"/>
        </w:smartTagPr>
        <w:r w:rsidRPr="00722C4C">
          <w:rPr>
            <w:rFonts w:cs="FrankRuehl" w:hint="cs"/>
            <w:sz w:val="28"/>
            <w:szCs w:val="28"/>
            <w:rtl/>
          </w:rPr>
          <w:t>135.19 גרם</w:t>
        </w:r>
      </w:smartTag>
      <w:r w:rsidRPr="00722C4C">
        <w:rPr>
          <w:rFonts w:cs="FrankRuehl" w:hint="cs"/>
          <w:sz w:val="28"/>
          <w:szCs w:val="28"/>
          <w:rtl/>
        </w:rPr>
        <w:t xml:space="preserve"> נטו והחזיק בכלים המשמשים להכנתו. אמת, </w:t>
      </w:r>
      <w:r w:rsidRPr="00722C4C">
        <w:rPr>
          <w:rFonts w:ascii="Calibri" w:hAnsi="Calibri" w:cs="FrankRuehl" w:hint="cs"/>
          <w:sz w:val="28"/>
          <w:szCs w:val="28"/>
          <w:rtl/>
        </w:rPr>
        <w:t xml:space="preserve">מדובר בסם שנהוג להחשיבו כ"קל" ושכמותו לא הייתה גדולה במיוחד (כך למשל, לא מדובר בגידול מספר קילוגרמים של קנביס כפי שארע בפרשות אחרות שנדונו בפסיקה). זאת ועוד; לא מדובר במעבדה שהוסתרה על-ידי קירות גבס או אמצעים אחרים, אלא עסקינן בחדר מאובזר בתוך דירה בה התגורר הנאשם. אוסיף כי </w:t>
      </w:r>
      <w:r w:rsidRPr="00722C4C">
        <w:rPr>
          <w:rFonts w:cs="FrankRuehl" w:hint="cs"/>
          <w:sz w:val="28"/>
          <w:szCs w:val="28"/>
          <w:rtl/>
        </w:rPr>
        <w:t xml:space="preserve">לא נטען בכתב-האישום המתוקן כי הנאשם סחר בסם, ואף לא נטען כי נתפס בחזקתו של הנאשם סם המחולק ל"מנות", או סכומי כסף היכולים ללמד על סחר בסם. </w:t>
      </w:r>
      <w:r w:rsidRPr="00722C4C">
        <w:rPr>
          <w:rFonts w:ascii="Calibri" w:hAnsi="Calibri" w:cs="FrankRuehl" w:hint="cs"/>
          <w:sz w:val="28"/>
          <w:szCs w:val="28"/>
          <w:rtl/>
        </w:rPr>
        <w:t>כפי שעולה מתסקירי שירות המבחן, הסיבה שהובילה את הנאשם לביצוע העבירות הייתה התמכרותו לסמים על רקע קשיים רגשיים עִמם התקשה להתמודד.</w:t>
      </w:r>
    </w:p>
    <w:p w14:paraId="09BECFD5" w14:textId="77777777" w:rsidR="00CA11F2" w:rsidRPr="00722C4C" w:rsidRDefault="00CA11F2">
      <w:pPr>
        <w:spacing w:after="120" w:line="360" w:lineRule="auto"/>
        <w:jc w:val="both"/>
        <w:rPr>
          <w:rFonts w:ascii="Calibri" w:hAnsi="Calibri" w:cs="FrankRuehl"/>
          <w:sz w:val="28"/>
          <w:szCs w:val="28"/>
          <w:rtl/>
        </w:rPr>
      </w:pPr>
    </w:p>
    <w:p w14:paraId="7837D4EC" w14:textId="77777777" w:rsidR="00CA11F2" w:rsidRPr="00722C4C" w:rsidRDefault="00722C4C">
      <w:pPr>
        <w:spacing w:after="120" w:line="360" w:lineRule="auto"/>
        <w:ind w:firstLine="720"/>
        <w:jc w:val="both"/>
        <w:rPr>
          <w:rFonts w:ascii="Calibri" w:hAnsi="Calibri" w:cs="FrankRuehl"/>
          <w:sz w:val="28"/>
          <w:szCs w:val="28"/>
          <w:rtl/>
        </w:rPr>
      </w:pPr>
      <w:r w:rsidRPr="00722C4C">
        <w:rPr>
          <w:rFonts w:ascii="Calibri" w:hAnsi="Calibri" w:cs="FrankRuehl" w:hint="cs"/>
          <w:sz w:val="28"/>
          <w:szCs w:val="28"/>
          <w:rtl/>
        </w:rPr>
        <w:t xml:space="preserve">לצד כל אלה, </w:t>
      </w:r>
      <w:r w:rsidRPr="00722C4C">
        <w:rPr>
          <w:rFonts w:cs="FrankRuehl" w:hint="cs"/>
          <w:sz w:val="28"/>
          <w:szCs w:val="28"/>
          <w:rtl/>
        </w:rPr>
        <w:t>לא ניתן להקל ראש בכך שמעשיו של הנאשם לוו בתכנון, במאמצים ובמחשבה, שכן הנאשם הצטייד מראש בזרעי קנבוס, בידע מתאים, וכן בציוד רב כפי שפורט בפסקה 1 בדבריי לעיל, לצורך גידול הקנביס בביתו.</w:t>
      </w:r>
      <w:r w:rsidRPr="00722C4C">
        <w:rPr>
          <w:rFonts w:ascii="Calibri" w:hAnsi="Calibri" w:cs="FrankRuehl" w:hint="cs"/>
          <w:sz w:val="28"/>
          <w:szCs w:val="28"/>
          <w:rtl/>
        </w:rPr>
        <w:t xml:space="preserve"> אין מדובר בגידול הסם בעציץ על עדן החלון, אלא בהקמת מעבדה לגידול סמים בתוך חדר בדירה, שיוחד למטרה זו ואובזר בציוד מקצועי לצורך כך. במעשיו האמורים של הנאשם טמונה חוּמרה, עקב הנזק הפוטנציאלי הכרוך בהם (וזאת, אף אם לטענת הנאשם הוא התכוון לעשות שימוש בסם לצריכתו העצמית בלבד). תכליתן של העבירות האוסרות על גידול סמים ועל החזקת כלים המשמשים להכנת סם, היא למנוע הכנסת סם חדש למערכת הסחר או ההפצה של הסם, בשים לב לכך שלעולם אין לדעת לאילו ידיים יתגלגל הסם שיופק מהצמחים ומה יהיה ייעודו. </w:t>
      </w:r>
      <w:r w:rsidRPr="00722C4C">
        <w:rPr>
          <w:rFonts w:cs="FrankRuehl" w:hint="cs"/>
          <w:sz w:val="28"/>
          <w:szCs w:val="28"/>
          <w:rtl/>
        </w:rPr>
        <w:t>על חומרתן של שתי העבירות הנדונות ניתן ללמוד מהעונש המרבי שהמחוקק ראה לקבוע בצד כל אחת מהן - 20 שנות מאסר. בתי-המשפט עמדו על הצורך לבלום את התפשטות נגע הסמים בחברה, בין היתר על-ידי אכיפת הדין כנגד העוסקים בגידול סמים ובהפקתם.</w:t>
      </w:r>
      <w:r w:rsidRPr="00722C4C">
        <w:rPr>
          <w:rFonts w:ascii="Calibri" w:hAnsi="Calibri" w:cs="FrankRuehl" w:hint="cs"/>
          <w:sz w:val="28"/>
          <w:szCs w:val="28"/>
          <w:rtl/>
        </w:rPr>
        <w:t xml:space="preserve"> ביטול ההרשעה עלול להעביר מסר שגוי לפיו ניתן להקל ראש במעשיו של הנאשם. לכך אין מקום בשים לב למהות העבירות בהן עסקינן. בהתחשב בכל אלה, אני סבורה כי שיקולי ענישה של הלימה, גמול והרתעה של היחיד ושל הרבים מפני העבירה של גידול סמים בשילוב עם העבירה של החזקה בכלים המשמשים להכנת סם, מקשים על האפשרות לבטל את הרשעת הנאשם </w:t>
      </w:r>
      <w:r w:rsidRPr="00722C4C">
        <w:rPr>
          <w:rFonts w:cs="FrankRuehl" w:hint="cs"/>
          <w:sz w:val="28"/>
          <w:szCs w:val="28"/>
          <w:rtl/>
        </w:rPr>
        <w:t xml:space="preserve">(ראו והשוו: </w:t>
      </w:r>
      <w:hyperlink r:id="rId24" w:history="1">
        <w:r w:rsidRPr="00722C4C">
          <w:rPr>
            <w:rFonts w:cs="FrankRuehl"/>
            <w:color w:val="0000FF"/>
            <w:sz w:val="28"/>
            <w:szCs w:val="28"/>
            <w:u w:val="single"/>
            <w:rtl/>
          </w:rPr>
          <w:t>עפ"ג (מחוזי ת"א) 31126-05-14</w:t>
        </w:r>
      </w:hyperlink>
      <w:r w:rsidRPr="00722C4C">
        <w:rPr>
          <w:rFonts w:cs="FrankRuehl" w:hint="cs"/>
          <w:sz w:val="28"/>
          <w:szCs w:val="28"/>
          <w:rtl/>
        </w:rPr>
        <w:t xml:space="preserve"> </w:t>
      </w:r>
      <w:r w:rsidRPr="00722C4C">
        <w:rPr>
          <w:rFonts w:cs="Miriam" w:hint="cs"/>
          <w:rtl/>
        </w:rPr>
        <w:t>מדינת ישראל נ' חריט</w:t>
      </w:r>
      <w:r w:rsidRPr="00722C4C">
        <w:rPr>
          <w:rFonts w:cs="FrankRuehl" w:hint="cs"/>
          <w:sz w:val="28"/>
          <w:szCs w:val="28"/>
          <w:rtl/>
        </w:rPr>
        <w:t xml:space="preserve"> (12.1.2015); </w:t>
      </w:r>
      <w:hyperlink r:id="rId25" w:history="1">
        <w:r w:rsidRPr="00722C4C">
          <w:rPr>
            <w:rFonts w:cs="FrankRuehl"/>
            <w:color w:val="0000FF"/>
            <w:sz w:val="28"/>
            <w:szCs w:val="28"/>
            <w:u w:val="single"/>
            <w:rtl/>
          </w:rPr>
          <w:t>ע"פ (מחוזי חיפה) 41827-08-10</w:t>
        </w:r>
      </w:hyperlink>
      <w:r w:rsidRPr="00722C4C">
        <w:rPr>
          <w:rFonts w:cs="FrankRuehl" w:hint="cs"/>
          <w:sz w:val="28"/>
          <w:szCs w:val="28"/>
          <w:rtl/>
        </w:rPr>
        <w:t xml:space="preserve"> </w:t>
      </w:r>
      <w:r w:rsidRPr="00722C4C">
        <w:rPr>
          <w:rFonts w:cs="Miriam" w:hint="cs"/>
          <w:rtl/>
        </w:rPr>
        <w:t>פרידמן נ' מדינת ישראל</w:t>
      </w:r>
      <w:r w:rsidRPr="00722C4C">
        <w:rPr>
          <w:rFonts w:cs="FrankRuehl" w:hint="cs"/>
          <w:sz w:val="28"/>
          <w:szCs w:val="28"/>
          <w:rtl/>
        </w:rPr>
        <w:t xml:space="preserve"> (30.12.2010); </w:t>
      </w:r>
      <w:hyperlink r:id="rId26" w:history="1">
        <w:r w:rsidRPr="00722C4C">
          <w:rPr>
            <w:rFonts w:cs="FrankRuehl"/>
            <w:color w:val="0000FF"/>
            <w:sz w:val="28"/>
            <w:szCs w:val="28"/>
            <w:u w:val="single"/>
            <w:rtl/>
          </w:rPr>
          <w:t>ת"פ (שלום תל-אביב-יפו) 24322-05-12</w:t>
        </w:r>
      </w:hyperlink>
      <w:r w:rsidRPr="00722C4C">
        <w:rPr>
          <w:rFonts w:cs="FrankRuehl" w:hint="cs"/>
          <w:sz w:val="28"/>
          <w:szCs w:val="28"/>
          <w:rtl/>
        </w:rPr>
        <w:t xml:space="preserve"> </w:t>
      </w:r>
      <w:r w:rsidRPr="00722C4C">
        <w:rPr>
          <w:rFonts w:cs="Miriam" w:hint="cs"/>
          <w:rtl/>
        </w:rPr>
        <w:t>מדינת ישראל נ' נובק</w:t>
      </w:r>
      <w:r w:rsidRPr="00722C4C">
        <w:rPr>
          <w:rFonts w:cs="FrankRuehl" w:hint="cs"/>
          <w:sz w:val="28"/>
          <w:szCs w:val="28"/>
          <w:rtl/>
        </w:rPr>
        <w:t xml:space="preserve"> (18.3.2013))</w:t>
      </w:r>
      <w:r w:rsidRPr="00722C4C">
        <w:rPr>
          <w:rFonts w:ascii="Calibri" w:hAnsi="Calibri" w:cs="FrankRuehl" w:hint="cs"/>
          <w:sz w:val="28"/>
          <w:szCs w:val="28"/>
          <w:rtl/>
        </w:rPr>
        <w:t xml:space="preserve">. </w:t>
      </w:r>
    </w:p>
    <w:p w14:paraId="10F06AEE" w14:textId="77777777" w:rsidR="00CA11F2" w:rsidRPr="00722C4C" w:rsidRDefault="00CA11F2">
      <w:pPr>
        <w:spacing w:after="120" w:line="360" w:lineRule="auto"/>
        <w:ind w:firstLine="720"/>
        <w:jc w:val="both"/>
        <w:rPr>
          <w:rFonts w:ascii="Calibri" w:hAnsi="Calibri" w:cs="FrankRuehl"/>
          <w:sz w:val="28"/>
          <w:szCs w:val="28"/>
          <w:rtl/>
        </w:rPr>
      </w:pPr>
    </w:p>
    <w:p w14:paraId="7242F66A" w14:textId="77777777" w:rsidR="00CA11F2" w:rsidRPr="00722C4C" w:rsidRDefault="00722C4C">
      <w:pPr>
        <w:spacing w:after="120" w:line="360" w:lineRule="auto"/>
        <w:jc w:val="both"/>
        <w:rPr>
          <w:rFonts w:ascii="Calibri" w:hAnsi="Calibri" w:cs="FrankRuehl"/>
          <w:sz w:val="28"/>
          <w:szCs w:val="28"/>
          <w:rtl/>
        </w:rPr>
      </w:pPr>
      <w:r w:rsidRPr="00722C4C">
        <w:rPr>
          <w:rFonts w:ascii="Calibri" w:hAnsi="Calibri" w:cs="FrankRuehl" w:hint="cs"/>
          <w:sz w:val="28"/>
          <w:szCs w:val="28"/>
          <w:rtl/>
        </w:rPr>
        <w:t>8.</w:t>
      </w:r>
      <w:r w:rsidRPr="00722C4C">
        <w:rPr>
          <w:rFonts w:ascii="Calibri" w:hAnsi="Calibri" w:cs="FrankRuehl" w:hint="cs"/>
          <w:sz w:val="28"/>
          <w:szCs w:val="28"/>
          <w:rtl/>
        </w:rPr>
        <w:tab/>
        <w:t>המסקנה אליה באתי מתחזקת בנסיבות המקרה דנן, נוכח העדר הוכחתו של התנאי המצטבר הנוסף, שעניינו פגיעה חמורה בשיקום הנאשם עקב הרשעתו בדין. נקודת המוצא בהקשר זה היא כי על ההגנה לשכנע שהרשעה בדין תוביל ליצירת נזק קונקרטי חמור עבוּר הנאשם. ובלשונו של כב' השופט שהם:</w:t>
      </w:r>
    </w:p>
    <w:p w14:paraId="0DF42511" w14:textId="77777777" w:rsidR="00CA11F2" w:rsidRPr="00722C4C" w:rsidRDefault="00CA11F2">
      <w:pPr>
        <w:spacing w:after="120" w:line="360" w:lineRule="auto"/>
        <w:jc w:val="both"/>
        <w:rPr>
          <w:rFonts w:ascii="Calibri" w:hAnsi="Calibri" w:cs="FrankRuehl"/>
          <w:sz w:val="28"/>
          <w:szCs w:val="28"/>
          <w:rtl/>
        </w:rPr>
      </w:pPr>
    </w:p>
    <w:p w14:paraId="6A3EA7A8" w14:textId="77777777" w:rsidR="00CA11F2" w:rsidRPr="00722C4C" w:rsidRDefault="00722C4C">
      <w:pPr>
        <w:spacing w:after="120" w:line="276" w:lineRule="auto"/>
        <w:ind w:left="1260" w:right="1440"/>
        <w:jc w:val="both"/>
        <w:rPr>
          <w:rFonts w:ascii="Calibri" w:hAnsi="Calibri" w:cs="Arial"/>
          <w:sz w:val="22"/>
          <w:szCs w:val="22"/>
          <w:rtl/>
        </w:rPr>
      </w:pPr>
      <w:r w:rsidRPr="00722C4C">
        <w:rPr>
          <w:rFonts w:ascii="Garamond" w:hAnsi="Garamond" w:cs="FrankRuehl" w:hint="cs"/>
          <w:spacing w:val="10"/>
          <w:sz w:val="28"/>
          <w:szCs w:val="28"/>
          <w:rtl/>
        </w:rPr>
        <w:t xml:space="preserve">"...יש להתייחס לנזק המוחשי-קונקרטי העלול להיגרם למבקש, </w:t>
      </w:r>
      <w:r w:rsidRPr="00722C4C">
        <w:rPr>
          <w:rFonts w:ascii="Garamond" w:hAnsi="Garamond" w:cs="Miriam" w:hint="cs"/>
          <w:spacing w:val="10"/>
          <w:rtl/>
        </w:rPr>
        <w:t>ואין להידרש לאפשרויות תיאורטיות, לפיהן עלול להיגרם לו נזק כלשהו בעתיד</w:t>
      </w:r>
      <w:r w:rsidRPr="00722C4C">
        <w:rPr>
          <w:rFonts w:ascii="Garamond" w:hAnsi="Garamond" w:cs="FrankRuehl" w:hint="cs"/>
          <w:spacing w:val="10"/>
          <w:sz w:val="28"/>
          <w:szCs w:val="28"/>
          <w:rtl/>
        </w:rPr>
        <w:t>. קבלת גישתו זו של המבקש, תחייב את בית המשפט להידרש לתרחישים תיאורטיים, שאין לדעת אם יתממשו בעתיד, ולא ברור כלל עד כמה תהיה להרשעה בדין השפעה על היתכנותם של אותם תרחישים".</w:t>
      </w:r>
    </w:p>
    <w:p w14:paraId="00B2D7DD" w14:textId="77777777" w:rsidR="00CA11F2" w:rsidRPr="00722C4C" w:rsidRDefault="00722C4C">
      <w:pPr>
        <w:spacing w:after="120" w:line="276" w:lineRule="auto"/>
        <w:ind w:left="1260" w:right="1440"/>
        <w:jc w:val="both"/>
        <w:rPr>
          <w:rFonts w:ascii="Calibri" w:hAnsi="Calibri" w:cs="Arial"/>
          <w:sz w:val="22"/>
          <w:szCs w:val="22"/>
          <w:rtl/>
        </w:rPr>
      </w:pPr>
      <w:r w:rsidRPr="00722C4C">
        <w:rPr>
          <w:rFonts w:ascii="Calibri" w:hAnsi="Calibri" w:cs="FrankRuehl" w:hint="cs"/>
          <w:sz w:val="28"/>
          <w:szCs w:val="28"/>
          <w:rtl/>
        </w:rPr>
        <w:t>(</w:t>
      </w:r>
      <w:hyperlink r:id="rId27" w:history="1">
        <w:r w:rsidRPr="00722C4C">
          <w:rPr>
            <w:rFonts w:cs="FrankRuehl"/>
            <w:color w:val="0000FF"/>
            <w:sz w:val="28"/>
            <w:szCs w:val="28"/>
            <w:u w:val="single"/>
            <w:rtl/>
          </w:rPr>
          <w:t>רע"פ 9118/12</w:t>
        </w:r>
      </w:hyperlink>
      <w:r w:rsidRPr="00722C4C">
        <w:rPr>
          <w:rFonts w:ascii="Calibri" w:hAnsi="Calibri" w:cs="FrankRuehl" w:hint="cs"/>
          <w:sz w:val="28"/>
          <w:szCs w:val="28"/>
          <w:rtl/>
        </w:rPr>
        <w:t xml:space="preserve"> </w:t>
      </w:r>
      <w:r w:rsidRPr="00722C4C">
        <w:rPr>
          <w:rFonts w:ascii="Garamond" w:hAnsi="Garamond" w:cs="Miriam" w:hint="cs"/>
          <w:spacing w:val="10"/>
          <w:rtl/>
        </w:rPr>
        <w:t>פריגין נ' מדינת ישראל</w:t>
      </w:r>
      <w:r w:rsidRPr="00722C4C">
        <w:rPr>
          <w:rFonts w:ascii="Calibri" w:hAnsi="Calibri" w:cs="FrankRuehl" w:hint="cs"/>
          <w:sz w:val="28"/>
          <w:szCs w:val="28"/>
          <w:rtl/>
        </w:rPr>
        <w:t xml:space="preserve">, פיסקה 10 (1.1.2013); ההדגשה אינה במקור - ד.כ.ל). </w:t>
      </w:r>
    </w:p>
    <w:p w14:paraId="680FE81D" w14:textId="77777777" w:rsidR="00CA11F2" w:rsidRPr="00722C4C" w:rsidRDefault="00CA11F2">
      <w:pPr>
        <w:spacing w:after="120" w:line="360" w:lineRule="auto"/>
        <w:ind w:firstLine="720"/>
        <w:jc w:val="both"/>
        <w:rPr>
          <w:rFonts w:ascii="Calibri" w:hAnsi="Calibri" w:cs="FrankRuehl"/>
          <w:sz w:val="28"/>
          <w:szCs w:val="28"/>
          <w:rtl/>
        </w:rPr>
      </w:pPr>
    </w:p>
    <w:p w14:paraId="45488E88" w14:textId="77777777" w:rsidR="00CA11F2" w:rsidRPr="00722C4C" w:rsidRDefault="00722C4C">
      <w:pPr>
        <w:spacing w:after="120" w:line="360" w:lineRule="auto"/>
        <w:ind w:firstLine="720"/>
        <w:jc w:val="both"/>
        <w:rPr>
          <w:rFonts w:ascii="Calibri" w:hAnsi="Calibri" w:cs="FrankRuehl"/>
          <w:sz w:val="28"/>
          <w:szCs w:val="28"/>
          <w:rtl/>
        </w:rPr>
      </w:pPr>
      <w:r w:rsidRPr="00722C4C">
        <w:rPr>
          <w:rFonts w:ascii="Calibri" w:hAnsi="Calibri" w:cs="FrankRuehl" w:hint="cs"/>
          <w:sz w:val="28"/>
          <w:szCs w:val="28"/>
          <w:rtl/>
        </w:rPr>
        <w:t xml:space="preserve">במקרה דנן, לא הוּכחה פגיעה חמורה בשיקומו או בעתידו של הנאשם בגין הרשעתו. מהתסקיר עולה לכאורה כי הנאשם מעוניין לחזור לעבודה כשומר או כמאבטח, ונטען כי הרשעה בדין עלולה לפגוע באפשרות לעשות כן. אף אם אתעלם ממצבו הרפואי הנוכחי של הנאשם (קשיי הליכה עקב תאונה) ואניח כי מצב זה הנו בר-חלוף, לא הוצגה לפניי כל תשתית ראייתית לתמיכה בטענת ההגנה לפיה ההרשעה תפגע באפשרות של נאשם לעבוד בשמירה או באבטחה. כך, על-אף שחובת הראיה בעניין זה מוטלת על ההגנה. יצוין כי בהתאם </w:t>
      </w:r>
      <w:hyperlink r:id="rId28" w:history="1">
        <w:r w:rsidR="008A1BEB" w:rsidRPr="008A1BEB">
          <w:rPr>
            <w:rFonts w:ascii="Calibri" w:hAnsi="Calibri" w:cs="FrankRuehl" w:hint="eastAsia"/>
            <w:color w:val="0000FF"/>
            <w:sz w:val="28"/>
            <w:szCs w:val="28"/>
            <w:u w:val="single"/>
            <w:rtl/>
          </w:rPr>
          <w:t>לסעיפים</w:t>
        </w:r>
        <w:r w:rsidR="008A1BEB" w:rsidRPr="008A1BEB">
          <w:rPr>
            <w:rFonts w:ascii="Calibri" w:hAnsi="Calibri" w:cs="FrankRuehl"/>
            <w:color w:val="0000FF"/>
            <w:sz w:val="28"/>
            <w:szCs w:val="28"/>
            <w:u w:val="single"/>
            <w:rtl/>
          </w:rPr>
          <w:t xml:space="preserve"> 19</w:t>
        </w:r>
      </w:hyperlink>
      <w:r w:rsidRPr="00722C4C">
        <w:rPr>
          <w:rFonts w:ascii="Calibri" w:hAnsi="Calibri" w:cs="FrankRuehl" w:hint="cs"/>
          <w:sz w:val="28"/>
          <w:szCs w:val="28"/>
          <w:rtl/>
        </w:rPr>
        <w:t xml:space="preserve"> ו- </w:t>
      </w:r>
      <w:hyperlink r:id="rId29" w:history="1">
        <w:r w:rsidR="008A1BEB" w:rsidRPr="008A1BEB">
          <w:rPr>
            <w:rStyle w:val="Hyperlink"/>
            <w:rFonts w:ascii="Calibri" w:hAnsi="Calibri" w:cs="FrankRuehl"/>
            <w:sz w:val="28"/>
            <w:szCs w:val="28"/>
            <w:rtl/>
          </w:rPr>
          <w:t>28</w:t>
        </w:r>
      </w:hyperlink>
      <w:r w:rsidRPr="00722C4C">
        <w:rPr>
          <w:rFonts w:ascii="Calibri" w:hAnsi="Calibri" w:cs="FrankRuehl" w:hint="cs"/>
          <w:sz w:val="28"/>
          <w:szCs w:val="28"/>
          <w:rtl/>
        </w:rPr>
        <w:t xml:space="preserve"> ל</w:t>
      </w:r>
      <w:hyperlink r:id="rId30" w:history="1">
        <w:r w:rsidRPr="00722C4C">
          <w:rPr>
            <w:rFonts w:ascii="Calibri" w:hAnsi="Calibri" w:cs="FrankRuehl" w:hint="eastAsia"/>
            <w:color w:val="0000FF"/>
            <w:sz w:val="28"/>
            <w:szCs w:val="28"/>
            <w:u w:val="single"/>
            <w:rtl/>
          </w:rPr>
          <w:t>חוק</w:t>
        </w:r>
        <w:r w:rsidRPr="00722C4C">
          <w:rPr>
            <w:rFonts w:ascii="Calibri" w:hAnsi="Calibri" w:cs="FrankRuehl"/>
            <w:color w:val="0000FF"/>
            <w:sz w:val="28"/>
            <w:szCs w:val="28"/>
            <w:u w:val="single"/>
            <w:rtl/>
          </w:rPr>
          <w:t xml:space="preserve"> </w:t>
        </w:r>
        <w:r w:rsidRPr="00722C4C">
          <w:rPr>
            <w:rFonts w:ascii="Calibri" w:hAnsi="Calibri" w:cs="FrankRuehl" w:hint="eastAsia"/>
            <w:color w:val="0000FF"/>
            <w:sz w:val="28"/>
            <w:szCs w:val="28"/>
            <w:u w:val="single"/>
            <w:rtl/>
          </w:rPr>
          <w:t>חוקרים</w:t>
        </w:r>
        <w:r w:rsidRPr="00722C4C">
          <w:rPr>
            <w:rFonts w:ascii="Calibri" w:hAnsi="Calibri" w:cs="FrankRuehl"/>
            <w:color w:val="0000FF"/>
            <w:sz w:val="28"/>
            <w:szCs w:val="28"/>
            <w:u w:val="single"/>
            <w:rtl/>
          </w:rPr>
          <w:t xml:space="preserve"> </w:t>
        </w:r>
        <w:r w:rsidRPr="00722C4C">
          <w:rPr>
            <w:rFonts w:ascii="Calibri" w:hAnsi="Calibri" w:cs="FrankRuehl" w:hint="eastAsia"/>
            <w:color w:val="0000FF"/>
            <w:sz w:val="28"/>
            <w:szCs w:val="28"/>
            <w:u w:val="single"/>
            <w:rtl/>
          </w:rPr>
          <w:t>פרטיים</w:t>
        </w:r>
        <w:r w:rsidRPr="00722C4C">
          <w:rPr>
            <w:rFonts w:ascii="Calibri" w:hAnsi="Calibri" w:cs="FrankRuehl"/>
            <w:color w:val="0000FF"/>
            <w:sz w:val="28"/>
            <w:szCs w:val="28"/>
            <w:u w:val="single"/>
            <w:rtl/>
          </w:rPr>
          <w:t xml:space="preserve"> </w:t>
        </w:r>
        <w:r w:rsidRPr="00722C4C">
          <w:rPr>
            <w:rFonts w:ascii="Calibri" w:hAnsi="Calibri" w:cs="FrankRuehl" w:hint="eastAsia"/>
            <w:color w:val="0000FF"/>
            <w:sz w:val="28"/>
            <w:szCs w:val="28"/>
            <w:u w:val="single"/>
            <w:rtl/>
          </w:rPr>
          <w:t>ושירותי</w:t>
        </w:r>
        <w:r w:rsidRPr="00722C4C">
          <w:rPr>
            <w:rFonts w:ascii="Calibri" w:hAnsi="Calibri" w:cs="FrankRuehl"/>
            <w:color w:val="0000FF"/>
            <w:sz w:val="28"/>
            <w:szCs w:val="28"/>
            <w:u w:val="single"/>
            <w:rtl/>
          </w:rPr>
          <w:t xml:space="preserve"> </w:t>
        </w:r>
        <w:r w:rsidRPr="00722C4C">
          <w:rPr>
            <w:rFonts w:ascii="Calibri" w:hAnsi="Calibri" w:cs="FrankRuehl" w:hint="eastAsia"/>
            <w:color w:val="0000FF"/>
            <w:sz w:val="28"/>
            <w:szCs w:val="28"/>
            <w:u w:val="single"/>
            <w:rtl/>
          </w:rPr>
          <w:t>שמירה</w:t>
        </w:r>
      </w:hyperlink>
      <w:r w:rsidRPr="00722C4C">
        <w:rPr>
          <w:rFonts w:ascii="Calibri" w:hAnsi="Calibri" w:cs="FrankRuehl" w:hint="cs"/>
          <w:sz w:val="28"/>
          <w:szCs w:val="28"/>
          <w:rtl/>
        </w:rPr>
        <w:t xml:space="preserve">, התשל"ב-1972, וכן בהתאם </w:t>
      </w:r>
      <w:hyperlink r:id="rId31" w:history="1">
        <w:r w:rsidR="008A1BEB" w:rsidRPr="008A1BEB">
          <w:rPr>
            <w:rStyle w:val="Hyperlink"/>
            <w:rFonts w:ascii="Calibri" w:hAnsi="Calibri" w:cs="FrankRuehl" w:hint="eastAsia"/>
            <w:sz w:val="28"/>
            <w:szCs w:val="28"/>
            <w:rtl/>
          </w:rPr>
          <w:t>לסעיף</w:t>
        </w:r>
        <w:r w:rsidR="008A1BEB" w:rsidRPr="008A1BEB">
          <w:rPr>
            <w:rStyle w:val="Hyperlink"/>
            <w:rFonts w:ascii="Calibri" w:hAnsi="Calibri" w:cs="FrankRuehl"/>
            <w:sz w:val="28"/>
            <w:szCs w:val="28"/>
            <w:rtl/>
          </w:rPr>
          <w:t xml:space="preserve"> 12</w:t>
        </w:r>
      </w:hyperlink>
      <w:r w:rsidRPr="00722C4C">
        <w:rPr>
          <w:rFonts w:ascii="Calibri" w:hAnsi="Calibri" w:cs="FrankRuehl" w:hint="cs"/>
          <w:sz w:val="28"/>
          <w:szCs w:val="28"/>
          <w:rtl/>
        </w:rPr>
        <w:t xml:space="preserve"> ל</w:t>
      </w:r>
      <w:hyperlink r:id="rId32" w:history="1">
        <w:r w:rsidRPr="00722C4C">
          <w:rPr>
            <w:rFonts w:ascii="Calibri" w:hAnsi="Calibri" w:cs="FrankRuehl" w:hint="eastAsia"/>
            <w:color w:val="0000FF"/>
            <w:sz w:val="28"/>
            <w:szCs w:val="28"/>
            <w:u w:val="single"/>
            <w:rtl/>
          </w:rPr>
          <w:t>חוק</w:t>
        </w:r>
        <w:r w:rsidRPr="00722C4C">
          <w:rPr>
            <w:rFonts w:ascii="Calibri" w:hAnsi="Calibri" w:cs="FrankRuehl"/>
            <w:color w:val="0000FF"/>
            <w:sz w:val="28"/>
            <w:szCs w:val="28"/>
            <w:u w:val="single"/>
            <w:rtl/>
          </w:rPr>
          <w:t xml:space="preserve"> </w:t>
        </w:r>
        <w:r w:rsidRPr="00722C4C">
          <w:rPr>
            <w:rFonts w:ascii="Calibri" w:hAnsi="Calibri" w:cs="FrankRuehl" w:hint="eastAsia"/>
            <w:color w:val="0000FF"/>
            <w:sz w:val="28"/>
            <w:szCs w:val="28"/>
            <w:u w:val="single"/>
            <w:rtl/>
          </w:rPr>
          <w:t>כלי</w:t>
        </w:r>
        <w:r w:rsidRPr="00722C4C">
          <w:rPr>
            <w:rFonts w:ascii="Calibri" w:hAnsi="Calibri" w:cs="FrankRuehl"/>
            <w:color w:val="0000FF"/>
            <w:sz w:val="28"/>
            <w:szCs w:val="28"/>
            <w:u w:val="single"/>
            <w:rtl/>
          </w:rPr>
          <w:t xml:space="preserve"> </w:t>
        </w:r>
        <w:r w:rsidRPr="00722C4C">
          <w:rPr>
            <w:rFonts w:ascii="Calibri" w:hAnsi="Calibri" w:cs="FrankRuehl" w:hint="eastAsia"/>
            <w:color w:val="0000FF"/>
            <w:sz w:val="28"/>
            <w:szCs w:val="28"/>
            <w:u w:val="single"/>
            <w:rtl/>
          </w:rPr>
          <w:t>היריה</w:t>
        </w:r>
      </w:hyperlink>
      <w:r w:rsidRPr="00722C4C">
        <w:rPr>
          <w:rFonts w:ascii="Calibri" w:hAnsi="Calibri" w:cs="FrankRuehl" w:hint="cs"/>
          <w:sz w:val="28"/>
          <w:szCs w:val="28"/>
          <w:rtl/>
        </w:rPr>
        <w:t xml:space="preserve">, התש"ט-1949, נתון בידי הגורמים שהוסמכו לכך בחוק, שיקול-דעת לעניין מתן רישיונות לנשיאת נשק ושירותי שמירה. ככלל, עבירות מן הסוג שביצע הנאשם, ראוי שייבחנו על-ידי הגורמים המוסמכים לעניין מתן רישיונות לנשיאת נשק ושירותי שמירה, ולפיכך אין למנוע מגורמים אלה מידע על ביצוע העבירות הנדונות בדרך של ביטול ההרשעה. כידוע, שיקוליהם של הגורמים המקצועיים בהקשר זה אינם זהים לשיקוליו של בית-המשפט. חזקה על הנאשם כי בבוא העת, ישטח את מכלול נסיבותיו בפני הגורמים המוסמכים, והם ישקלו אותן ויתייחסו אליהן. מכל מקום, בשלב זה אין וודאות אם הנאשם יוכל לחזור לעבודת שמירה או אבטחה מבחינה רפואית, ואף אין וודאות מה תהא החלטת הגורמים המקצועיים המוסמכים להכריע בעניין בהתאם לשיקול-הדעת המסור להם בחוק. ממילא, לא הוכח באופן ברור וממשי נזק קונקרטי וחמור בשיקומו או בעתידו של הנאשם, במידה שיש בה כדי להצדיק את העדפת השיקולים האינדיבידואליים, על-פני האינטרסים הציבוריים המצדדים בכלל ההרשעה כאמוּר לעיל. </w:t>
      </w:r>
    </w:p>
    <w:p w14:paraId="0B90CF3A" w14:textId="77777777" w:rsidR="00CA11F2" w:rsidRPr="00722C4C" w:rsidRDefault="00CA11F2">
      <w:pPr>
        <w:spacing w:after="120" w:line="360" w:lineRule="auto"/>
        <w:ind w:firstLine="720"/>
        <w:jc w:val="both"/>
        <w:rPr>
          <w:rFonts w:ascii="Calibri" w:hAnsi="Calibri" w:cs="FrankRuehl"/>
          <w:sz w:val="28"/>
          <w:szCs w:val="28"/>
          <w:rtl/>
        </w:rPr>
      </w:pPr>
    </w:p>
    <w:p w14:paraId="4D6A930D" w14:textId="77777777" w:rsidR="00CA11F2" w:rsidRPr="00722C4C" w:rsidRDefault="00722C4C">
      <w:pPr>
        <w:spacing w:after="120" w:line="360" w:lineRule="auto"/>
        <w:ind w:firstLine="720"/>
        <w:jc w:val="both"/>
        <w:rPr>
          <w:rFonts w:ascii="Calibri" w:hAnsi="Calibri" w:cs="FrankRuehl"/>
          <w:sz w:val="28"/>
          <w:szCs w:val="28"/>
          <w:rtl/>
        </w:rPr>
      </w:pPr>
      <w:r w:rsidRPr="00722C4C">
        <w:rPr>
          <w:rFonts w:ascii="Calibri" w:hAnsi="Calibri" w:cs="FrankRuehl" w:hint="cs"/>
          <w:sz w:val="28"/>
          <w:szCs w:val="28"/>
          <w:rtl/>
        </w:rPr>
        <w:t xml:space="preserve">אוסיף כי בתסקירים של שירות המבחן צוין כי הרשעה בדין עלולה להוביל לפגיעה באפשרויות תעסוקה עתידיות של הנאשם וכן בדימויו העצמי. דא עקא, ההתייחסות האמורה ל"אפשרויות תעסוקה עתידיות" הנה כללית ותיאורטית באופייה,  ואין די בה לצורך ביטול הרשעה. זאת ועוד; הרשעה מעצם טיבה וטבעה היא בעלת השפעה על דימויו העצמי ועל עתידו של כל מורשע. היא בוודאי לא תיטיב עם הנאשם. עם זאת, כאשר מדובר בנאשם בגיר, אף אם הוא חסר עבר פלילי, הכלל נותר הרשעה. בכל הנוגע לטענת שירות המבחן לפיה יש לבטל את ההרשעה על מנת לחזק את הנאשם בתהליך הטיפולי-השיקומי בו הוא משולב, הרי שאין בכך כדי להוות עילה לביטול הרשעה. את התהליך השיקומי-הטיפולי עושה הנאשם בראש ובראשונה עבור עצמו, ויש לקוות כי ישכיל להתמיד בו ללא קשר לסוגית ההרשעה. </w:t>
      </w:r>
    </w:p>
    <w:p w14:paraId="0C982F4B" w14:textId="77777777" w:rsidR="00CA11F2" w:rsidRPr="00722C4C" w:rsidRDefault="00CA11F2">
      <w:pPr>
        <w:spacing w:after="120" w:line="360" w:lineRule="auto"/>
        <w:ind w:firstLine="720"/>
        <w:jc w:val="both"/>
        <w:rPr>
          <w:rFonts w:ascii="Calibri" w:hAnsi="Calibri" w:cs="FrankRuehl"/>
          <w:sz w:val="28"/>
          <w:szCs w:val="28"/>
          <w:rtl/>
        </w:rPr>
      </w:pPr>
    </w:p>
    <w:p w14:paraId="455B145B" w14:textId="77777777" w:rsidR="00CA11F2" w:rsidRPr="00722C4C" w:rsidRDefault="00722C4C">
      <w:pPr>
        <w:spacing w:after="120" w:line="360" w:lineRule="auto"/>
        <w:ind w:firstLine="720"/>
        <w:jc w:val="both"/>
        <w:rPr>
          <w:rFonts w:ascii="Calibri" w:hAnsi="Calibri" w:cs="Arial"/>
          <w:sz w:val="22"/>
          <w:szCs w:val="22"/>
          <w:rtl/>
        </w:rPr>
      </w:pPr>
      <w:r w:rsidRPr="00722C4C">
        <w:rPr>
          <w:rFonts w:ascii="Calibri" w:hAnsi="Calibri" w:cs="FrankRuehl" w:hint="cs"/>
          <w:sz w:val="28"/>
          <w:szCs w:val="28"/>
          <w:rtl/>
        </w:rPr>
        <w:t>כידוע, בית-המשפט נותן משקל מהותי להמלצות שירות המבחן, השם לנגד עיניו בעיקר את שיקולי השיקום האינדיבידואליים. עם זאת, מדובר בהמלצה שאינה כובלת את שיקול-דעת בית-המשפט הבוחן את התמונה הכוללת, תוך מחויבות לאמות-המידה שנקבעו בהלכה הפסוקה ולמכלול שיקולי הענישה הצריכים לעניין. הנסיבות לקולא בעניינו של הנאשם ובהן: הודאת הנאשם והחרטה שהביע; העדר הרשעות קודמות; ההרתעה האישית שבעצם ניהול ההליך הפלילי; תהליך השיקום בו משולב הנאשם; ומכלול הנסיבות האישיות כמפורט בתסקירים ובטיעוני ההגנה לפניי - כל אלה יקבלו משקל מהותי במלאכת גזירת הדין. עם זאת, לא שוכנעתי כי יש בהם כדי להצדיק חריגה מכלל ההרשעה.</w:t>
      </w:r>
    </w:p>
    <w:p w14:paraId="5228C52B" w14:textId="77777777" w:rsidR="00CA11F2" w:rsidRPr="00722C4C" w:rsidRDefault="00CA11F2">
      <w:pPr>
        <w:spacing w:after="120" w:line="360" w:lineRule="auto"/>
        <w:jc w:val="both"/>
        <w:rPr>
          <w:rFonts w:ascii="Calibri" w:hAnsi="Calibri" w:cs="Arial"/>
          <w:sz w:val="22"/>
          <w:szCs w:val="22"/>
          <w:rtl/>
        </w:rPr>
      </w:pPr>
    </w:p>
    <w:p w14:paraId="0120E1DC" w14:textId="77777777" w:rsidR="00CA11F2" w:rsidRPr="00722C4C" w:rsidRDefault="00722C4C">
      <w:pPr>
        <w:spacing w:after="120" w:line="360" w:lineRule="auto"/>
        <w:jc w:val="both"/>
        <w:rPr>
          <w:rFonts w:ascii="Calibri" w:hAnsi="Calibri" w:cs="Arial"/>
          <w:sz w:val="22"/>
          <w:szCs w:val="22"/>
          <w:rtl/>
        </w:rPr>
      </w:pPr>
      <w:r w:rsidRPr="00722C4C">
        <w:rPr>
          <w:rFonts w:ascii="Calibri" w:hAnsi="Calibri" w:cs="FrankRuehl" w:hint="cs"/>
          <w:sz w:val="28"/>
          <w:szCs w:val="28"/>
          <w:rtl/>
        </w:rPr>
        <w:t>9.</w:t>
      </w:r>
      <w:r w:rsidRPr="00722C4C">
        <w:rPr>
          <w:rFonts w:ascii="Calibri" w:hAnsi="Calibri" w:cs="FrankRuehl" w:hint="cs"/>
          <w:sz w:val="28"/>
          <w:szCs w:val="28"/>
          <w:rtl/>
        </w:rPr>
        <w:tab/>
        <w:t xml:space="preserve">אשר על כן, ונוכח מכלול הטעמים האמורים, אני קובעת כי הרשעת הנאשם </w:t>
      </w:r>
      <w:r w:rsidRPr="00722C4C">
        <w:rPr>
          <w:rFonts w:cs="FrankRuehl" w:hint="cs"/>
          <w:sz w:val="28"/>
          <w:szCs w:val="28"/>
          <w:rtl/>
        </w:rPr>
        <w:t xml:space="preserve">תיוותר על כנה. </w:t>
      </w:r>
    </w:p>
    <w:p w14:paraId="6585633A" w14:textId="77777777" w:rsidR="00CA11F2" w:rsidRPr="00722C4C" w:rsidRDefault="00CA11F2">
      <w:pPr>
        <w:spacing w:after="120" w:line="360" w:lineRule="auto"/>
        <w:jc w:val="both"/>
        <w:rPr>
          <w:rFonts w:cs="FrankRuehl"/>
          <w:sz w:val="28"/>
          <w:szCs w:val="28"/>
          <w:rtl/>
        </w:rPr>
      </w:pPr>
    </w:p>
    <w:p w14:paraId="493C8BA7" w14:textId="77777777" w:rsidR="00CA11F2" w:rsidRPr="00722C4C" w:rsidRDefault="00722C4C">
      <w:pPr>
        <w:spacing w:after="120" w:line="360" w:lineRule="auto"/>
        <w:jc w:val="both"/>
        <w:rPr>
          <w:rFonts w:cs="FrankRuehl"/>
          <w:sz w:val="28"/>
          <w:szCs w:val="28"/>
          <w:rtl/>
        </w:rPr>
      </w:pPr>
      <w:r w:rsidRPr="00722C4C">
        <w:rPr>
          <w:rFonts w:cs="FrankRuehl" w:hint="cs"/>
          <w:sz w:val="28"/>
          <w:szCs w:val="28"/>
          <w:rtl/>
        </w:rPr>
        <w:t>ריבוי עבירות</w:t>
      </w:r>
    </w:p>
    <w:p w14:paraId="32C653F8" w14:textId="77777777" w:rsidR="00CA11F2" w:rsidRPr="00722C4C" w:rsidRDefault="00722C4C">
      <w:pPr>
        <w:spacing w:after="120" w:line="360" w:lineRule="auto"/>
        <w:jc w:val="both"/>
        <w:rPr>
          <w:rFonts w:cs="FrankRuehl"/>
          <w:sz w:val="28"/>
          <w:szCs w:val="28"/>
          <w:rtl/>
        </w:rPr>
      </w:pPr>
      <w:r w:rsidRPr="00722C4C">
        <w:rPr>
          <w:rFonts w:cs="FrankRuehl" w:hint="cs"/>
          <w:sz w:val="28"/>
          <w:szCs w:val="28"/>
          <w:rtl/>
        </w:rPr>
        <w:t>10.</w:t>
      </w:r>
      <w:r w:rsidRPr="00722C4C">
        <w:rPr>
          <w:rFonts w:cs="FrankRuehl" w:hint="cs"/>
          <w:sz w:val="28"/>
          <w:szCs w:val="28"/>
          <w:rtl/>
        </w:rPr>
        <w:tab/>
        <w:t xml:space="preserve">כאמור, הנאשם הורשע בביצוען של שתי עבירות - עבירה של גידול סמים וכן עבירה של החזקה בכלים המשמשים להכנת סם. נוכח אופיין ומהותן של העבירות האמורות, נוכח הזיקה ההדוקה ביניהן, ונוכח העובדה כי הן בוצעו באותו מקום ובאותה מסגרת זמנים, אני סבורה כמו באי-כוח הצדדים כי שתי העבירות מהוות אירוע אחד לצורך קביעתו של מתחם ענישה הולמת. </w:t>
      </w:r>
      <w:r w:rsidRPr="00722C4C">
        <w:rPr>
          <w:rFonts w:ascii="Calibri" w:hAnsi="Calibri" w:cs="FrankRuehl" w:hint="cs"/>
          <w:sz w:val="28"/>
          <w:szCs w:val="28"/>
          <w:rtl/>
        </w:rPr>
        <w:t xml:space="preserve">מסקנה זו מתבקשת הן לפי "מבחן הקשר ההדוק" והן לפי "המבחן הצורני-העובדתי" (ראו: </w:t>
      </w:r>
      <w:hyperlink r:id="rId33" w:history="1">
        <w:r w:rsidR="008A1BEB" w:rsidRPr="008A1BEB">
          <w:rPr>
            <w:rStyle w:val="Hyperlink"/>
            <w:rFonts w:ascii="Calibri" w:hAnsi="Calibri" w:cs="FrankRuehl" w:hint="eastAsia"/>
            <w:sz w:val="28"/>
            <w:szCs w:val="28"/>
            <w:rtl/>
          </w:rPr>
          <w:t>סעיף</w:t>
        </w:r>
        <w:r w:rsidR="008A1BEB" w:rsidRPr="008A1BEB">
          <w:rPr>
            <w:rStyle w:val="Hyperlink"/>
            <w:rFonts w:ascii="Calibri" w:hAnsi="Calibri" w:cs="FrankRuehl"/>
            <w:sz w:val="28"/>
            <w:szCs w:val="28"/>
            <w:rtl/>
          </w:rPr>
          <w:t xml:space="preserve"> 40</w:t>
        </w:r>
        <w:r w:rsidR="008A1BEB" w:rsidRPr="008A1BEB">
          <w:rPr>
            <w:rStyle w:val="Hyperlink"/>
            <w:rFonts w:ascii="Calibri" w:hAnsi="Calibri" w:cs="FrankRuehl" w:hint="eastAsia"/>
            <w:sz w:val="28"/>
            <w:szCs w:val="28"/>
            <w:rtl/>
          </w:rPr>
          <w:t>יג</w:t>
        </w:r>
        <w:r w:rsidR="008A1BEB" w:rsidRPr="008A1BEB">
          <w:rPr>
            <w:rStyle w:val="Hyperlink"/>
            <w:rFonts w:ascii="Calibri" w:hAnsi="Calibri" w:cs="FrankRuehl"/>
            <w:sz w:val="28"/>
            <w:szCs w:val="28"/>
            <w:rtl/>
          </w:rPr>
          <w:t>(</w:t>
        </w:r>
        <w:r w:rsidR="008A1BEB" w:rsidRPr="008A1BEB">
          <w:rPr>
            <w:rStyle w:val="Hyperlink"/>
            <w:rFonts w:ascii="Calibri" w:hAnsi="Calibri" w:cs="FrankRuehl" w:hint="eastAsia"/>
            <w:sz w:val="28"/>
            <w:szCs w:val="28"/>
            <w:rtl/>
          </w:rPr>
          <w:t>א</w:t>
        </w:r>
        <w:r w:rsidR="008A1BEB" w:rsidRPr="008A1BEB">
          <w:rPr>
            <w:rStyle w:val="Hyperlink"/>
            <w:rFonts w:ascii="Calibri" w:hAnsi="Calibri" w:cs="FrankRuehl"/>
            <w:sz w:val="28"/>
            <w:szCs w:val="28"/>
            <w:rtl/>
          </w:rPr>
          <w:t>)</w:t>
        </w:r>
      </w:hyperlink>
      <w:r w:rsidRPr="00722C4C">
        <w:rPr>
          <w:rFonts w:ascii="Calibri" w:hAnsi="Calibri" w:cs="FrankRuehl" w:hint="cs"/>
          <w:sz w:val="28"/>
          <w:szCs w:val="28"/>
          <w:rtl/>
        </w:rPr>
        <w:t xml:space="preserve"> ל</w:t>
      </w:r>
      <w:hyperlink r:id="rId34" w:history="1">
        <w:r w:rsidRPr="00722C4C">
          <w:rPr>
            <w:rFonts w:ascii="Calibri" w:hAnsi="Calibri" w:cs="FrankRuehl" w:hint="eastAsia"/>
            <w:color w:val="0000FF"/>
            <w:sz w:val="28"/>
            <w:szCs w:val="28"/>
            <w:u w:val="single"/>
            <w:rtl/>
          </w:rPr>
          <w:t>חוק</w:t>
        </w:r>
        <w:r w:rsidRPr="00722C4C">
          <w:rPr>
            <w:rFonts w:ascii="Calibri" w:hAnsi="Calibri" w:cs="FrankRuehl"/>
            <w:color w:val="0000FF"/>
            <w:sz w:val="28"/>
            <w:szCs w:val="28"/>
            <w:u w:val="single"/>
            <w:rtl/>
          </w:rPr>
          <w:t xml:space="preserve"> </w:t>
        </w:r>
        <w:r w:rsidRPr="00722C4C">
          <w:rPr>
            <w:rFonts w:ascii="Calibri" w:hAnsi="Calibri" w:cs="FrankRuehl" w:hint="eastAsia"/>
            <w:color w:val="0000FF"/>
            <w:sz w:val="28"/>
            <w:szCs w:val="28"/>
            <w:u w:val="single"/>
            <w:rtl/>
          </w:rPr>
          <w:t>העונשין</w:t>
        </w:r>
      </w:hyperlink>
      <w:r w:rsidRPr="00722C4C">
        <w:rPr>
          <w:rFonts w:ascii="Calibri" w:hAnsi="Calibri" w:cs="FrankRuehl" w:hint="cs"/>
          <w:sz w:val="28"/>
          <w:szCs w:val="28"/>
          <w:rtl/>
        </w:rPr>
        <w:t xml:space="preserve">, התשל"ז-1977, וכן: ע"פ 4913/10 </w:t>
      </w:r>
      <w:r w:rsidRPr="00722C4C">
        <w:rPr>
          <w:rFonts w:ascii="Calibri" w:hAnsi="Calibri" w:cs="Miriam" w:hint="cs"/>
          <w:rtl/>
        </w:rPr>
        <w:t>ג'אבר נ' מדינת ישראל</w:t>
      </w:r>
      <w:r w:rsidRPr="00722C4C">
        <w:rPr>
          <w:rFonts w:ascii="Calibri" w:hAnsi="Calibri" w:cs="Arial"/>
          <w:sz w:val="22"/>
          <w:szCs w:val="22"/>
          <w:rtl/>
        </w:rPr>
        <w:t xml:space="preserve"> </w:t>
      </w:r>
      <w:r w:rsidRPr="00722C4C">
        <w:rPr>
          <w:rFonts w:ascii="Calibri" w:hAnsi="Calibri" w:cs="FrankRuehl" w:hint="cs"/>
          <w:sz w:val="28"/>
          <w:szCs w:val="28"/>
          <w:rtl/>
        </w:rPr>
        <w:t>(29.10.2014)).</w:t>
      </w:r>
      <w:r w:rsidRPr="00722C4C">
        <w:rPr>
          <w:rFonts w:cs="FrankRuehl" w:hint="cs"/>
          <w:sz w:val="28"/>
          <w:szCs w:val="28"/>
          <w:rtl/>
        </w:rPr>
        <w:t xml:space="preserve"> </w:t>
      </w:r>
    </w:p>
    <w:p w14:paraId="7D9023D0" w14:textId="77777777" w:rsidR="00CA11F2" w:rsidRPr="00722C4C" w:rsidRDefault="00CA11F2">
      <w:pPr>
        <w:spacing w:after="120" w:line="360" w:lineRule="auto"/>
        <w:jc w:val="both"/>
        <w:rPr>
          <w:rFonts w:cs="FrankRuehl"/>
          <w:sz w:val="28"/>
          <w:szCs w:val="28"/>
          <w:rtl/>
        </w:rPr>
      </w:pPr>
    </w:p>
    <w:p w14:paraId="1DBAD0C9" w14:textId="77777777" w:rsidR="00CA11F2" w:rsidRPr="00722C4C" w:rsidRDefault="00722C4C">
      <w:pPr>
        <w:spacing w:after="120" w:line="360" w:lineRule="auto"/>
        <w:jc w:val="both"/>
        <w:rPr>
          <w:rFonts w:cs="FrankRuehl"/>
          <w:sz w:val="28"/>
          <w:szCs w:val="28"/>
          <w:rtl/>
        </w:rPr>
      </w:pPr>
      <w:r w:rsidRPr="00722C4C">
        <w:rPr>
          <w:rFonts w:cs="FrankRuehl" w:hint="cs"/>
          <w:sz w:val="28"/>
          <w:szCs w:val="28"/>
          <w:rtl/>
        </w:rPr>
        <w:t>מתחם הענישה ההולמת</w:t>
      </w:r>
    </w:p>
    <w:p w14:paraId="22E869FD" w14:textId="77777777" w:rsidR="00CA11F2" w:rsidRPr="00722C4C" w:rsidRDefault="00722C4C">
      <w:pPr>
        <w:spacing w:after="120" w:line="360" w:lineRule="auto"/>
        <w:jc w:val="both"/>
        <w:rPr>
          <w:rFonts w:ascii="Calibri" w:hAnsi="Calibri" w:cs="FrankRuehl"/>
          <w:sz w:val="28"/>
          <w:szCs w:val="28"/>
          <w:rtl/>
        </w:rPr>
      </w:pPr>
      <w:r w:rsidRPr="00722C4C">
        <w:rPr>
          <w:rFonts w:cs="FrankRuehl" w:hint="cs"/>
          <w:sz w:val="28"/>
          <w:szCs w:val="28"/>
          <w:rtl/>
        </w:rPr>
        <w:t>11.</w:t>
      </w:r>
      <w:r w:rsidRPr="00722C4C">
        <w:rPr>
          <w:rFonts w:cs="FrankRuehl" w:hint="cs"/>
          <w:sz w:val="28"/>
          <w:szCs w:val="28"/>
          <w:rtl/>
        </w:rPr>
        <w:tab/>
        <w:t xml:space="preserve">בהתאם </w:t>
      </w:r>
      <w:hyperlink r:id="rId35" w:history="1">
        <w:r w:rsidR="008A1BEB" w:rsidRPr="008A1BEB">
          <w:rPr>
            <w:rStyle w:val="Hyperlink"/>
            <w:rFonts w:cs="FrankRuehl" w:hint="eastAsia"/>
            <w:sz w:val="28"/>
            <w:szCs w:val="28"/>
            <w:rtl/>
          </w:rPr>
          <w:t>לסעיף</w:t>
        </w:r>
        <w:r w:rsidR="008A1BEB" w:rsidRPr="008A1BEB">
          <w:rPr>
            <w:rStyle w:val="Hyperlink"/>
            <w:rFonts w:cs="FrankRuehl"/>
            <w:sz w:val="28"/>
            <w:szCs w:val="28"/>
            <w:rtl/>
          </w:rPr>
          <w:t xml:space="preserve"> 40ג(א)</w:t>
        </w:r>
      </w:hyperlink>
      <w:r w:rsidRPr="00722C4C">
        <w:rPr>
          <w:rFonts w:cs="FrankRuehl" w:hint="cs"/>
          <w:sz w:val="28"/>
          <w:szCs w:val="28"/>
          <w:rtl/>
        </w:rPr>
        <w:t xml:space="preserve"> ל</w:t>
      </w:r>
      <w:hyperlink r:id="rId36" w:history="1">
        <w:r w:rsidRPr="00722C4C">
          <w:rPr>
            <w:rFonts w:cs="FrankRuehl"/>
            <w:color w:val="0000FF"/>
            <w:sz w:val="28"/>
            <w:szCs w:val="28"/>
            <w:u w:val="single"/>
            <w:rtl/>
          </w:rPr>
          <w:t>חוק העונשין</w:t>
        </w:r>
      </w:hyperlink>
      <w:r w:rsidRPr="00722C4C">
        <w:rPr>
          <w:rFonts w:cs="FrankRuehl" w:hint="cs"/>
          <w:sz w:val="28"/>
          <w:szCs w:val="28"/>
          <w:rtl/>
        </w:rPr>
        <w:t>, יש לקבוע את מתחם הענישה ההולמת בהתאם לעקרון ההלימה, תוך התחשבות בערך החברתי שנפגע, במידת הפגיעה בו, בנסיבות הקשורות בביצוע העבירות ובמדיניות הענישה הנהוגה.</w:t>
      </w:r>
    </w:p>
    <w:p w14:paraId="4936E6E0" w14:textId="77777777" w:rsidR="00CA11F2" w:rsidRPr="00722C4C" w:rsidRDefault="00CA11F2">
      <w:pPr>
        <w:spacing w:after="120" w:line="360" w:lineRule="auto"/>
        <w:jc w:val="both"/>
        <w:rPr>
          <w:rFonts w:ascii="David" w:hAnsi="David" w:cs="FrankRuehl"/>
          <w:sz w:val="28"/>
          <w:szCs w:val="28"/>
          <w:rtl/>
        </w:rPr>
      </w:pPr>
    </w:p>
    <w:p w14:paraId="5A4402A7" w14:textId="77777777" w:rsidR="00CA11F2" w:rsidRPr="00722C4C" w:rsidRDefault="00722C4C">
      <w:pPr>
        <w:spacing w:after="120" w:line="360" w:lineRule="auto"/>
        <w:ind w:firstLine="720"/>
        <w:jc w:val="both"/>
        <w:rPr>
          <w:rFonts w:cs="FrankRuehl"/>
          <w:b/>
          <w:bCs/>
          <w:sz w:val="28"/>
          <w:szCs w:val="28"/>
          <w:rtl/>
        </w:rPr>
      </w:pPr>
      <w:r w:rsidRPr="00722C4C">
        <w:rPr>
          <w:rFonts w:cs="FrankRuehl" w:hint="cs"/>
          <w:b/>
          <w:bCs/>
          <w:sz w:val="28"/>
          <w:szCs w:val="28"/>
          <w:rtl/>
        </w:rPr>
        <w:t>על הערכים המוגנים</w:t>
      </w:r>
      <w:r w:rsidRPr="00722C4C">
        <w:rPr>
          <w:rFonts w:cs="FrankRuehl" w:hint="cs"/>
          <w:sz w:val="28"/>
          <w:szCs w:val="28"/>
          <w:rtl/>
        </w:rPr>
        <w:t xml:space="preserve"> </w:t>
      </w:r>
      <w:r w:rsidRPr="00722C4C">
        <w:rPr>
          <w:rFonts w:cs="FrankRuehl" w:hint="cs"/>
          <w:b/>
          <w:bCs/>
          <w:sz w:val="28"/>
          <w:szCs w:val="28"/>
          <w:rtl/>
        </w:rPr>
        <w:t>שנפגעו ועל נסיבות ביצוע העבירות</w:t>
      </w:r>
      <w:r w:rsidRPr="00722C4C">
        <w:rPr>
          <w:rFonts w:cs="FrankRuehl" w:hint="cs"/>
          <w:sz w:val="28"/>
          <w:szCs w:val="28"/>
          <w:rtl/>
        </w:rPr>
        <w:t xml:space="preserve"> במקרה דנן עמדתי בהרחבה בפסקה 7 לעיל, ואיני רואה לחזור על הדברים. </w:t>
      </w:r>
    </w:p>
    <w:p w14:paraId="7E26B45B" w14:textId="77777777" w:rsidR="00CA11F2" w:rsidRPr="00722C4C" w:rsidRDefault="00CA11F2">
      <w:pPr>
        <w:spacing w:after="120" w:line="360" w:lineRule="auto"/>
        <w:ind w:firstLine="720"/>
        <w:jc w:val="both"/>
        <w:rPr>
          <w:rFonts w:cs="FrankRuehl"/>
          <w:b/>
          <w:bCs/>
          <w:sz w:val="28"/>
          <w:szCs w:val="28"/>
          <w:rtl/>
        </w:rPr>
      </w:pPr>
    </w:p>
    <w:p w14:paraId="2DE1F248" w14:textId="77777777" w:rsidR="00CA11F2" w:rsidRPr="00722C4C" w:rsidRDefault="00722C4C">
      <w:pPr>
        <w:spacing w:after="120" w:line="360" w:lineRule="auto"/>
        <w:ind w:firstLine="720"/>
        <w:jc w:val="both"/>
        <w:rPr>
          <w:rFonts w:cs="FrankRuehl"/>
          <w:sz w:val="28"/>
          <w:szCs w:val="28"/>
          <w:rtl/>
        </w:rPr>
      </w:pPr>
      <w:r w:rsidRPr="00722C4C">
        <w:rPr>
          <w:rFonts w:cs="FrankRuehl" w:hint="cs"/>
          <w:b/>
          <w:bCs/>
          <w:sz w:val="28"/>
          <w:szCs w:val="28"/>
          <w:rtl/>
        </w:rPr>
        <w:t>אשר לענישה הנוהגת</w:t>
      </w:r>
      <w:r w:rsidRPr="00722C4C">
        <w:rPr>
          <w:rFonts w:cs="FrankRuehl" w:hint="cs"/>
          <w:sz w:val="28"/>
          <w:szCs w:val="28"/>
          <w:rtl/>
        </w:rPr>
        <w:t xml:space="preserve"> - בדיקת הפסיקה בנוגע לעבירה של גידול סם מסוכן מסוג קנביס מעלה כי על דרך הכלל, בתי-המשפט נוטים להטיל בגין עבירה זו עונשי מאסר בפועל. במקרים הקלים יותר, יכול המאסר בפועל להיות מרוצה בדרך של עבודות שירות. מנגד, במקרים שנסיבותיהם חמורות, נגזרו עונשי מאסר בפועל לתקופה ממשית מאחורי סורג ובריח. חומרת הענישה משתנה ממקרה למקרה בהתאם לכמות הסם שהנאשם הורשע בגידולו, מידת התחכום שנדרשה לשם גידוּל הסם, מטרת הגידוּל ועוד (ראו והשוו: </w:t>
      </w:r>
      <w:hyperlink r:id="rId37" w:history="1">
        <w:r w:rsidRPr="00722C4C">
          <w:rPr>
            <w:rFonts w:cs="FrankRuehl"/>
            <w:color w:val="0000FF"/>
            <w:sz w:val="28"/>
            <w:szCs w:val="28"/>
            <w:u w:val="single"/>
            <w:rtl/>
          </w:rPr>
          <w:t>רע"פ 1787/15</w:t>
        </w:r>
      </w:hyperlink>
      <w:r w:rsidRPr="00722C4C">
        <w:rPr>
          <w:rFonts w:cs="FrankRuehl" w:hint="cs"/>
          <w:sz w:val="28"/>
          <w:szCs w:val="28"/>
          <w:rtl/>
        </w:rPr>
        <w:t xml:space="preserve"> </w:t>
      </w:r>
      <w:r w:rsidRPr="00722C4C">
        <w:rPr>
          <w:rFonts w:cs="Miriam" w:hint="cs"/>
          <w:rtl/>
        </w:rPr>
        <w:t>עמר נ' מדינת ישראל</w:t>
      </w:r>
      <w:r w:rsidRPr="00722C4C">
        <w:rPr>
          <w:rFonts w:cs="FrankRuehl" w:hint="cs"/>
          <w:sz w:val="28"/>
          <w:szCs w:val="28"/>
          <w:rtl/>
        </w:rPr>
        <w:t xml:space="preserve"> (24.3.2015); </w:t>
      </w:r>
      <w:hyperlink r:id="rId38" w:history="1">
        <w:r w:rsidRPr="00722C4C">
          <w:rPr>
            <w:rFonts w:cs="FrankRuehl"/>
            <w:color w:val="0000FF"/>
            <w:sz w:val="28"/>
            <w:szCs w:val="28"/>
            <w:u w:val="single"/>
            <w:rtl/>
          </w:rPr>
          <w:t>רע"פ 7675/13</w:t>
        </w:r>
      </w:hyperlink>
      <w:r w:rsidRPr="00722C4C">
        <w:rPr>
          <w:rFonts w:cs="FrankRuehl" w:hint="cs"/>
          <w:sz w:val="28"/>
          <w:szCs w:val="28"/>
          <w:rtl/>
        </w:rPr>
        <w:t xml:space="preserve"> </w:t>
      </w:r>
      <w:r w:rsidRPr="00722C4C">
        <w:rPr>
          <w:rFonts w:cs="Miriam" w:hint="cs"/>
          <w:rtl/>
        </w:rPr>
        <w:t>סעפין נ' מדינת ישראל</w:t>
      </w:r>
      <w:r w:rsidRPr="00722C4C">
        <w:rPr>
          <w:rFonts w:cs="FrankRuehl" w:hint="cs"/>
          <w:sz w:val="28"/>
          <w:szCs w:val="28"/>
          <w:rtl/>
        </w:rPr>
        <w:t xml:space="preserve"> (26.1.2014); </w:t>
      </w:r>
      <w:hyperlink r:id="rId39" w:history="1">
        <w:r w:rsidRPr="00722C4C">
          <w:rPr>
            <w:rFonts w:cs="FrankRuehl"/>
            <w:color w:val="0000FF"/>
            <w:sz w:val="28"/>
            <w:szCs w:val="28"/>
            <w:u w:val="single"/>
            <w:rtl/>
          </w:rPr>
          <w:t>רע"פ 6987/13</w:t>
        </w:r>
      </w:hyperlink>
      <w:r w:rsidRPr="00722C4C">
        <w:rPr>
          <w:rFonts w:cs="FrankRuehl" w:hint="cs"/>
          <w:sz w:val="28"/>
          <w:szCs w:val="28"/>
          <w:rtl/>
        </w:rPr>
        <w:t xml:space="preserve"> </w:t>
      </w:r>
      <w:r w:rsidRPr="00722C4C">
        <w:rPr>
          <w:rFonts w:cs="Miriam" w:hint="cs"/>
          <w:rtl/>
        </w:rPr>
        <w:t>אברמוב נ' מדינת ישראל</w:t>
      </w:r>
      <w:r w:rsidRPr="00722C4C">
        <w:rPr>
          <w:rFonts w:cs="FrankRuehl" w:hint="cs"/>
          <w:sz w:val="28"/>
          <w:szCs w:val="28"/>
          <w:rtl/>
        </w:rPr>
        <w:t xml:space="preserve"> (21.10.2013); עוד ראו והשוו: </w:t>
      </w:r>
      <w:hyperlink r:id="rId40" w:history="1">
        <w:r w:rsidRPr="00722C4C">
          <w:rPr>
            <w:rFonts w:cs="FrankRuehl"/>
            <w:color w:val="0000FF"/>
            <w:sz w:val="28"/>
            <w:szCs w:val="28"/>
            <w:u w:val="single"/>
            <w:rtl/>
          </w:rPr>
          <w:t>עפ"ג (מחוזי תל-אביב) 24376-07-14</w:t>
        </w:r>
      </w:hyperlink>
      <w:r w:rsidRPr="00722C4C">
        <w:rPr>
          <w:rFonts w:cs="FrankRuehl" w:hint="cs"/>
          <w:sz w:val="28"/>
          <w:szCs w:val="28"/>
          <w:rtl/>
        </w:rPr>
        <w:t xml:space="preserve"> </w:t>
      </w:r>
      <w:r w:rsidRPr="00722C4C">
        <w:rPr>
          <w:rFonts w:cs="Miriam" w:hint="cs"/>
          <w:rtl/>
        </w:rPr>
        <w:t xml:space="preserve">עמר נ' מדינת ישראל </w:t>
      </w:r>
      <w:r w:rsidRPr="00722C4C">
        <w:rPr>
          <w:rFonts w:cs="FrankRuehl" w:hint="cs"/>
          <w:sz w:val="28"/>
          <w:szCs w:val="28"/>
          <w:rtl/>
        </w:rPr>
        <w:t xml:space="preserve">(18.2.2015); </w:t>
      </w:r>
      <w:hyperlink r:id="rId41" w:history="1">
        <w:r w:rsidRPr="00722C4C">
          <w:rPr>
            <w:rFonts w:cs="FrankRuehl"/>
            <w:color w:val="0000FF"/>
            <w:sz w:val="28"/>
            <w:szCs w:val="28"/>
            <w:u w:val="single"/>
            <w:rtl/>
          </w:rPr>
          <w:t>עפ"ג (מחוזי מרכז) 55950-07-14</w:t>
        </w:r>
      </w:hyperlink>
      <w:r w:rsidRPr="00722C4C">
        <w:rPr>
          <w:rFonts w:cs="FrankRuehl" w:hint="cs"/>
          <w:sz w:val="28"/>
          <w:szCs w:val="28"/>
          <w:rtl/>
        </w:rPr>
        <w:t xml:space="preserve"> </w:t>
      </w:r>
      <w:r w:rsidRPr="00722C4C">
        <w:rPr>
          <w:rFonts w:cs="Miriam" w:hint="cs"/>
          <w:rtl/>
        </w:rPr>
        <w:t>קרן נ' מדינת ישראל</w:t>
      </w:r>
      <w:r w:rsidRPr="00722C4C">
        <w:rPr>
          <w:rFonts w:cs="FrankRuehl" w:hint="cs"/>
          <w:sz w:val="28"/>
          <w:szCs w:val="28"/>
          <w:rtl/>
        </w:rPr>
        <w:t xml:space="preserve"> (2.11.2014); </w:t>
      </w:r>
      <w:hyperlink r:id="rId42" w:history="1">
        <w:r w:rsidRPr="00722C4C">
          <w:rPr>
            <w:rFonts w:cs="FrankRuehl"/>
            <w:color w:val="0000FF"/>
            <w:sz w:val="28"/>
            <w:szCs w:val="28"/>
            <w:u w:val="single"/>
            <w:rtl/>
          </w:rPr>
          <w:t>עפ"ג (מחוזי ת"א) 31126-05-14</w:t>
        </w:r>
      </w:hyperlink>
      <w:r w:rsidRPr="00722C4C">
        <w:rPr>
          <w:rFonts w:cs="FrankRuehl" w:hint="cs"/>
          <w:sz w:val="28"/>
          <w:szCs w:val="28"/>
          <w:rtl/>
        </w:rPr>
        <w:t xml:space="preserve"> </w:t>
      </w:r>
      <w:r w:rsidRPr="00722C4C">
        <w:rPr>
          <w:rFonts w:cs="Miriam" w:hint="cs"/>
          <w:rtl/>
        </w:rPr>
        <w:t>חריט</w:t>
      </w:r>
      <w:r w:rsidRPr="00722C4C">
        <w:rPr>
          <w:rFonts w:cs="FrankRuehl" w:hint="cs"/>
          <w:sz w:val="28"/>
          <w:szCs w:val="28"/>
          <w:rtl/>
        </w:rPr>
        <w:t xml:space="preserve"> הנ"ל; </w:t>
      </w:r>
      <w:hyperlink r:id="rId43" w:history="1">
        <w:r w:rsidRPr="00722C4C">
          <w:rPr>
            <w:rFonts w:cs="FrankRuehl"/>
            <w:color w:val="0000FF"/>
            <w:sz w:val="28"/>
            <w:szCs w:val="28"/>
            <w:u w:val="single"/>
            <w:rtl/>
          </w:rPr>
          <w:t>ע"פ (מחוזי חיפה) 41827-08-10</w:t>
        </w:r>
      </w:hyperlink>
      <w:r w:rsidRPr="00722C4C">
        <w:rPr>
          <w:rFonts w:cs="FrankRuehl" w:hint="cs"/>
          <w:sz w:val="28"/>
          <w:szCs w:val="28"/>
          <w:rtl/>
        </w:rPr>
        <w:t xml:space="preserve"> </w:t>
      </w:r>
      <w:r w:rsidRPr="00722C4C">
        <w:rPr>
          <w:rFonts w:cs="Miriam" w:hint="cs"/>
          <w:rtl/>
        </w:rPr>
        <w:t xml:space="preserve">פרידמן </w:t>
      </w:r>
      <w:r w:rsidRPr="00722C4C">
        <w:rPr>
          <w:rFonts w:cs="FrankRuehl" w:hint="cs"/>
          <w:sz w:val="28"/>
          <w:szCs w:val="28"/>
          <w:rtl/>
        </w:rPr>
        <w:t xml:space="preserve">הנ"ל; </w:t>
      </w:r>
      <w:hyperlink r:id="rId44" w:history="1">
        <w:r w:rsidRPr="00722C4C">
          <w:rPr>
            <w:rFonts w:cs="FrankRuehl"/>
            <w:color w:val="0000FF"/>
            <w:sz w:val="28"/>
            <w:szCs w:val="28"/>
            <w:u w:val="single"/>
            <w:rtl/>
          </w:rPr>
          <w:t>עפ"ג (מחוזי מרכז) 52810-07-10</w:t>
        </w:r>
      </w:hyperlink>
      <w:r w:rsidRPr="00722C4C">
        <w:rPr>
          <w:rFonts w:cs="FrankRuehl" w:hint="cs"/>
          <w:sz w:val="28"/>
          <w:szCs w:val="28"/>
          <w:rtl/>
        </w:rPr>
        <w:t xml:space="preserve"> </w:t>
      </w:r>
      <w:r w:rsidRPr="00722C4C">
        <w:rPr>
          <w:rFonts w:cs="Miriam" w:hint="cs"/>
          <w:rtl/>
        </w:rPr>
        <w:t>עזריה נ' מדינת ישראל</w:t>
      </w:r>
      <w:r w:rsidRPr="00722C4C">
        <w:rPr>
          <w:rFonts w:cs="FrankRuehl" w:hint="cs"/>
          <w:sz w:val="28"/>
          <w:szCs w:val="28"/>
          <w:rtl/>
        </w:rPr>
        <w:t xml:space="preserve"> (21.12.2010); בנוסף ראו והשוו: </w:t>
      </w:r>
      <w:hyperlink r:id="rId45" w:history="1">
        <w:r w:rsidRPr="00722C4C">
          <w:rPr>
            <w:rFonts w:cs="FrankRuehl"/>
            <w:color w:val="0000FF"/>
            <w:sz w:val="28"/>
            <w:szCs w:val="28"/>
            <w:u w:val="single"/>
            <w:rtl/>
          </w:rPr>
          <w:t>ת"פ (שלום פתח תקווה) 3001-08-12</w:t>
        </w:r>
      </w:hyperlink>
      <w:r w:rsidRPr="00722C4C">
        <w:rPr>
          <w:rFonts w:cs="FrankRuehl" w:hint="cs"/>
          <w:sz w:val="28"/>
          <w:szCs w:val="28"/>
          <w:rtl/>
        </w:rPr>
        <w:t xml:space="preserve"> </w:t>
      </w:r>
      <w:r w:rsidRPr="00722C4C">
        <w:rPr>
          <w:rFonts w:cs="Miriam" w:hint="cs"/>
          <w:rtl/>
        </w:rPr>
        <w:t>מדינת ישראל נ' עמר</w:t>
      </w:r>
      <w:r w:rsidRPr="00722C4C">
        <w:rPr>
          <w:rFonts w:cs="FrankRuehl" w:hint="cs"/>
          <w:sz w:val="28"/>
          <w:szCs w:val="28"/>
          <w:rtl/>
        </w:rPr>
        <w:t xml:space="preserve"> (24.3.2014); </w:t>
      </w:r>
      <w:hyperlink r:id="rId46" w:history="1">
        <w:r w:rsidRPr="00722C4C">
          <w:rPr>
            <w:rFonts w:cs="FrankRuehl"/>
            <w:color w:val="0000FF"/>
            <w:sz w:val="28"/>
            <w:szCs w:val="28"/>
            <w:u w:val="single"/>
            <w:rtl/>
          </w:rPr>
          <w:t>ת"פ (שלום באר-שבע) 11284-07-12</w:t>
        </w:r>
      </w:hyperlink>
      <w:r w:rsidRPr="00722C4C">
        <w:rPr>
          <w:rFonts w:cs="FrankRuehl" w:hint="cs"/>
          <w:sz w:val="28"/>
          <w:szCs w:val="28"/>
          <w:rtl/>
        </w:rPr>
        <w:t xml:space="preserve"> </w:t>
      </w:r>
      <w:r w:rsidRPr="00722C4C">
        <w:rPr>
          <w:rFonts w:cs="Miriam" w:hint="cs"/>
          <w:rtl/>
        </w:rPr>
        <w:t>מדינת ישראל נ' לוי</w:t>
      </w:r>
      <w:r w:rsidRPr="00722C4C">
        <w:rPr>
          <w:rFonts w:cs="FrankRuehl" w:hint="cs"/>
          <w:sz w:val="28"/>
          <w:szCs w:val="28"/>
          <w:rtl/>
        </w:rPr>
        <w:t xml:space="preserve"> (16.9.2013)).</w:t>
      </w:r>
    </w:p>
    <w:p w14:paraId="50188B4C" w14:textId="77777777" w:rsidR="00CA11F2" w:rsidRPr="00722C4C" w:rsidRDefault="00CA11F2">
      <w:pPr>
        <w:spacing w:after="120" w:line="360" w:lineRule="auto"/>
        <w:ind w:firstLine="720"/>
        <w:jc w:val="both"/>
        <w:rPr>
          <w:rFonts w:cs="FrankRuehl"/>
          <w:sz w:val="28"/>
          <w:szCs w:val="28"/>
          <w:rtl/>
        </w:rPr>
      </w:pPr>
    </w:p>
    <w:p w14:paraId="58A4C5F7" w14:textId="77777777" w:rsidR="00CA11F2" w:rsidRPr="00722C4C" w:rsidRDefault="00722C4C">
      <w:pPr>
        <w:spacing w:after="120" w:line="360" w:lineRule="auto"/>
        <w:ind w:firstLine="720"/>
        <w:jc w:val="both"/>
        <w:rPr>
          <w:rFonts w:cs="FrankRuehl"/>
          <w:sz w:val="28"/>
          <w:szCs w:val="28"/>
          <w:rtl/>
        </w:rPr>
      </w:pPr>
      <w:r w:rsidRPr="00722C4C">
        <w:rPr>
          <w:rFonts w:cs="FrankRuehl" w:hint="cs"/>
          <w:sz w:val="28"/>
          <w:szCs w:val="28"/>
          <w:rtl/>
        </w:rPr>
        <w:t xml:space="preserve">למען שלמות התמונה, יצוין כי בפסיקתם של בתי-המשפט ניתן לאתר גם מקרים בהם הוטלה ענישה מוחשית אשר אינה כוללת רכיב של מאסר בפועל, וזאת מטעמי שיקום (ראו והשוו: </w:t>
      </w:r>
      <w:hyperlink r:id="rId47" w:history="1">
        <w:r w:rsidRPr="00722C4C">
          <w:rPr>
            <w:rFonts w:cs="FrankRuehl"/>
            <w:color w:val="0000FF"/>
            <w:sz w:val="28"/>
            <w:szCs w:val="28"/>
            <w:u w:val="single"/>
            <w:rtl/>
          </w:rPr>
          <w:t>ת"פ (שלום ירושלים) 5119-09-13</w:t>
        </w:r>
      </w:hyperlink>
      <w:r w:rsidRPr="00722C4C">
        <w:rPr>
          <w:rFonts w:cs="FrankRuehl" w:hint="cs"/>
          <w:sz w:val="28"/>
          <w:szCs w:val="28"/>
          <w:rtl/>
        </w:rPr>
        <w:t xml:space="preserve"> </w:t>
      </w:r>
      <w:r w:rsidRPr="00722C4C">
        <w:rPr>
          <w:rFonts w:cs="Miriam" w:hint="cs"/>
          <w:rtl/>
        </w:rPr>
        <w:t>מדינת ישראל נ' לישנר</w:t>
      </w:r>
      <w:r w:rsidRPr="00722C4C">
        <w:rPr>
          <w:rFonts w:cs="FrankRuehl" w:hint="cs"/>
          <w:sz w:val="28"/>
          <w:szCs w:val="28"/>
          <w:rtl/>
        </w:rPr>
        <w:t xml:space="preserve"> (6.5.2014); </w:t>
      </w:r>
      <w:hyperlink r:id="rId48" w:history="1">
        <w:r w:rsidRPr="00722C4C">
          <w:rPr>
            <w:rFonts w:cs="FrankRuehl"/>
            <w:color w:val="0000FF"/>
            <w:sz w:val="28"/>
            <w:szCs w:val="28"/>
            <w:u w:val="single"/>
            <w:rtl/>
          </w:rPr>
          <w:t>ת"פ (שלום טבריה) 13365-08-13</w:t>
        </w:r>
      </w:hyperlink>
      <w:r w:rsidRPr="00722C4C">
        <w:rPr>
          <w:rFonts w:cs="FrankRuehl" w:hint="cs"/>
          <w:sz w:val="28"/>
          <w:szCs w:val="28"/>
          <w:rtl/>
        </w:rPr>
        <w:t xml:space="preserve"> </w:t>
      </w:r>
      <w:r w:rsidRPr="00722C4C">
        <w:rPr>
          <w:rFonts w:cs="Miriam" w:hint="cs"/>
          <w:rtl/>
        </w:rPr>
        <w:t>מדינת ישראל נ' טל</w:t>
      </w:r>
      <w:r w:rsidRPr="00722C4C">
        <w:rPr>
          <w:rFonts w:cs="FrankRuehl" w:hint="cs"/>
          <w:sz w:val="28"/>
          <w:szCs w:val="28"/>
          <w:rtl/>
        </w:rPr>
        <w:t xml:space="preserve"> (8.7.2014); ת"פ (תל-אביב-יפו) </w:t>
      </w:r>
      <w:hyperlink r:id="rId49" w:history="1">
        <w:r w:rsidR="003E2E0E" w:rsidRPr="003E2E0E">
          <w:rPr>
            <w:rFonts w:cs="FrankRuehl"/>
            <w:color w:val="0000FF"/>
            <w:sz w:val="28"/>
            <w:szCs w:val="28"/>
            <w:u w:val="single"/>
            <w:rtl/>
          </w:rPr>
          <w:t xml:space="preserve">4563-08 </w:t>
        </w:r>
      </w:hyperlink>
      <w:r w:rsidRPr="00722C4C">
        <w:rPr>
          <w:rFonts w:cs="FrankRuehl" w:hint="cs"/>
          <w:sz w:val="28"/>
          <w:szCs w:val="28"/>
          <w:rtl/>
        </w:rPr>
        <w:t xml:space="preserve"> </w:t>
      </w:r>
      <w:r w:rsidRPr="00722C4C">
        <w:rPr>
          <w:rFonts w:cs="Miriam" w:hint="cs"/>
          <w:rtl/>
        </w:rPr>
        <w:t>מדינת ישראל נ' עוקבי</w:t>
      </w:r>
      <w:r w:rsidRPr="00722C4C">
        <w:rPr>
          <w:rFonts w:cs="FrankRuehl" w:hint="cs"/>
          <w:sz w:val="28"/>
          <w:szCs w:val="28"/>
          <w:rtl/>
        </w:rPr>
        <w:t xml:space="preserve"> (18.4.2010)). </w:t>
      </w:r>
    </w:p>
    <w:p w14:paraId="444B6906" w14:textId="77777777" w:rsidR="00CA11F2" w:rsidRPr="00722C4C" w:rsidRDefault="00CA11F2">
      <w:pPr>
        <w:spacing w:after="120" w:line="360" w:lineRule="auto"/>
        <w:ind w:firstLine="720"/>
        <w:jc w:val="both"/>
        <w:rPr>
          <w:rFonts w:cs="FrankRuehl"/>
          <w:sz w:val="28"/>
          <w:szCs w:val="28"/>
          <w:rtl/>
        </w:rPr>
      </w:pPr>
    </w:p>
    <w:p w14:paraId="1C08F249" w14:textId="77777777" w:rsidR="00CA11F2" w:rsidRPr="00722C4C" w:rsidRDefault="00722C4C">
      <w:pPr>
        <w:spacing w:after="120" w:line="360" w:lineRule="auto"/>
        <w:jc w:val="both"/>
        <w:rPr>
          <w:rFonts w:cs="FrankRuehl"/>
          <w:b/>
          <w:bCs/>
          <w:sz w:val="28"/>
          <w:szCs w:val="28"/>
          <w:rtl/>
        </w:rPr>
      </w:pPr>
      <w:r w:rsidRPr="00722C4C">
        <w:rPr>
          <w:rFonts w:cs="FrankRuehl" w:hint="cs"/>
          <w:sz w:val="28"/>
          <w:szCs w:val="28"/>
          <w:rtl/>
        </w:rPr>
        <w:t>12.</w:t>
      </w:r>
      <w:r w:rsidRPr="00722C4C">
        <w:rPr>
          <w:rFonts w:cs="FrankRuehl" w:hint="cs"/>
          <w:sz w:val="28"/>
          <w:szCs w:val="28"/>
          <w:rtl/>
        </w:rPr>
        <w:tab/>
        <w:t xml:space="preserve">בהתחשב בעקרון המנחה של ההלימה; בשים לב לפגיעה בערכים המוגנים; בהתחשב בנסיבות ביצוע העבירות; ובהתחשב במדיניות הענישה הנוהגת; אני סבורה כי מתחם הענישה ההולמת במקרה שלפניי (גידול קנביס במשקל של כ- </w:t>
      </w:r>
      <w:smartTag w:uri="urn:schemas-microsoft-com:office:smarttags" w:element="metricconverter">
        <w:smartTagPr>
          <w:attr w:name="ProductID" w:val="135.19 גרם"/>
        </w:smartTagPr>
        <w:r w:rsidRPr="00722C4C">
          <w:rPr>
            <w:rFonts w:cs="FrankRuehl" w:hint="cs"/>
            <w:sz w:val="28"/>
            <w:szCs w:val="28"/>
            <w:rtl/>
          </w:rPr>
          <w:t>135.19 גרם</w:t>
        </w:r>
      </w:smartTag>
      <w:r w:rsidRPr="00722C4C">
        <w:rPr>
          <w:rFonts w:cs="FrankRuehl" w:hint="cs"/>
          <w:sz w:val="28"/>
          <w:szCs w:val="28"/>
          <w:rtl/>
        </w:rPr>
        <w:t xml:space="preserve"> נטו במעבדה מאובזרת בחדר בתוך דירת מגורים, וכן החזקת כלים המשמשים להכנת הסם) נע </w:t>
      </w:r>
      <w:r w:rsidRPr="00722C4C">
        <w:rPr>
          <w:rFonts w:cs="FrankRuehl" w:hint="cs"/>
          <w:b/>
          <w:bCs/>
          <w:sz w:val="28"/>
          <w:szCs w:val="28"/>
          <w:rtl/>
        </w:rPr>
        <w:t xml:space="preserve">ממאסר קצר בפועל (אשר במקרים מתאימים יכול וירוצה בעבודות שירות) ועד 15 חודשי מאסר בפועל. </w:t>
      </w:r>
    </w:p>
    <w:p w14:paraId="1E438B9A" w14:textId="77777777" w:rsidR="00CA11F2" w:rsidRPr="00722C4C" w:rsidRDefault="00CA11F2">
      <w:pPr>
        <w:spacing w:after="120" w:line="360" w:lineRule="auto"/>
        <w:jc w:val="both"/>
        <w:rPr>
          <w:rFonts w:cs="FrankRuehl"/>
          <w:b/>
          <w:bCs/>
          <w:sz w:val="28"/>
          <w:szCs w:val="28"/>
          <w:rtl/>
        </w:rPr>
      </w:pPr>
    </w:p>
    <w:p w14:paraId="204F4573" w14:textId="77777777" w:rsidR="00CA11F2" w:rsidRPr="00722C4C" w:rsidRDefault="00722C4C">
      <w:pPr>
        <w:spacing w:after="120" w:line="360" w:lineRule="auto"/>
        <w:jc w:val="both"/>
        <w:rPr>
          <w:rFonts w:cs="FrankRuehl"/>
          <w:b/>
          <w:bCs/>
          <w:sz w:val="28"/>
          <w:szCs w:val="28"/>
          <w:rtl/>
        </w:rPr>
      </w:pPr>
      <w:r w:rsidRPr="00722C4C">
        <w:rPr>
          <w:rFonts w:ascii="Calibri" w:hAnsi="Calibri" w:cs="FrankRuehl" w:hint="cs"/>
          <w:sz w:val="28"/>
          <w:szCs w:val="28"/>
          <w:rtl/>
        </w:rPr>
        <w:t>חריגה לקולא ממתחם הענישה ההולמת וגזירת העונש המתאים</w:t>
      </w:r>
    </w:p>
    <w:p w14:paraId="1C281097" w14:textId="77777777" w:rsidR="00CA11F2" w:rsidRPr="00722C4C" w:rsidRDefault="00722C4C">
      <w:pPr>
        <w:spacing w:after="120" w:line="360" w:lineRule="auto"/>
        <w:jc w:val="both"/>
        <w:rPr>
          <w:rFonts w:ascii="Calibri" w:hAnsi="Calibri" w:cs="FrankRuehl"/>
          <w:sz w:val="28"/>
          <w:szCs w:val="28"/>
          <w:rtl/>
        </w:rPr>
      </w:pPr>
      <w:r w:rsidRPr="00722C4C">
        <w:rPr>
          <w:rFonts w:ascii="Calibri" w:hAnsi="Calibri" w:cs="FrankRuehl" w:hint="cs"/>
          <w:sz w:val="28"/>
          <w:szCs w:val="28"/>
          <w:rtl/>
        </w:rPr>
        <w:t>13.</w:t>
      </w:r>
      <w:r w:rsidRPr="00722C4C">
        <w:rPr>
          <w:rFonts w:ascii="Calibri" w:hAnsi="Calibri" w:cs="FrankRuehl" w:hint="cs"/>
          <w:sz w:val="28"/>
          <w:szCs w:val="28"/>
          <w:rtl/>
        </w:rPr>
        <w:tab/>
        <w:t xml:space="preserve">בא-כוח הנאשם עתר לאמץ את המלצתו העונשית של שירות המבחן, ולהסתפק בהטלת צווי של"צ ומבחן. בשים לב למתחם הענישה ההולמת כפי שנקבע בפסקה 12 לעיל, משמעות עתירתו של הסנגור היא חריגה לקולא ממתחם העונש ההולם. להלן אבחן את הנסיבות שאינן קשורות בביצוע העבירות כאמור </w:t>
      </w:r>
      <w:hyperlink r:id="rId50" w:history="1">
        <w:r w:rsidR="008A1BEB" w:rsidRPr="008A1BEB">
          <w:rPr>
            <w:rStyle w:val="Hyperlink"/>
            <w:rFonts w:ascii="Calibri" w:hAnsi="Calibri" w:cs="FrankRuehl" w:hint="eastAsia"/>
            <w:sz w:val="28"/>
            <w:szCs w:val="28"/>
            <w:rtl/>
          </w:rPr>
          <w:t>בסעיף</w:t>
        </w:r>
        <w:r w:rsidR="008A1BEB" w:rsidRPr="008A1BEB">
          <w:rPr>
            <w:rStyle w:val="Hyperlink"/>
            <w:rFonts w:ascii="Calibri" w:hAnsi="Calibri" w:cs="FrankRuehl"/>
            <w:sz w:val="28"/>
            <w:szCs w:val="28"/>
            <w:rtl/>
          </w:rPr>
          <w:t xml:space="preserve"> 40</w:t>
        </w:r>
        <w:r w:rsidR="008A1BEB" w:rsidRPr="008A1BEB">
          <w:rPr>
            <w:rStyle w:val="Hyperlink"/>
            <w:rFonts w:ascii="Calibri" w:hAnsi="Calibri" w:cs="FrankRuehl" w:hint="eastAsia"/>
            <w:sz w:val="28"/>
            <w:szCs w:val="28"/>
            <w:rtl/>
          </w:rPr>
          <w:t>יא</w:t>
        </w:r>
      </w:hyperlink>
      <w:r w:rsidRPr="00722C4C">
        <w:rPr>
          <w:rFonts w:ascii="Calibri" w:hAnsi="Calibri" w:cs="FrankRuehl" w:hint="cs"/>
          <w:sz w:val="28"/>
          <w:szCs w:val="28"/>
          <w:rtl/>
        </w:rPr>
        <w:t xml:space="preserve"> ל</w:t>
      </w:r>
      <w:hyperlink r:id="rId51" w:history="1">
        <w:r w:rsidRPr="00722C4C">
          <w:rPr>
            <w:rFonts w:ascii="Calibri" w:hAnsi="Calibri" w:cs="FrankRuehl" w:hint="eastAsia"/>
            <w:color w:val="0000FF"/>
            <w:sz w:val="28"/>
            <w:szCs w:val="28"/>
            <w:u w:val="single"/>
            <w:rtl/>
          </w:rPr>
          <w:t>חוק</w:t>
        </w:r>
        <w:r w:rsidRPr="00722C4C">
          <w:rPr>
            <w:rFonts w:ascii="Calibri" w:hAnsi="Calibri" w:cs="FrankRuehl"/>
            <w:color w:val="0000FF"/>
            <w:sz w:val="28"/>
            <w:szCs w:val="28"/>
            <w:u w:val="single"/>
            <w:rtl/>
          </w:rPr>
          <w:t xml:space="preserve"> </w:t>
        </w:r>
        <w:r w:rsidRPr="00722C4C">
          <w:rPr>
            <w:rFonts w:ascii="Calibri" w:hAnsi="Calibri" w:cs="FrankRuehl" w:hint="eastAsia"/>
            <w:color w:val="0000FF"/>
            <w:sz w:val="28"/>
            <w:szCs w:val="28"/>
            <w:u w:val="single"/>
            <w:rtl/>
          </w:rPr>
          <w:t>העונשין</w:t>
        </w:r>
      </w:hyperlink>
      <w:r w:rsidRPr="00722C4C">
        <w:rPr>
          <w:rFonts w:ascii="Calibri" w:hAnsi="Calibri" w:cs="FrankRuehl" w:hint="cs"/>
          <w:sz w:val="28"/>
          <w:szCs w:val="28"/>
          <w:rtl/>
        </w:rPr>
        <w:t>, ואפרט מדוע אני בדעה כי מוצדק לחרוג לקולא ממתחם הענישה ההולמת בעניינו של הנאשם, כמבוקש על-ידי בא-כוחו.</w:t>
      </w:r>
    </w:p>
    <w:p w14:paraId="48113318" w14:textId="77777777" w:rsidR="00CA11F2" w:rsidRPr="00722C4C" w:rsidRDefault="00CA11F2">
      <w:pPr>
        <w:spacing w:after="120" w:line="360" w:lineRule="auto"/>
        <w:jc w:val="both"/>
        <w:rPr>
          <w:rFonts w:ascii="Calibri" w:hAnsi="Calibri" w:cs="FrankRuehl"/>
          <w:sz w:val="28"/>
          <w:szCs w:val="28"/>
          <w:rtl/>
        </w:rPr>
      </w:pPr>
    </w:p>
    <w:p w14:paraId="56E1E913" w14:textId="77777777" w:rsidR="00CA11F2" w:rsidRPr="00722C4C" w:rsidRDefault="00722C4C">
      <w:pPr>
        <w:spacing w:after="120" w:line="360" w:lineRule="auto"/>
        <w:jc w:val="both"/>
        <w:rPr>
          <w:rFonts w:ascii="Calibri" w:hAnsi="Calibri" w:cs="FrankRuehl"/>
          <w:sz w:val="28"/>
          <w:szCs w:val="28"/>
          <w:rtl/>
        </w:rPr>
      </w:pPr>
      <w:r w:rsidRPr="00722C4C">
        <w:rPr>
          <w:rFonts w:ascii="Calibri" w:hAnsi="Calibri" w:cs="FrankRuehl" w:hint="cs"/>
          <w:sz w:val="28"/>
          <w:szCs w:val="28"/>
          <w:rtl/>
        </w:rPr>
        <w:t>14.</w:t>
      </w:r>
      <w:r w:rsidRPr="00722C4C">
        <w:rPr>
          <w:rFonts w:ascii="Calibri" w:hAnsi="Calibri" w:cs="FrankRuehl" w:hint="cs"/>
          <w:sz w:val="28"/>
          <w:szCs w:val="28"/>
          <w:rtl/>
        </w:rPr>
        <w:tab/>
        <w:t xml:space="preserve">כפי שעולה מתסקירי שירות המבחן שפורטו בפסקה 3 לעיל, נסיבות חייו של הנאשם שלפניי אינן פשוטות. לאורך שנות ילדותו, חש הנאשם חוסר ביציבות ובגורמי תמיכה. כתוצאה מכך, חווה הנאשם תחושת בדידות ומצוקות רגשיות עימן לא השכיל להתמודד באופן בונה. על רקע זה החל הנאשם לצרוך סמים אליהם התמכר באופן קבוע, וביצע את העבירות נשוא ההליך שבכותרת. כיום, לאחר תקופה של למעלה משנה במהלכה השקיע הנאשם מאמצים בתהליך הטיפולי, הנאשם שומר על ניקיון מסמים וניכרת התקדמות במצבו. שירות המבחן ציין כי הנאשם עובר תהליך משמעותי, בו הוא לומד להתמודד עם קשייו הרגשיים. אעיר כי גם לאחר תאונת העבודה שארעה לנאשם, בעקבותיה הוא התקשה בתפקוד בסיסי עקב מצבו הרפואי, התמיד הנאשם בתהליך הטיפולי ובניקיונו מסמים, ואף נמנע מלהשתמש במשככי כאבים על-מנת לעמוד בבדיקות לאיתור סמים, שאכן נמצאו נקיות. הדבר הוא בגדר סימן מעודד. אוסיף כי הנאשם היה עצור בתיק זה מאחורי סורג ובריח במשך כ- 7 ימים, ולאחר מכן היה נתון במעצר בית מלא במשך קרוב לחצי שנה, באופן שהיווה מגבלה משמעותית על החירות ושימש גורם מרתיע עבור הנאשם. לכל אלה יש להוסיף את יתר הנסיבות לקולא, ובהן: הודאת הנאשם בכתב-האישום המתוקן, נטילת האחריות על-ידו, החרטה הכנה שהביע לפני שירות המבחן וכן לפניי באולם-הדיונים, וכן העדרו של עבר פלילי. בהתחשב בכל אלה, אני בדעה כי קיים סיכוי ממשי לשיקום הנאשם כאמור </w:t>
      </w:r>
      <w:hyperlink r:id="rId52" w:history="1">
        <w:r w:rsidR="008A1BEB" w:rsidRPr="008A1BEB">
          <w:rPr>
            <w:rStyle w:val="Hyperlink"/>
            <w:rFonts w:ascii="Calibri" w:hAnsi="Calibri" w:cs="FrankRuehl" w:hint="eastAsia"/>
            <w:sz w:val="28"/>
            <w:szCs w:val="28"/>
            <w:rtl/>
          </w:rPr>
          <w:t>בסעיף</w:t>
        </w:r>
        <w:r w:rsidR="008A1BEB" w:rsidRPr="008A1BEB">
          <w:rPr>
            <w:rStyle w:val="Hyperlink"/>
            <w:rFonts w:ascii="Calibri" w:hAnsi="Calibri" w:cs="FrankRuehl"/>
            <w:sz w:val="28"/>
            <w:szCs w:val="28"/>
            <w:rtl/>
          </w:rPr>
          <w:t xml:space="preserve"> 40</w:t>
        </w:r>
        <w:r w:rsidR="008A1BEB" w:rsidRPr="008A1BEB">
          <w:rPr>
            <w:rStyle w:val="Hyperlink"/>
            <w:rFonts w:ascii="Calibri" w:hAnsi="Calibri" w:cs="FrankRuehl" w:hint="eastAsia"/>
            <w:sz w:val="28"/>
            <w:szCs w:val="28"/>
            <w:rtl/>
          </w:rPr>
          <w:t>ד</w:t>
        </w:r>
        <w:r w:rsidR="008A1BEB" w:rsidRPr="008A1BEB">
          <w:rPr>
            <w:rStyle w:val="Hyperlink"/>
            <w:rFonts w:ascii="Calibri" w:hAnsi="Calibri" w:cs="FrankRuehl"/>
            <w:sz w:val="28"/>
            <w:szCs w:val="28"/>
            <w:rtl/>
          </w:rPr>
          <w:t>(</w:t>
        </w:r>
        <w:r w:rsidR="008A1BEB" w:rsidRPr="008A1BEB">
          <w:rPr>
            <w:rStyle w:val="Hyperlink"/>
            <w:rFonts w:ascii="Calibri" w:hAnsi="Calibri" w:cs="FrankRuehl" w:hint="eastAsia"/>
            <w:sz w:val="28"/>
            <w:szCs w:val="28"/>
            <w:rtl/>
          </w:rPr>
          <w:t>א</w:t>
        </w:r>
        <w:r w:rsidR="008A1BEB" w:rsidRPr="008A1BEB">
          <w:rPr>
            <w:rStyle w:val="Hyperlink"/>
            <w:rFonts w:ascii="Calibri" w:hAnsi="Calibri" w:cs="FrankRuehl"/>
            <w:sz w:val="28"/>
            <w:szCs w:val="28"/>
            <w:rtl/>
          </w:rPr>
          <w:t>)</w:t>
        </w:r>
      </w:hyperlink>
      <w:r w:rsidRPr="00722C4C">
        <w:rPr>
          <w:rFonts w:ascii="Calibri" w:hAnsi="Calibri" w:cs="FrankRuehl" w:hint="cs"/>
          <w:sz w:val="28"/>
          <w:szCs w:val="28"/>
          <w:rtl/>
        </w:rPr>
        <w:t xml:space="preserve"> ל</w:t>
      </w:r>
      <w:hyperlink r:id="rId53" w:history="1">
        <w:r w:rsidRPr="00722C4C">
          <w:rPr>
            <w:rFonts w:ascii="Calibri" w:hAnsi="Calibri" w:cs="FrankRuehl" w:hint="eastAsia"/>
            <w:color w:val="0000FF"/>
            <w:sz w:val="28"/>
            <w:szCs w:val="28"/>
            <w:u w:val="single"/>
            <w:rtl/>
          </w:rPr>
          <w:t>חוק</w:t>
        </w:r>
        <w:r w:rsidRPr="00722C4C">
          <w:rPr>
            <w:rFonts w:ascii="Calibri" w:hAnsi="Calibri" w:cs="FrankRuehl"/>
            <w:color w:val="0000FF"/>
            <w:sz w:val="28"/>
            <w:szCs w:val="28"/>
            <w:u w:val="single"/>
            <w:rtl/>
          </w:rPr>
          <w:t xml:space="preserve"> </w:t>
        </w:r>
        <w:r w:rsidRPr="00722C4C">
          <w:rPr>
            <w:rFonts w:ascii="Calibri" w:hAnsi="Calibri" w:cs="FrankRuehl" w:hint="eastAsia"/>
            <w:color w:val="0000FF"/>
            <w:sz w:val="28"/>
            <w:szCs w:val="28"/>
            <w:u w:val="single"/>
            <w:rtl/>
          </w:rPr>
          <w:t>העונשין</w:t>
        </w:r>
      </w:hyperlink>
      <w:r w:rsidRPr="00722C4C">
        <w:rPr>
          <w:rFonts w:ascii="Calibri" w:hAnsi="Calibri" w:cs="FrankRuehl" w:hint="cs"/>
          <w:sz w:val="28"/>
          <w:szCs w:val="28"/>
          <w:rtl/>
        </w:rPr>
        <w:t xml:space="preserve">. אכן, שיקולים אלה לא הצדיקו את ביטול הרשעתו של הנאשם בדין, מנימוקים עליהם עמדתי בדבריי לעיל. עם זאת, אני סבורה כי יש בהם כדי להצדיק סטייה ממתחם העונש ההולם לקולא, כך שניתן להסתפק בצווי של"צ ומבחן וכן במאסר מותנה הצופה פני עתיד. בקביעת היקף השל"צ, ראיתי להגדיל את מספר השעות עליו המליץ שירות המבחן, וזאת עקב חומרתן של עבירות הסמים, ובכלל זה העבירות בהן הורשע הנאשם. </w:t>
      </w:r>
    </w:p>
    <w:p w14:paraId="33B75113" w14:textId="77777777" w:rsidR="00CA11F2" w:rsidRPr="00722C4C" w:rsidRDefault="00CA11F2">
      <w:pPr>
        <w:spacing w:after="120" w:line="360" w:lineRule="auto"/>
        <w:jc w:val="both"/>
        <w:rPr>
          <w:rFonts w:ascii="Calibri" w:hAnsi="Calibri" w:cs="FrankRuehl"/>
          <w:sz w:val="28"/>
          <w:szCs w:val="28"/>
          <w:rtl/>
        </w:rPr>
      </w:pPr>
    </w:p>
    <w:p w14:paraId="1AAE1135" w14:textId="77777777" w:rsidR="00CA11F2" w:rsidRPr="00722C4C" w:rsidRDefault="00722C4C">
      <w:pPr>
        <w:spacing w:after="120" w:line="360" w:lineRule="auto"/>
        <w:jc w:val="both"/>
        <w:rPr>
          <w:rFonts w:ascii="Calibri" w:hAnsi="Calibri" w:cs="FrankRuehl"/>
          <w:sz w:val="28"/>
          <w:szCs w:val="28"/>
          <w:rtl/>
        </w:rPr>
      </w:pPr>
      <w:r w:rsidRPr="00722C4C">
        <w:rPr>
          <w:rFonts w:ascii="Calibri" w:hAnsi="Calibri" w:cs="FrankRuehl" w:hint="cs"/>
          <w:sz w:val="28"/>
          <w:szCs w:val="28"/>
          <w:rtl/>
        </w:rPr>
        <w:tab/>
        <w:t xml:space="preserve">יש לקוות כי הנאשם יתמיד בדרך השיקומית ויצדיק את האמון שניתן בו, שאם לא כן - ניתן יהיה לגזור את דינו מחדש, תוך התחשבות במתחם הענישה ההולמת כפי שנקבע לעיל.       </w:t>
      </w:r>
    </w:p>
    <w:p w14:paraId="22D6E6C9" w14:textId="77777777" w:rsidR="00CA11F2" w:rsidRPr="00722C4C" w:rsidRDefault="00CA11F2">
      <w:pPr>
        <w:spacing w:after="120" w:line="360" w:lineRule="auto"/>
        <w:jc w:val="both"/>
        <w:rPr>
          <w:rFonts w:cs="FrankRuehl"/>
          <w:sz w:val="28"/>
          <w:szCs w:val="28"/>
          <w:rtl/>
        </w:rPr>
      </w:pPr>
    </w:p>
    <w:p w14:paraId="29608044" w14:textId="77777777" w:rsidR="00CA11F2" w:rsidRPr="00722C4C" w:rsidRDefault="00722C4C">
      <w:pPr>
        <w:spacing w:after="120" w:line="360" w:lineRule="auto"/>
        <w:jc w:val="both"/>
        <w:rPr>
          <w:rFonts w:cs="FrankRuehl"/>
          <w:sz w:val="28"/>
          <w:szCs w:val="28"/>
        </w:rPr>
      </w:pPr>
      <w:r w:rsidRPr="00722C4C">
        <w:rPr>
          <w:rFonts w:cs="FrankRuehl" w:hint="cs"/>
          <w:sz w:val="28"/>
          <w:szCs w:val="28"/>
          <w:rtl/>
        </w:rPr>
        <w:t>סוף דבר</w:t>
      </w:r>
    </w:p>
    <w:p w14:paraId="762582F9" w14:textId="77777777" w:rsidR="00CA11F2" w:rsidRPr="00722C4C" w:rsidRDefault="00722C4C">
      <w:pPr>
        <w:spacing w:after="120" w:line="360" w:lineRule="auto"/>
        <w:jc w:val="both"/>
        <w:rPr>
          <w:rFonts w:cs="FrankRuehl"/>
          <w:sz w:val="28"/>
          <w:szCs w:val="28"/>
          <w:rtl/>
        </w:rPr>
      </w:pPr>
      <w:r w:rsidRPr="00722C4C">
        <w:rPr>
          <w:rFonts w:cs="FrankRuehl" w:hint="cs"/>
          <w:sz w:val="28"/>
          <w:szCs w:val="28"/>
          <w:rtl/>
        </w:rPr>
        <w:t>15.</w:t>
      </w:r>
      <w:r w:rsidRPr="00722C4C">
        <w:rPr>
          <w:rFonts w:cs="FrankRuehl" w:hint="cs"/>
          <w:sz w:val="28"/>
          <w:szCs w:val="28"/>
          <w:rtl/>
        </w:rPr>
        <w:tab/>
        <w:t>נוכח מכלול הטעמים האמורים, אני גוזרת על הנאשם כדלקמן:</w:t>
      </w:r>
    </w:p>
    <w:p w14:paraId="181E753C" w14:textId="77777777" w:rsidR="00722C4C" w:rsidRPr="00722C4C" w:rsidRDefault="00722C4C" w:rsidP="008A1BEB">
      <w:pPr>
        <w:numPr>
          <w:ilvl w:val="0"/>
          <w:numId w:val="1"/>
        </w:numPr>
        <w:spacing w:after="120" w:line="360" w:lineRule="auto"/>
        <w:jc w:val="both"/>
        <w:rPr>
          <w:rFonts w:cs="FrankRuehl"/>
          <w:bCs/>
          <w:sz w:val="28"/>
          <w:szCs w:val="28"/>
          <w:rtl/>
        </w:rPr>
      </w:pPr>
      <w:r w:rsidRPr="00722C4C">
        <w:rPr>
          <w:rFonts w:cs="FrankRuehl" w:hint="cs"/>
          <w:sz w:val="28"/>
          <w:szCs w:val="28"/>
          <w:rtl/>
        </w:rPr>
        <w:t>הנאשם יבצע שירות לתועלת הציבור בהיקף של 180 שעות על-פי התכנית המוצעת בתסקיר שירות המבחן. שירות המבחן יפקח על עבודת הנאשם ויהיה רשאי לשנות את</w:t>
      </w:r>
      <w:bookmarkEnd w:id="0"/>
      <w:bookmarkEnd w:id="1"/>
      <w:r w:rsidR="008A1BEB">
        <w:rPr>
          <w:rFonts w:cs="FrankRuehl" w:hint="cs"/>
          <w:bCs/>
          <w:sz w:val="28"/>
          <w:szCs w:val="28"/>
          <w:rtl/>
        </w:rPr>
        <w:t xml:space="preserve"> </w:t>
      </w:r>
      <w:r w:rsidRPr="008A1BEB">
        <w:rPr>
          <w:rFonts w:cs="FrankRuehl"/>
          <w:b/>
          <w:sz w:val="28"/>
          <w:szCs w:val="28"/>
          <w:rtl/>
        </w:rPr>
        <w:t>מקום ההשמה במידת הצורך, ללא צו שיפוטי נוסף.</w:t>
      </w:r>
    </w:p>
    <w:p w14:paraId="63842C20" w14:textId="77777777" w:rsidR="00CA11F2" w:rsidRDefault="00CA11F2">
      <w:pPr>
        <w:spacing w:after="120" w:line="360" w:lineRule="auto"/>
        <w:jc w:val="both"/>
        <w:rPr>
          <w:rFonts w:cs="FrankRuehl"/>
          <w:sz w:val="28"/>
          <w:szCs w:val="28"/>
          <w:rtl/>
        </w:rPr>
      </w:pPr>
    </w:p>
    <w:p w14:paraId="609DC3B4" w14:textId="77777777" w:rsidR="00CA11F2" w:rsidRDefault="00722C4C">
      <w:pPr>
        <w:numPr>
          <w:ilvl w:val="0"/>
          <w:numId w:val="1"/>
        </w:numPr>
        <w:spacing w:after="120" w:line="360" w:lineRule="auto"/>
        <w:jc w:val="both"/>
        <w:rPr>
          <w:rFonts w:cs="FrankRuehl"/>
          <w:sz w:val="28"/>
          <w:szCs w:val="28"/>
        </w:rPr>
      </w:pPr>
      <w:r>
        <w:rPr>
          <w:rFonts w:cs="FrankRuehl" w:hint="cs"/>
          <w:sz w:val="28"/>
          <w:szCs w:val="28"/>
          <w:rtl/>
        </w:rPr>
        <w:t>הנאשם יהיה נתון לפיקוח קצין מבחן למשך שנה מהיום, וישתתף בכל תכנית טיפולית שיציע שירות המבחן וזאת כחלק מתנאי המבחן.</w:t>
      </w:r>
    </w:p>
    <w:p w14:paraId="1F69C8CD" w14:textId="77777777" w:rsidR="00CA11F2" w:rsidRDefault="00CA11F2">
      <w:pPr>
        <w:spacing w:after="120" w:line="360" w:lineRule="auto"/>
        <w:jc w:val="both"/>
        <w:rPr>
          <w:rFonts w:cs="FrankRuehl"/>
          <w:sz w:val="28"/>
          <w:szCs w:val="28"/>
          <w:rtl/>
        </w:rPr>
      </w:pPr>
    </w:p>
    <w:p w14:paraId="38493657" w14:textId="77777777" w:rsidR="00CA11F2" w:rsidRPr="008A1BEB" w:rsidRDefault="00722C4C">
      <w:pPr>
        <w:spacing w:after="120" w:line="360" w:lineRule="auto"/>
        <w:ind w:left="720"/>
        <w:jc w:val="both"/>
        <w:rPr>
          <w:rFonts w:cs="FrankRuehl"/>
          <w:sz w:val="28"/>
          <w:szCs w:val="28"/>
        </w:rPr>
      </w:pPr>
      <w:r w:rsidRPr="008A1BEB">
        <w:rPr>
          <w:rFonts w:cs="FrankRuehl" w:hint="cs"/>
          <w:sz w:val="28"/>
          <w:szCs w:val="28"/>
          <w:rtl/>
        </w:rPr>
        <w:t>הנאשם מוזהר שוב כי אם יפר את תנאי המבחן או את צו השל"צ תימסר הודעה על כך לבית-המשפט, אשר יהיה מוסמך לקיים דיון מחודש בגזר-הדין.</w:t>
      </w:r>
    </w:p>
    <w:p w14:paraId="6BB68796" w14:textId="77777777" w:rsidR="00CA11F2" w:rsidRDefault="00CA11F2">
      <w:pPr>
        <w:spacing w:after="160" w:line="254" w:lineRule="auto"/>
        <w:ind w:left="720"/>
        <w:rPr>
          <w:rFonts w:cs="FrankRuehl"/>
          <w:sz w:val="28"/>
          <w:szCs w:val="28"/>
        </w:rPr>
      </w:pPr>
    </w:p>
    <w:p w14:paraId="547C797B" w14:textId="77777777" w:rsidR="00CA11F2" w:rsidRDefault="00722C4C">
      <w:pPr>
        <w:numPr>
          <w:ilvl w:val="0"/>
          <w:numId w:val="1"/>
        </w:numPr>
        <w:spacing w:after="160" w:line="360" w:lineRule="auto"/>
        <w:jc w:val="both"/>
        <w:rPr>
          <w:rFonts w:cs="FrankRuehl"/>
          <w:sz w:val="28"/>
          <w:szCs w:val="28"/>
          <w:rtl/>
        </w:rPr>
      </w:pPr>
      <w:r>
        <w:rPr>
          <w:rFonts w:cs="FrankRuehl" w:hint="cs"/>
          <w:sz w:val="28"/>
          <w:szCs w:val="28"/>
          <w:rtl/>
        </w:rPr>
        <w:t>מאסר על-תנאי לתקופה של 6 חודשים למשך שלוש שנים מהיום. התנאי הוא שהנאשם לא יעבור כל עבירת סמים מסוג פשע.</w:t>
      </w:r>
    </w:p>
    <w:p w14:paraId="464D446A" w14:textId="77777777" w:rsidR="00CA11F2" w:rsidRDefault="00CA11F2">
      <w:pPr>
        <w:spacing w:line="360" w:lineRule="auto"/>
        <w:ind w:left="720"/>
        <w:jc w:val="both"/>
        <w:rPr>
          <w:rFonts w:cs="FrankRuehl"/>
          <w:sz w:val="28"/>
          <w:szCs w:val="28"/>
          <w:rtl/>
        </w:rPr>
      </w:pPr>
    </w:p>
    <w:p w14:paraId="1D468375" w14:textId="77777777" w:rsidR="00CA11F2" w:rsidRDefault="00722C4C">
      <w:pPr>
        <w:numPr>
          <w:ilvl w:val="0"/>
          <w:numId w:val="1"/>
        </w:numPr>
        <w:spacing w:after="120" w:line="360" w:lineRule="auto"/>
        <w:jc w:val="both"/>
        <w:rPr>
          <w:rFonts w:cs="FrankRuehl"/>
          <w:sz w:val="28"/>
          <w:szCs w:val="28"/>
        </w:rPr>
      </w:pPr>
      <w:r>
        <w:rPr>
          <w:rFonts w:cs="FrankRuehl" w:hint="cs"/>
          <w:sz w:val="28"/>
          <w:szCs w:val="28"/>
          <w:rtl/>
        </w:rPr>
        <w:t>מאסר על-תנאי לתקופה של 3 חודשים למשך שלוש שנים מהיום. התנאי הוא שהנאשם לא יעבור כל עבירת סמים מסוג עוון.</w:t>
      </w:r>
    </w:p>
    <w:p w14:paraId="352DD707" w14:textId="77777777" w:rsidR="00CA11F2" w:rsidRDefault="00CA11F2">
      <w:pPr>
        <w:spacing w:after="160" w:line="254" w:lineRule="auto"/>
        <w:ind w:left="720"/>
        <w:rPr>
          <w:rFonts w:cs="FrankRuehl"/>
          <w:sz w:val="28"/>
          <w:szCs w:val="28"/>
          <w:rtl/>
        </w:rPr>
      </w:pPr>
    </w:p>
    <w:p w14:paraId="3A9EF1DF" w14:textId="77777777" w:rsidR="00CA11F2" w:rsidRDefault="00722C4C">
      <w:pPr>
        <w:numPr>
          <w:ilvl w:val="0"/>
          <w:numId w:val="1"/>
        </w:numPr>
        <w:spacing w:after="120" w:line="360" w:lineRule="auto"/>
        <w:jc w:val="both"/>
        <w:rPr>
          <w:rFonts w:cs="FrankRuehl"/>
          <w:sz w:val="28"/>
          <w:szCs w:val="28"/>
        </w:rPr>
      </w:pPr>
      <w:r>
        <w:rPr>
          <w:rFonts w:cs="FrankRuehl" w:hint="cs"/>
          <w:sz w:val="28"/>
          <w:szCs w:val="28"/>
          <w:rtl/>
        </w:rPr>
        <w:t>ככל שנתפסו סמים, יש להשמידם.</w:t>
      </w:r>
    </w:p>
    <w:p w14:paraId="7EB1D90A" w14:textId="77777777" w:rsidR="00CA11F2" w:rsidRDefault="00722C4C">
      <w:pPr>
        <w:spacing w:after="200" w:line="360" w:lineRule="auto"/>
        <w:jc w:val="both"/>
        <w:rPr>
          <w:rtl/>
        </w:rPr>
      </w:pPr>
      <w:r>
        <w:rPr>
          <w:rFonts w:hint="cs"/>
          <w:rtl/>
        </w:rPr>
        <w:tab/>
      </w:r>
    </w:p>
    <w:p w14:paraId="07E05D75" w14:textId="77777777" w:rsidR="00CA11F2" w:rsidRDefault="00722C4C">
      <w:pPr>
        <w:spacing w:after="200" w:line="360" w:lineRule="auto"/>
        <w:jc w:val="both"/>
        <w:rPr>
          <w:rFonts w:cs="FrankRuehl"/>
          <w:b/>
          <w:bCs/>
          <w:sz w:val="28"/>
          <w:szCs w:val="28"/>
          <w:rtl/>
        </w:rPr>
      </w:pPr>
      <w:r>
        <w:rPr>
          <w:rFonts w:ascii="Calibri" w:hAnsi="Calibri" w:cs="FrankRuehl" w:hint="cs"/>
          <w:b/>
          <w:bCs/>
          <w:sz w:val="28"/>
          <w:szCs w:val="28"/>
          <w:rtl/>
        </w:rPr>
        <w:tab/>
        <w:t>המזכירות תמציא העתק גזר הדין לשירות המבחן למבוגרים.</w:t>
      </w:r>
      <w:r>
        <w:rPr>
          <w:rFonts w:cs="FrankRuehl" w:hint="cs"/>
          <w:b/>
          <w:bCs/>
          <w:sz w:val="28"/>
          <w:szCs w:val="28"/>
          <w:rtl/>
        </w:rPr>
        <w:t xml:space="preserve"> </w:t>
      </w:r>
    </w:p>
    <w:p w14:paraId="456DF8B1" w14:textId="77777777" w:rsidR="00CA11F2" w:rsidRPr="00722C4C" w:rsidRDefault="00722C4C">
      <w:pPr>
        <w:spacing w:after="200" w:line="360" w:lineRule="auto"/>
        <w:jc w:val="both"/>
        <w:rPr>
          <w:rFonts w:cs="FrankRuehl"/>
          <w:b/>
          <w:bCs/>
          <w:color w:val="FFFFFF"/>
          <w:sz w:val="2"/>
          <w:szCs w:val="2"/>
          <w:rtl/>
        </w:rPr>
      </w:pPr>
      <w:r w:rsidRPr="00722C4C">
        <w:rPr>
          <w:rFonts w:cs="FrankRuehl"/>
          <w:b/>
          <w:bCs/>
          <w:color w:val="FFFFFF"/>
          <w:sz w:val="2"/>
          <w:szCs w:val="2"/>
          <w:rtl/>
        </w:rPr>
        <w:t>5129371</w:t>
      </w:r>
    </w:p>
    <w:p w14:paraId="26EA7811" w14:textId="77777777" w:rsidR="00CA11F2" w:rsidRDefault="00722C4C">
      <w:pPr>
        <w:spacing w:after="200" w:line="360" w:lineRule="auto"/>
        <w:jc w:val="both"/>
        <w:rPr>
          <w:rFonts w:ascii="Calibri" w:hAnsi="Calibri" w:cs="FrankRuehl"/>
          <w:b/>
          <w:bCs/>
          <w:sz w:val="28"/>
          <w:szCs w:val="28"/>
          <w:rtl/>
        </w:rPr>
      </w:pPr>
      <w:r w:rsidRPr="00722C4C">
        <w:rPr>
          <w:rFonts w:cs="FrankRuehl"/>
          <w:b/>
          <w:bCs/>
          <w:color w:val="FFFFFF"/>
          <w:sz w:val="2"/>
          <w:szCs w:val="2"/>
          <w:rtl/>
        </w:rPr>
        <w:t>54678313</w:t>
      </w:r>
      <w:r>
        <w:rPr>
          <w:rFonts w:cs="FrankRuehl" w:hint="cs"/>
          <w:b/>
          <w:bCs/>
          <w:sz w:val="28"/>
          <w:szCs w:val="28"/>
          <w:rtl/>
        </w:rPr>
        <w:tab/>
        <w:t>זכות ערעור לבית המשפט המחוזי תוך 45 ימים מהיום.</w:t>
      </w:r>
    </w:p>
    <w:p w14:paraId="0C0CEEE2" w14:textId="77777777" w:rsidR="00CA11F2" w:rsidRDefault="00CA11F2">
      <w:pPr>
        <w:rPr>
          <w:rFonts w:cs="FrankRuehl"/>
          <w:sz w:val="28"/>
          <w:szCs w:val="28"/>
          <w:rtl/>
        </w:rPr>
      </w:pPr>
    </w:p>
    <w:p w14:paraId="67350B3F" w14:textId="77777777" w:rsidR="00CA11F2" w:rsidRDefault="00722C4C">
      <w:pPr>
        <w:rPr>
          <w:rFonts w:cs="FrankRuehl"/>
          <w:sz w:val="28"/>
          <w:szCs w:val="28"/>
          <w:rtl/>
        </w:rPr>
      </w:pPr>
      <w:r>
        <w:rPr>
          <w:rFonts w:ascii="Arial" w:hAnsi="Arial" w:cs="FrankRuehl"/>
          <w:sz w:val="28"/>
          <w:szCs w:val="28"/>
          <w:rtl/>
        </w:rPr>
        <w:t xml:space="preserve">ניתן היום, כ' כסלו תשע"ו, 02 דצמבר 2015, במעמד הצדדים. </w:t>
      </w:r>
    </w:p>
    <w:p w14:paraId="78FD6419" w14:textId="77777777" w:rsidR="00CA11F2" w:rsidRDefault="00CA11F2">
      <w:pPr>
        <w:jc w:val="right"/>
      </w:pPr>
    </w:p>
    <w:p w14:paraId="2BF608B9" w14:textId="77777777" w:rsidR="00CA11F2" w:rsidRDefault="00CA11F2">
      <w:pPr>
        <w:jc w:val="right"/>
        <w:rPr>
          <w:rFonts w:ascii="Arial" w:hAnsi="Arial" w:cs="FrankRuehl"/>
          <w:sz w:val="28"/>
          <w:szCs w:val="28"/>
          <w:rtl/>
        </w:rPr>
      </w:pPr>
    </w:p>
    <w:p w14:paraId="18B95B94" w14:textId="77777777" w:rsidR="00722C4C" w:rsidRPr="00722C4C" w:rsidRDefault="00722C4C" w:rsidP="00722C4C">
      <w:pPr>
        <w:keepNext/>
        <w:rPr>
          <w:rFonts w:ascii="David" w:hAnsi="David"/>
          <w:color w:val="000000"/>
          <w:sz w:val="22"/>
          <w:szCs w:val="22"/>
          <w:rtl/>
        </w:rPr>
      </w:pPr>
    </w:p>
    <w:p w14:paraId="19FB035A" w14:textId="77777777" w:rsidR="00722C4C" w:rsidRPr="00722C4C" w:rsidRDefault="00722C4C" w:rsidP="00722C4C">
      <w:pPr>
        <w:keepNext/>
        <w:rPr>
          <w:rFonts w:ascii="David" w:hAnsi="David"/>
          <w:color w:val="000000"/>
          <w:sz w:val="22"/>
          <w:szCs w:val="22"/>
          <w:rtl/>
        </w:rPr>
      </w:pPr>
      <w:r w:rsidRPr="00722C4C">
        <w:rPr>
          <w:rFonts w:ascii="David" w:hAnsi="David"/>
          <w:color w:val="000000"/>
          <w:sz w:val="22"/>
          <w:szCs w:val="22"/>
          <w:rtl/>
        </w:rPr>
        <w:t>דנה כהן לקח 54678313</w:t>
      </w:r>
    </w:p>
    <w:p w14:paraId="4DBC4B37" w14:textId="77777777" w:rsidR="00722C4C" w:rsidRDefault="00722C4C" w:rsidP="00722C4C">
      <w:r w:rsidRPr="00722C4C">
        <w:rPr>
          <w:color w:val="000000"/>
          <w:rtl/>
        </w:rPr>
        <w:t>נוסח מסמך זה כפוף לשינויי ניסוח ועריכה</w:t>
      </w:r>
    </w:p>
    <w:p w14:paraId="4B9E6DAC" w14:textId="77777777" w:rsidR="00722C4C" w:rsidRDefault="00722C4C" w:rsidP="00722C4C">
      <w:pPr>
        <w:rPr>
          <w:rtl/>
        </w:rPr>
      </w:pPr>
    </w:p>
    <w:p w14:paraId="17E24085" w14:textId="77777777" w:rsidR="00722C4C" w:rsidRDefault="00722C4C" w:rsidP="00722C4C">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5DD1EA68" w14:textId="77777777" w:rsidR="00CA11F2" w:rsidRPr="00722C4C" w:rsidRDefault="00CA11F2" w:rsidP="00722C4C">
      <w:pPr>
        <w:jc w:val="center"/>
        <w:rPr>
          <w:color w:val="0000FF"/>
          <w:u w:val="single"/>
        </w:rPr>
      </w:pPr>
    </w:p>
    <w:sectPr w:rsidR="00CA11F2" w:rsidRPr="00722C4C" w:rsidSect="00722C4C">
      <w:headerReference w:type="even" r:id="rId55"/>
      <w:headerReference w:type="default" r:id="rId56"/>
      <w:footerReference w:type="even" r:id="rId57"/>
      <w:footerReference w:type="default" r:id="rId58"/>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056D5" w14:textId="77777777" w:rsidR="0064228A" w:rsidRDefault="0064228A">
      <w:r>
        <w:separator/>
      </w:r>
    </w:p>
  </w:endnote>
  <w:endnote w:type="continuationSeparator" w:id="0">
    <w:p w14:paraId="0BDB47D9" w14:textId="77777777" w:rsidR="0064228A" w:rsidRDefault="00642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CA3E3" w14:textId="77777777" w:rsidR="008725DC" w:rsidRDefault="008725DC" w:rsidP="00722C4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5317F562" w14:textId="77777777" w:rsidR="008725DC" w:rsidRPr="00722C4C" w:rsidRDefault="008725DC" w:rsidP="00722C4C">
    <w:pPr>
      <w:pStyle w:val="a4"/>
      <w:pBdr>
        <w:top w:val="single" w:sz="4" w:space="1" w:color="auto"/>
        <w:between w:val="single" w:sz="4" w:space="0" w:color="auto"/>
      </w:pBdr>
      <w:spacing w:after="60"/>
      <w:jc w:val="center"/>
      <w:rPr>
        <w:rFonts w:ascii="FrankRuehl" w:hAnsi="FrankRuehl" w:cs="FrankRuehl"/>
        <w:color w:val="000000"/>
      </w:rPr>
    </w:pPr>
    <w:r w:rsidRPr="00722C4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DA7B2" w14:textId="77777777" w:rsidR="008725DC" w:rsidRDefault="008725DC" w:rsidP="00722C4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5275">
      <w:rPr>
        <w:rFonts w:ascii="FrankRuehl" w:hAnsi="FrankRuehl" w:cs="FrankRuehl"/>
        <w:noProof/>
        <w:rtl/>
      </w:rPr>
      <w:t>1</w:t>
    </w:r>
    <w:r>
      <w:rPr>
        <w:rFonts w:ascii="FrankRuehl" w:hAnsi="FrankRuehl" w:cs="FrankRuehl"/>
        <w:rtl/>
      </w:rPr>
      <w:fldChar w:fldCharType="end"/>
    </w:r>
  </w:p>
  <w:p w14:paraId="00971FC0" w14:textId="77777777" w:rsidR="008725DC" w:rsidRPr="00722C4C" w:rsidRDefault="008725DC" w:rsidP="00722C4C">
    <w:pPr>
      <w:pStyle w:val="a4"/>
      <w:pBdr>
        <w:top w:val="single" w:sz="4" w:space="1" w:color="auto"/>
        <w:between w:val="single" w:sz="4" w:space="0" w:color="auto"/>
      </w:pBdr>
      <w:spacing w:after="60"/>
      <w:jc w:val="center"/>
      <w:rPr>
        <w:rFonts w:ascii="FrankRuehl" w:hAnsi="FrankRuehl" w:cs="FrankRuehl"/>
        <w:color w:val="000000"/>
      </w:rPr>
    </w:pPr>
    <w:r w:rsidRPr="00722C4C">
      <w:rPr>
        <w:rFonts w:ascii="FrankRuehl" w:hAnsi="FrankRuehl" w:cs="FrankRuehl"/>
        <w:color w:val="000000"/>
      </w:rPr>
      <w:pict w14:anchorId="437AC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845AF" w14:textId="77777777" w:rsidR="0064228A" w:rsidRDefault="0064228A">
      <w:r>
        <w:separator/>
      </w:r>
    </w:p>
  </w:footnote>
  <w:footnote w:type="continuationSeparator" w:id="0">
    <w:p w14:paraId="4BA711DD" w14:textId="77777777" w:rsidR="0064228A" w:rsidRDefault="00642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B538B" w14:textId="77777777" w:rsidR="008725DC" w:rsidRPr="00722C4C" w:rsidRDefault="008725DC" w:rsidP="00722C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17917-05-14</w:t>
    </w:r>
    <w:r>
      <w:rPr>
        <w:rFonts w:ascii="David" w:hAnsi="David"/>
        <w:color w:val="000000"/>
        <w:sz w:val="22"/>
        <w:szCs w:val="22"/>
        <w:rtl/>
      </w:rPr>
      <w:tab/>
      <w:t xml:space="preserve"> מדינת ישראל נ' דן מדינה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4E442" w14:textId="77777777" w:rsidR="008725DC" w:rsidRPr="00722C4C" w:rsidRDefault="008725DC" w:rsidP="00722C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17917-05-14</w:t>
    </w:r>
    <w:r>
      <w:rPr>
        <w:rFonts w:ascii="David" w:hAnsi="David"/>
        <w:color w:val="000000"/>
        <w:sz w:val="22"/>
        <w:szCs w:val="22"/>
        <w:rtl/>
      </w:rPr>
      <w:tab/>
      <w:t xml:space="preserve"> מדינת ישראל נ' דן מדינה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D47FC"/>
    <w:multiLevelType w:val="hybridMultilevel"/>
    <w:tmpl w:val="B322A5B6"/>
    <w:lvl w:ilvl="0" w:tplc="23525538">
      <w:start w:val="1"/>
      <w:numFmt w:val="hebrew1"/>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0098691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11F2"/>
    <w:rsid w:val="000533D4"/>
    <w:rsid w:val="0005366F"/>
    <w:rsid w:val="0032156C"/>
    <w:rsid w:val="003E2E0E"/>
    <w:rsid w:val="0064228A"/>
    <w:rsid w:val="00722C4C"/>
    <w:rsid w:val="008725DC"/>
    <w:rsid w:val="008A1BEB"/>
    <w:rsid w:val="00AC0B40"/>
    <w:rsid w:val="00BD08AA"/>
    <w:rsid w:val="00CA11F2"/>
    <w:rsid w:val="00ED52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9C6DDE0"/>
  <w15:chartTrackingRefBased/>
  <w15:docId w15:val="{F05BD08E-CBB9-4ABD-B258-88E30F51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11F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A11F2"/>
    <w:pPr>
      <w:tabs>
        <w:tab w:val="center" w:pos="4153"/>
        <w:tab w:val="right" w:pos="8306"/>
      </w:tabs>
    </w:pPr>
  </w:style>
  <w:style w:type="paragraph" w:styleId="a4">
    <w:name w:val="footer"/>
    <w:basedOn w:val="a"/>
    <w:rsid w:val="00CA11F2"/>
    <w:pPr>
      <w:tabs>
        <w:tab w:val="center" w:pos="4153"/>
        <w:tab w:val="right" w:pos="8306"/>
      </w:tabs>
    </w:pPr>
  </w:style>
  <w:style w:type="character" w:styleId="a5">
    <w:name w:val="page number"/>
    <w:basedOn w:val="a0"/>
    <w:rsid w:val="00CA11F2"/>
  </w:style>
  <w:style w:type="character" w:styleId="Hyperlink">
    <w:name w:val="Hyperlink"/>
    <w:rsid w:val="00722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225"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case/5314067" TargetMode="External"/><Relationship Id="rId39" Type="http://schemas.openxmlformats.org/officeDocument/2006/relationships/hyperlink" Target="http://www.nevo.co.il/case/8291661"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16938303" TargetMode="External"/><Relationship Id="rId47" Type="http://schemas.openxmlformats.org/officeDocument/2006/relationships/hyperlink" Target="http://www.nevo.co.il/case/7986473" TargetMode="External"/><Relationship Id="rId50" Type="http://schemas.openxmlformats.org/officeDocument/2006/relationships/hyperlink" Target="http://www.nevo.co.il/law/70301/40ja"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9" Type="http://schemas.openxmlformats.org/officeDocument/2006/relationships/hyperlink" Target="http://www.nevo.co.il/law/71913/28" TargetMode="External"/><Relationship Id="rId11" Type="http://schemas.openxmlformats.org/officeDocument/2006/relationships/hyperlink" Target="http://www.nevo.co.il/law/71913/19" TargetMode="External"/><Relationship Id="rId24" Type="http://schemas.openxmlformats.org/officeDocument/2006/relationships/hyperlink" Target="http://www.nevo.co.il/case/16938303" TargetMode="External"/><Relationship Id="rId32" Type="http://schemas.openxmlformats.org/officeDocument/2006/relationships/hyperlink" Target="http://www.nevo.co.il/law/72225" TargetMode="External"/><Relationship Id="rId37" Type="http://schemas.openxmlformats.org/officeDocument/2006/relationships/hyperlink" Target="http://www.nevo.co.il/case/20111708" TargetMode="External"/><Relationship Id="rId40" Type="http://schemas.openxmlformats.org/officeDocument/2006/relationships/hyperlink" Target="http://www.nevo.co.il/case/17045282" TargetMode="External"/><Relationship Id="rId45" Type="http://schemas.openxmlformats.org/officeDocument/2006/relationships/hyperlink" Target="http://www.nevo.co.il/case/3888303" TargetMode="External"/><Relationship Id="rId53" Type="http://schemas.openxmlformats.org/officeDocument/2006/relationships/hyperlink" Target="http://www.nevo.co.il/law/70301"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40jc.a"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72225/12" TargetMode="External"/><Relationship Id="rId22" Type="http://schemas.openxmlformats.org/officeDocument/2006/relationships/hyperlink" Target="http://www.nevo.co.il/law/4216/10" TargetMode="External"/><Relationship Id="rId27" Type="http://schemas.openxmlformats.org/officeDocument/2006/relationships/hyperlink" Target="http://www.nevo.co.il/case/5611948" TargetMode="External"/><Relationship Id="rId30" Type="http://schemas.openxmlformats.org/officeDocument/2006/relationships/hyperlink" Target="http://www.nevo.co.il/law/71913" TargetMode="External"/><Relationship Id="rId35" Type="http://schemas.openxmlformats.org/officeDocument/2006/relationships/hyperlink" Target="http://www.nevo.co.il/law/70301/40c.a" TargetMode="External"/><Relationship Id="rId43" Type="http://schemas.openxmlformats.org/officeDocument/2006/relationships/hyperlink" Target="http://www.nevo.co.il/case/4213217" TargetMode="External"/><Relationship Id="rId48" Type="http://schemas.openxmlformats.org/officeDocument/2006/relationships/hyperlink" Target="http://www.nevo.co.il/case/7935026" TargetMode="External"/><Relationship Id="rId56"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1913/28" TargetMode="External"/><Relationship Id="rId17" Type="http://schemas.openxmlformats.org/officeDocument/2006/relationships/hyperlink" Target="http://www.nevo.co.il/law/70301/40d.a" TargetMode="External"/><Relationship Id="rId25" Type="http://schemas.openxmlformats.org/officeDocument/2006/relationships/hyperlink" Target="http://www.nevo.co.il/case/4213217" TargetMode="External"/><Relationship Id="rId33" Type="http://schemas.openxmlformats.org/officeDocument/2006/relationships/hyperlink" Target="http://www.nevo.co.il/law/70301/40jc.a" TargetMode="External"/><Relationship Id="rId38" Type="http://schemas.openxmlformats.org/officeDocument/2006/relationships/hyperlink" Target="http://www.nevo.co.il/case/10459111" TargetMode="External"/><Relationship Id="rId46" Type="http://schemas.openxmlformats.org/officeDocument/2006/relationships/hyperlink" Target="http://www.nevo.co.il/case/3834525" TargetMode="External"/><Relationship Id="rId59" Type="http://schemas.openxmlformats.org/officeDocument/2006/relationships/fontTable" Target="fontTable.xml"/><Relationship Id="rId20" Type="http://schemas.openxmlformats.org/officeDocument/2006/relationships/hyperlink" Target="http://www.nevo.co.il/law/4216/6" TargetMode="External"/><Relationship Id="rId41" Type="http://schemas.openxmlformats.org/officeDocument/2006/relationships/hyperlink" Target="http://www.nevo.co.il/case/17096154"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810781" TargetMode="External"/><Relationship Id="rId28" Type="http://schemas.openxmlformats.org/officeDocument/2006/relationships/hyperlink" Target="http://www.nevo.co.il/law/71913/19"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373884" TargetMode="External"/><Relationship Id="rId57" Type="http://schemas.openxmlformats.org/officeDocument/2006/relationships/footer" Target="footer1.xml"/><Relationship Id="rId10" Type="http://schemas.openxmlformats.org/officeDocument/2006/relationships/hyperlink" Target="http://www.nevo.co.il/law/71913" TargetMode="External"/><Relationship Id="rId31" Type="http://schemas.openxmlformats.org/officeDocument/2006/relationships/hyperlink" Target="http://www.nevo.co.il/law/72225/12" TargetMode="External"/><Relationship Id="rId44" Type="http://schemas.openxmlformats.org/officeDocument/2006/relationships/hyperlink" Target="http://www.nevo.co.il/case/5079155" TargetMode="External"/><Relationship Id="rId52" Type="http://schemas.openxmlformats.org/officeDocument/2006/relationships/hyperlink" Target="http://www.nevo.co.il/law/70301/40d.a"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3829</Words>
  <Characters>19150</Characters>
  <Application>Microsoft Office Word</Application>
  <DocSecurity>0</DocSecurity>
  <Lines>159</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22934</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4915205</vt:i4>
      </vt:variant>
      <vt:variant>
        <vt:i4>135</vt:i4>
      </vt:variant>
      <vt:variant>
        <vt:i4>0</vt:i4>
      </vt:variant>
      <vt:variant>
        <vt:i4>5</vt:i4>
      </vt:variant>
      <vt:variant>
        <vt:lpwstr>http://www.nevo.co.il/law/70301/40d.a</vt:lpwstr>
      </vt:variant>
      <vt:variant>
        <vt:lpwstr/>
      </vt:variant>
      <vt:variant>
        <vt:i4>7995492</vt:i4>
      </vt:variant>
      <vt:variant>
        <vt:i4>132</vt:i4>
      </vt:variant>
      <vt:variant>
        <vt:i4>0</vt:i4>
      </vt:variant>
      <vt:variant>
        <vt:i4>5</vt:i4>
      </vt:variant>
      <vt:variant>
        <vt:lpwstr>http://www.nevo.co.il/law/70301</vt:lpwstr>
      </vt:variant>
      <vt:variant>
        <vt:lpwstr/>
      </vt:variant>
      <vt:variant>
        <vt:i4>262155</vt:i4>
      </vt:variant>
      <vt:variant>
        <vt:i4>129</vt:i4>
      </vt:variant>
      <vt:variant>
        <vt:i4>0</vt:i4>
      </vt:variant>
      <vt:variant>
        <vt:i4>5</vt:i4>
      </vt:variant>
      <vt:variant>
        <vt:lpwstr>http://www.nevo.co.il/law/70301/40ja</vt:lpwstr>
      </vt:variant>
      <vt:variant>
        <vt:lpwstr/>
      </vt:variant>
      <vt:variant>
        <vt:i4>3735676</vt:i4>
      </vt:variant>
      <vt:variant>
        <vt:i4>126</vt:i4>
      </vt:variant>
      <vt:variant>
        <vt:i4>0</vt:i4>
      </vt:variant>
      <vt:variant>
        <vt:i4>5</vt:i4>
      </vt:variant>
      <vt:variant>
        <vt:lpwstr>http://www.nevo.co.il/case/2373884</vt:lpwstr>
      </vt:variant>
      <vt:variant>
        <vt:lpwstr/>
      </vt:variant>
      <vt:variant>
        <vt:i4>3276922</vt:i4>
      </vt:variant>
      <vt:variant>
        <vt:i4>123</vt:i4>
      </vt:variant>
      <vt:variant>
        <vt:i4>0</vt:i4>
      </vt:variant>
      <vt:variant>
        <vt:i4>5</vt:i4>
      </vt:variant>
      <vt:variant>
        <vt:lpwstr>http://www.nevo.co.il/case/7935026</vt:lpwstr>
      </vt:variant>
      <vt:variant>
        <vt:lpwstr/>
      </vt:variant>
      <vt:variant>
        <vt:i4>3670140</vt:i4>
      </vt:variant>
      <vt:variant>
        <vt:i4>120</vt:i4>
      </vt:variant>
      <vt:variant>
        <vt:i4>0</vt:i4>
      </vt:variant>
      <vt:variant>
        <vt:i4>5</vt:i4>
      </vt:variant>
      <vt:variant>
        <vt:lpwstr>http://www.nevo.co.il/case/7986473</vt:lpwstr>
      </vt:variant>
      <vt:variant>
        <vt:lpwstr/>
      </vt:variant>
      <vt:variant>
        <vt:i4>3145850</vt:i4>
      </vt:variant>
      <vt:variant>
        <vt:i4>117</vt:i4>
      </vt:variant>
      <vt:variant>
        <vt:i4>0</vt:i4>
      </vt:variant>
      <vt:variant>
        <vt:i4>5</vt:i4>
      </vt:variant>
      <vt:variant>
        <vt:lpwstr>http://www.nevo.co.il/case/3834525</vt:lpwstr>
      </vt:variant>
      <vt:variant>
        <vt:lpwstr/>
      </vt:variant>
      <vt:variant>
        <vt:i4>3866740</vt:i4>
      </vt:variant>
      <vt:variant>
        <vt:i4>114</vt:i4>
      </vt:variant>
      <vt:variant>
        <vt:i4>0</vt:i4>
      </vt:variant>
      <vt:variant>
        <vt:i4>5</vt:i4>
      </vt:variant>
      <vt:variant>
        <vt:lpwstr>http://www.nevo.co.il/case/3888303</vt:lpwstr>
      </vt:variant>
      <vt:variant>
        <vt:lpwstr/>
      </vt:variant>
      <vt:variant>
        <vt:i4>3539064</vt:i4>
      </vt:variant>
      <vt:variant>
        <vt:i4>111</vt:i4>
      </vt:variant>
      <vt:variant>
        <vt:i4>0</vt:i4>
      </vt:variant>
      <vt:variant>
        <vt:i4>5</vt:i4>
      </vt:variant>
      <vt:variant>
        <vt:lpwstr>http://www.nevo.co.il/case/5079155</vt:lpwstr>
      </vt:variant>
      <vt:variant>
        <vt:lpwstr/>
      </vt:variant>
      <vt:variant>
        <vt:i4>3145844</vt:i4>
      </vt:variant>
      <vt:variant>
        <vt:i4>108</vt:i4>
      </vt:variant>
      <vt:variant>
        <vt:i4>0</vt:i4>
      </vt:variant>
      <vt:variant>
        <vt:i4>5</vt:i4>
      </vt:variant>
      <vt:variant>
        <vt:lpwstr>http://www.nevo.co.il/case/4213217</vt:lpwstr>
      </vt:variant>
      <vt:variant>
        <vt:lpwstr/>
      </vt:variant>
      <vt:variant>
        <vt:i4>3145842</vt:i4>
      </vt:variant>
      <vt:variant>
        <vt:i4>105</vt:i4>
      </vt:variant>
      <vt:variant>
        <vt:i4>0</vt:i4>
      </vt:variant>
      <vt:variant>
        <vt:i4>5</vt:i4>
      </vt:variant>
      <vt:variant>
        <vt:lpwstr>http://www.nevo.co.il/case/16938303</vt:lpwstr>
      </vt:variant>
      <vt:variant>
        <vt:lpwstr/>
      </vt:variant>
      <vt:variant>
        <vt:i4>3276923</vt:i4>
      </vt:variant>
      <vt:variant>
        <vt:i4>102</vt:i4>
      </vt:variant>
      <vt:variant>
        <vt:i4>0</vt:i4>
      </vt:variant>
      <vt:variant>
        <vt:i4>5</vt:i4>
      </vt:variant>
      <vt:variant>
        <vt:lpwstr>http://www.nevo.co.il/case/17096154</vt:lpwstr>
      </vt:variant>
      <vt:variant>
        <vt:lpwstr/>
      </vt:variant>
      <vt:variant>
        <vt:i4>3932277</vt:i4>
      </vt:variant>
      <vt:variant>
        <vt:i4>99</vt:i4>
      </vt:variant>
      <vt:variant>
        <vt:i4>0</vt:i4>
      </vt:variant>
      <vt:variant>
        <vt:i4>5</vt:i4>
      </vt:variant>
      <vt:variant>
        <vt:lpwstr>http://www.nevo.co.il/case/17045282</vt:lpwstr>
      </vt:variant>
      <vt:variant>
        <vt:lpwstr/>
      </vt:variant>
      <vt:variant>
        <vt:i4>3539057</vt:i4>
      </vt:variant>
      <vt:variant>
        <vt:i4>96</vt:i4>
      </vt:variant>
      <vt:variant>
        <vt:i4>0</vt:i4>
      </vt:variant>
      <vt:variant>
        <vt:i4>5</vt:i4>
      </vt:variant>
      <vt:variant>
        <vt:lpwstr>http://www.nevo.co.il/case/8291661</vt:lpwstr>
      </vt:variant>
      <vt:variant>
        <vt:lpwstr/>
      </vt:variant>
      <vt:variant>
        <vt:i4>3997808</vt:i4>
      </vt:variant>
      <vt:variant>
        <vt:i4>93</vt:i4>
      </vt:variant>
      <vt:variant>
        <vt:i4>0</vt:i4>
      </vt:variant>
      <vt:variant>
        <vt:i4>5</vt:i4>
      </vt:variant>
      <vt:variant>
        <vt:lpwstr>http://www.nevo.co.il/case/10459111</vt:lpwstr>
      </vt:variant>
      <vt:variant>
        <vt:lpwstr/>
      </vt:variant>
      <vt:variant>
        <vt:i4>3276914</vt:i4>
      </vt:variant>
      <vt:variant>
        <vt:i4>90</vt:i4>
      </vt:variant>
      <vt:variant>
        <vt:i4>0</vt:i4>
      </vt:variant>
      <vt:variant>
        <vt:i4>5</vt:i4>
      </vt:variant>
      <vt:variant>
        <vt:lpwstr>http://www.nevo.co.il/case/20111708</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4915202</vt:i4>
      </vt:variant>
      <vt:variant>
        <vt:i4>84</vt:i4>
      </vt:variant>
      <vt:variant>
        <vt:i4>0</vt:i4>
      </vt:variant>
      <vt:variant>
        <vt:i4>5</vt:i4>
      </vt:variant>
      <vt:variant>
        <vt:lpwstr>http://www.nevo.co.il/law/70301/40c.a</vt:lpwstr>
      </vt:variant>
      <vt:variant>
        <vt:lpwstr/>
      </vt:variant>
      <vt:variant>
        <vt:i4>7995492</vt:i4>
      </vt:variant>
      <vt:variant>
        <vt:i4>81</vt:i4>
      </vt:variant>
      <vt:variant>
        <vt:i4>0</vt:i4>
      </vt:variant>
      <vt:variant>
        <vt:i4>5</vt:i4>
      </vt:variant>
      <vt:variant>
        <vt:lpwstr>http://www.nevo.co.il/law/70301</vt:lpwstr>
      </vt:variant>
      <vt:variant>
        <vt:lpwstr/>
      </vt:variant>
      <vt:variant>
        <vt:i4>6750245</vt:i4>
      </vt:variant>
      <vt:variant>
        <vt:i4>78</vt:i4>
      </vt:variant>
      <vt:variant>
        <vt:i4>0</vt:i4>
      </vt:variant>
      <vt:variant>
        <vt:i4>5</vt:i4>
      </vt:variant>
      <vt:variant>
        <vt:lpwstr>http://www.nevo.co.il/law/70301/40jc.a</vt:lpwstr>
      </vt:variant>
      <vt:variant>
        <vt:lpwstr/>
      </vt:variant>
      <vt:variant>
        <vt:i4>7995493</vt:i4>
      </vt:variant>
      <vt:variant>
        <vt:i4>75</vt:i4>
      </vt:variant>
      <vt:variant>
        <vt:i4>0</vt:i4>
      </vt:variant>
      <vt:variant>
        <vt:i4>5</vt:i4>
      </vt:variant>
      <vt:variant>
        <vt:lpwstr>http://www.nevo.co.il/law/72225</vt:lpwstr>
      </vt:variant>
      <vt:variant>
        <vt:lpwstr/>
      </vt:variant>
      <vt:variant>
        <vt:i4>6750305</vt:i4>
      </vt:variant>
      <vt:variant>
        <vt:i4>72</vt:i4>
      </vt:variant>
      <vt:variant>
        <vt:i4>0</vt:i4>
      </vt:variant>
      <vt:variant>
        <vt:i4>5</vt:i4>
      </vt:variant>
      <vt:variant>
        <vt:lpwstr>http://www.nevo.co.il/law/72225/12</vt:lpwstr>
      </vt:variant>
      <vt:variant>
        <vt:lpwstr/>
      </vt:variant>
      <vt:variant>
        <vt:i4>7995502</vt:i4>
      </vt:variant>
      <vt:variant>
        <vt:i4>69</vt:i4>
      </vt:variant>
      <vt:variant>
        <vt:i4>0</vt:i4>
      </vt:variant>
      <vt:variant>
        <vt:i4>5</vt:i4>
      </vt:variant>
      <vt:variant>
        <vt:lpwstr>http://www.nevo.co.il/law/71913</vt:lpwstr>
      </vt:variant>
      <vt:variant>
        <vt:lpwstr/>
      </vt:variant>
      <vt:variant>
        <vt:i4>7143535</vt:i4>
      </vt:variant>
      <vt:variant>
        <vt:i4>66</vt:i4>
      </vt:variant>
      <vt:variant>
        <vt:i4>0</vt:i4>
      </vt:variant>
      <vt:variant>
        <vt:i4>5</vt:i4>
      </vt:variant>
      <vt:variant>
        <vt:lpwstr>http://www.nevo.co.il/law/71913/28</vt:lpwstr>
      </vt:variant>
      <vt:variant>
        <vt:lpwstr/>
      </vt:variant>
      <vt:variant>
        <vt:i4>7077996</vt:i4>
      </vt:variant>
      <vt:variant>
        <vt:i4>63</vt:i4>
      </vt:variant>
      <vt:variant>
        <vt:i4>0</vt:i4>
      </vt:variant>
      <vt:variant>
        <vt:i4>5</vt:i4>
      </vt:variant>
      <vt:variant>
        <vt:lpwstr>http://www.nevo.co.il/law/71913/19</vt:lpwstr>
      </vt:variant>
      <vt:variant>
        <vt:lpwstr/>
      </vt:variant>
      <vt:variant>
        <vt:i4>3473527</vt:i4>
      </vt:variant>
      <vt:variant>
        <vt:i4>60</vt:i4>
      </vt:variant>
      <vt:variant>
        <vt:i4>0</vt:i4>
      </vt:variant>
      <vt:variant>
        <vt:i4>5</vt:i4>
      </vt:variant>
      <vt:variant>
        <vt:lpwstr>http://www.nevo.co.il/case/5611948</vt:lpwstr>
      </vt:variant>
      <vt:variant>
        <vt:lpwstr/>
      </vt:variant>
      <vt:variant>
        <vt:i4>3342453</vt:i4>
      </vt:variant>
      <vt:variant>
        <vt:i4>57</vt:i4>
      </vt:variant>
      <vt:variant>
        <vt:i4>0</vt:i4>
      </vt:variant>
      <vt:variant>
        <vt:i4>5</vt:i4>
      </vt:variant>
      <vt:variant>
        <vt:lpwstr>http://www.nevo.co.il/case/5314067</vt:lpwstr>
      </vt:variant>
      <vt:variant>
        <vt:lpwstr/>
      </vt:variant>
      <vt:variant>
        <vt:i4>3145844</vt:i4>
      </vt:variant>
      <vt:variant>
        <vt:i4>54</vt:i4>
      </vt:variant>
      <vt:variant>
        <vt:i4>0</vt:i4>
      </vt:variant>
      <vt:variant>
        <vt:i4>5</vt:i4>
      </vt:variant>
      <vt:variant>
        <vt:lpwstr>http://www.nevo.co.il/case/4213217</vt:lpwstr>
      </vt:variant>
      <vt:variant>
        <vt:lpwstr/>
      </vt:variant>
      <vt:variant>
        <vt:i4>3145842</vt:i4>
      </vt:variant>
      <vt:variant>
        <vt:i4>51</vt:i4>
      </vt:variant>
      <vt:variant>
        <vt:i4>0</vt:i4>
      </vt:variant>
      <vt:variant>
        <vt:i4>5</vt:i4>
      </vt:variant>
      <vt:variant>
        <vt:lpwstr>http://www.nevo.co.il/case/16938303</vt:lpwstr>
      </vt:variant>
      <vt:variant>
        <vt:lpwstr/>
      </vt:variant>
      <vt:variant>
        <vt:i4>3276916</vt:i4>
      </vt:variant>
      <vt:variant>
        <vt:i4>48</vt:i4>
      </vt:variant>
      <vt:variant>
        <vt:i4>0</vt:i4>
      </vt:variant>
      <vt:variant>
        <vt:i4>5</vt:i4>
      </vt:variant>
      <vt:variant>
        <vt:lpwstr>http://www.nevo.co.il/case/5810781</vt:lpwstr>
      </vt:variant>
      <vt:variant>
        <vt:lpwstr/>
      </vt:variant>
      <vt:variant>
        <vt:i4>5177418</vt:i4>
      </vt:variant>
      <vt:variant>
        <vt:i4>45</vt:i4>
      </vt:variant>
      <vt:variant>
        <vt:i4>0</vt:i4>
      </vt:variant>
      <vt:variant>
        <vt:i4>5</vt:i4>
      </vt:variant>
      <vt:variant>
        <vt:lpwstr>http://www.nevo.co.il/law/4216/10</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6750245</vt:i4>
      </vt:variant>
      <vt:variant>
        <vt:i4>36</vt:i4>
      </vt:variant>
      <vt:variant>
        <vt:i4>0</vt:i4>
      </vt:variant>
      <vt:variant>
        <vt:i4>5</vt:i4>
      </vt:variant>
      <vt:variant>
        <vt:lpwstr>http://www.nevo.co.il/law/70301/40jc.a</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4915205</vt:i4>
      </vt:variant>
      <vt:variant>
        <vt:i4>30</vt:i4>
      </vt:variant>
      <vt:variant>
        <vt:i4>0</vt:i4>
      </vt:variant>
      <vt:variant>
        <vt:i4>5</vt:i4>
      </vt:variant>
      <vt:variant>
        <vt:lpwstr>http://www.nevo.co.il/law/70301/40d.a</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6750305</vt:i4>
      </vt:variant>
      <vt:variant>
        <vt:i4>21</vt:i4>
      </vt:variant>
      <vt:variant>
        <vt:i4>0</vt:i4>
      </vt:variant>
      <vt:variant>
        <vt:i4>5</vt:i4>
      </vt:variant>
      <vt:variant>
        <vt:lpwstr>http://www.nevo.co.il/law/72225/12</vt:lpwstr>
      </vt:variant>
      <vt:variant>
        <vt:lpwstr/>
      </vt:variant>
      <vt:variant>
        <vt:i4>7995493</vt:i4>
      </vt:variant>
      <vt:variant>
        <vt:i4>18</vt:i4>
      </vt:variant>
      <vt:variant>
        <vt:i4>0</vt:i4>
      </vt:variant>
      <vt:variant>
        <vt:i4>5</vt:i4>
      </vt:variant>
      <vt:variant>
        <vt:lpwstr>http://www.nevo.co.il/law/72225</vt:lpwstr>
      </vt:variant>
      <vt:variant>
        <vt:lpwstr/>
      </vt:variant>
      <vt:variant>
        <vt:i4>7143535</vt:i4>
      </vt:variant>
      <vt:variant>
        <vt:i4>15</vt:i4>
      </vt:variant>
      <vt:variant>
        <vt:i4>0</vt:i4>
      </vt:variant>
      <vt:variant>
        <vt:i4>5</vt:i4>
      </vt:variant>
      <vt:variant>
        <vt:lpwstr>http://www.nevo.co.il/law/71913/28</vt:lpwstr>
      </vt:variant>
      <vt:variant>
        <vt:lpwstr/>
      </vt:variant>
      <vt:variant>
        <vt:i4>7077996</vt:i4>
      </vt:variant>
      <vt:variant>
        <vt:i4>12</vt:i4>
      </vt:variant>
      <vt:variant>
        <vt:i4>0</vt:i4>
      </vt:variant>
      <vt:variant>
        <vt:i4>5</vt:i4>
      </vt:variant>
      <vt:variant>
        <vt:lpwstr>http://www.nevo.co.il/law/71913/19</vt:lpwstr>
      </vt:variant>
      <vt:variant>
        <vt:lpwstr/>
      </vt:variant>
      <vt:variant>
        <vt:i4>7995502</vt:i4>
      </vt:variant>
      <vt:variant>
        <vt:i4>9</vt:i4>
      </vt:variant>
      <vt:variant>
        <vt:i4>0</vt:i4>
      </vt:variant>
      <vt:variant>
        <vt:i4>5</vt:i4>
      </vt:variant>
      <vt:variant>
        <vt:lpwstr>http://www.nevo.co.il/law/71913</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2025-04-22T22:19:00Z</dcterms:created>
  <dcterms:modified xsi:type="dcterms:W3CDTF">2025-04-22T22:19:00Z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17917</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דן מדינה</vt:lpwstr>
  </property>
  <property fmtid="{D5CDD505-2E9C-101B-9397-08002B2CF9AE}" pid="10" name="LAWYER">
    <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20151202</vt:lpwstr>
  </property>
  <property fmtid="{D5CDD505-2E9C-101B-9397-08002B2CF9AE}" pid="14" name="TYPE_N_DATE">
    <vt:lpwstr>38020151202</vt:lpwstr>
  </property>
  <property fmtid="{D5CDD505-2E9C-101B-9397-08002B2CF9AE}" pid="15" name="WORDNUMPAGES">
    <vt:lpwstr>12</vt:lpwstr>
  </property>
  <property fmtid="{D5CDD505-2E9C-101B-9397-08002B2CF9AE}" pid="16" name="TYPE_ABS_DATE">
    <vt:lpwstr>380020151202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5810781;16938303:2;4213217:2;5314067;5611948;20111708;10459111;8291661;17045282;17096154;5079155;3888303;3834525;7986473;7935026;2373884</vt:lpwstr>
  </property>
  <property fmtid="{D5CDD505-2E9C-101B-9397-08002B2CF9AE}" pid="36" name="LAWLISTTMP1">
    <vt:lpwstr>4216/006;010</vt:lpwstr>
  </property>
  <property fmtid="{D5CDD505-2E9C-101B-9397-08002B2CF9AE}" pid="37" name="LAWLISTTMP2">
    <vt:lpwstr>71913/019;028</vt:lpwstr>
  </property>
  <property fmtid="{D5CDD505-2E9C-101B-9397-08002B2CF9AE}" pid="38" name="LAWLISTTMP3">
    <vt:lpwstr>72225/012</vt:lpwstr>
  </property>
  <property fmtid="{D5CDD505-2E9C-101B-9397-08002B2CF9AE}" pid="39" name="LAWLISTTMP4">
    <vt:lpwstr>70301/40jc.a;040c.a;40ja;040d.a</vt:lpwstr>
  </property>
</Properties>
</file>