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0173D3" w:rsidRPr="007F529D" w14:paraId="428A813F" w14:textId="77777777">
        <w:trPr>
          <w:trHeight w:hRule="exact" w:val="418"/>
          <w:jc w:val="center"/>
        </w:trPr>
        <w:tc>
          <w:tcPr>
            <w:tcW w:w="8721" w:type="dxa"/>
            <w:gridSpan w:val="2"/>
          </w:tcPr>
          <w:p w14:paraId="7A62FCD5" w14:textId="77777777" w:rsidR="000173D3" w:rsidRPr="007F529D" w:rsidRDefault="007F529D">
            <w:pPr>
              <w:pStyle w:val="a3"/>
              <w:jc w:val="center"/>
              <w:rPr>
                <w:rFonts w:ascii="Tahoma" w:hAnsi="Tahoma" w:cs="Tahoma"/>
                <w:color w:val="000080"/>
                <w:rtl/>
              </w:rPr>
            </w:pPr>
            <w:bookmarkStart w:id="0" w:name="LastJudge"/>
            <w:r w:rsidRPr="007F529D">
              <w:rPr>
                <w:rFonts w:ascii="Tahoma" w:hAnsi="Tahoma" w:cs="Tahoma"/>
                <w:b/>
                <w:bCs/>
                <w:color w:val="000080"/>
                <w:rtl/>
              </w:rPr>
              <w:t>בית משפט השלום בירושלים</w:t>
            </w:r>
          </w:p>
        </w:tc>
      </w:tr>
      <w:tr w:rsidR="000173D3" w:rsidRPr="007F529D" w14:paraId="3F2BD860" w14:textId="77777777">
        <w:trPr>
          <w:trHeight w:val="337"/>
          <w:jc w:val="center"/>
        </w:trPr>
        <w:tc>
          <w:tcPr>
            <w:tcW w:w="5051" w:type="dxa"/>
          </w:tcPr>
          <w:p w14:paraId="568D301E" w14:textId="77777777" w:rsidR="000173D3" w:rsidRPr="007F529D" w:rsidRDefault="007F529D">
            <w:pPr>
              <w:rPr>
                <w:rFonts w:cs="FrankRuehl" w:hint="cs"/>
                <w:sz w:val="28"/>
                <w:szCs w:val="28"/>
                <w:rtl/>
              </w:rPr>
            </w:pPr>
            <w:r w:rsidRPr="007F529D">
              <w:rPr>
                <w:rFonts w:cs="FrankRuehl"/>
                <w:sz w:val="28"/>
                <w:szCs w:val="28"/>
                <w:rtl/>
              </w:rPr>
              <w:t>ת"פ</w:t>
            </w:r>
            <w:r w:rsidRPr="007F529D">
              <w:rPr>
                <w:rFonts w:cs="FrankRuehl" w:hint="cs"/>
                <w:sz w:val="28"/>
                <w:szCs w:val="28"/>
                <w:rtl/>
              </w:rPr>
              <w:t xml:space="preserve"> </w:t>
            </w:r>
            <w:r w:rsidRPr="007F529D">
              <w:rPr>
                <w:rFonts w:cs="FrankRuehl"/>
                <w:sz w:val="28"/>
                <w:szCs w:val="28"/>
                <w:rtl/>
              </w:rPr>
              <w:t>25379-05-14</w:t>
            </w:r>
            <w:r w:rsidRPr="007F529D">
              <w:rPr>
                <w:rFonts w:cs="FrankRuehl" w:hint="cs"/>
                <w:sz w:val="28"/>
                <w:szCs w:val="28"/>
                <w:rtl/>
              </w:rPr>
              <w:t xml:space="preserve"> </w:t>
            </w:r>
            <w:r w:rsidR="003A2DD9">
              <w:rPr>
                <w:rFonts w:cs="FrankRuehl"/>
                <w:sz w:val="28"/>
                <w:szCs w:val="28"/>
                <w:rtl/>
              </w:rPr>
              <w:t>מדינת ישראל נ' טוויל</w:t>
            </w:r>
          </w:p>
          <w:p w14:paraId="017BCDC3" w14:textId="77777777" w:rsidR="000173D3" w:rsidRPr="007F529D" w:rsidRDefault="000173D3">
            <w:pPr>
              <w:pStyle w:val="a3"/>
              <w:rPr>
                <w:rtl/>
              </w:rPr>
            </w:pPr>
          </w:p>
          <w:p w14:paraId="059163AC" w14:textId="77777777" w:rsidR="000173D3" w:rsidRPr="007F529D" w:rsidRDefault="000173D3">
            <w:pPr>
              <w:pStyle w:val="a3"/>
              <w:rPr>
                <w:rFonts w:cs="FrankRuehl"/>
                <w:sz w:val="28"/>
                <w:szCs w:val="28"/>
                <w:rtl/>
              </w:rPr>
            </w:pPr>
          </w:p>
        </w:tc>
        <w:tc>
          <w:tcPr>
            <w:tcW w:w="3670" w:type="dxa"/>
          </w:tcPr>
          <w:p w14:paraId="35A968F2" w14:textId="77777777" w:rsidR="000173D3" w:rsidRPr="007F529D" w:rsidRDefault="007F529D">
            <w:pPr>
              <w:pStyle w:val="a3"/>
              <w:jc w:val="right"/>
              <w:rPr>
                <w:rFonts w:cs="FrankRuehl"/>
                <w:sz w:val="28"/>
                <w:szCs w:val="28"/>
                <w:rtl/>
              </w:rPr>
            </w:pPr>
            <w:r w:rsidRPr="007F529D">
              <w:rPr>
                <w:rFonts w:cs="FrankRuehl"/>
                <w:sz w:val="28"/>
                <w:szCs w:val="28"/>
                <w:rtl/>
              </w:rPr>
              <w:t>29 דצמבר 2014</w:t>
            </w:r>
          </w:p>
        </w:tc>
      </w:tr>
    </w:tbl>
    <w:p w14:paraId="1018A7E8" w14:textId="77777777" w:rsidR="000173D3" w:rsidRPr="007F529D" w:rsidRDefault="007F529D">
      <w:pPr>
        <w:pStyle w:val="a3"/>
        <w:rPr>
          <w:rtl/>
        </w:rPr>
      </w:pPr>
      <w:r w:rsidRPr="007F529D">
        <w:rPr>
          <w:rFonts w:hint="cs"/>
          <w:rtl/>
        </w:rPr>
        <w:t xml:space="preserve"> </w:t>
      </w:r>
    </w:p>
    <w:p w14:paraId="1CEE1845" w14:textId="77777777" w:rsidR="000173D3" w:rsidRPr="007F529D" w:rsidRDefault="007F529D">
      <w:pPr>
        <w:pStyle w:val="a3"/>
      </w:pPr>
      <w:r w:rsidRPr="007F529D">
        <w:rPr>
          <w:rFonts w:cs="Times New Roman" w:hint="cs"/>
          <w:b/>
          <w:bCs/>
          <w:sz w:val="26"/>
          <w:szCs w:val="28"/>
          <w:rtl/>
        </w:rPr>
        <w:t xml:space="preserve"> </w:t>
      </w:r>
    </w:p>
    <w:p w14:paraId="7525D040" w14:textId="77777777" w:rsidR="000173D3" w:rsidRPr="007F529D" w:rsidRDefault="000173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173D3" w:rsidRPr="007F529D" w14:paraId="560F47C5" w14:textId="77777777">
        <w:trPr>
          <w:trHeight w:val="295"/>
          <w:jc w:val="center"/>
        </w:trPr>
        <w:tc>
          <w:tcPr>
            <w:tcW w:w="923" w:type="dxa"/>
            <w:tcBorders>
              <w:top w:val="nil"/>
              <w:left w:val="nil"/>
              <w:bottom w:val="nil"/>
              <w:right w:val="nil"/>
            </w:tcBorders>
          </w:tcPr>
          <w:p w14:paraId="46B32880" w14:textId="77777777" w:rsidR="000173D3" w:rsidRPr="007F529D" w:rsidRDefault="007F529D">
            <w:pPr>
              <w:jc w:val="both"/>
              <w:rPr>
                <w:rFonts w:ascii="Arial" w:hAnsi="Arial" w:cs="FrankRuehl"/>
                <w:sz w:val="28"/>
                <w:szCs w:val="28"/>
              </w:rPr>
            </w:pPr>
            <w:r w:rsidRPr="007F529D">
              <w:rPr>
                <w:rFonts w:ascii="Arial" w:hAnsi="Arial" w:cs="FrankRuehl" w:hint="cs"/>
                <w:sz w:val="28"/>
                <w:szCs w:val="28"/>
                <w:rtl/>
              </w:rPr>
              <w:t>ב</w:t>
            </w:r>
            <w:r w:rsidRPr="007F529D">
              <w:rPr>
                <w:rFonts w:ascii="Arial" w:hAnsi="Arial" w:cs="FrankRuehl"/>
                <w:sz w:val="28"/>
                <w:szCs w:val="28"/>
                <w:rtl/>
              </w:rPr>
              <w:t xml:space="preserve">פני </w:t>
            </w:r>
          </w:p>
        </w:tc>
        <w:tc>
          <w:tcPr>
            <w:tcW w:w="7897" w:type="dxa"/>
            <w:gridSpan w:val="2"/>
            <w:tcBorders>
              <w:top w:val="nil"/>
              <w:left w:val="nil"/>
              <w:bottom w:val="nil"/>
              <w:right w:val="nil"/>
            </w:tcBorders>
          </w:tcPr>
          <w:p w14:paraId="62259D13" w14:textId="77777777" w:rsidR="000173D3" w:rsidRPr="007F529D" w:rsidRDefault="007F529D">
            <w:pPr>
              <w:rPr>
                <w:rFonts w:ascii="Arial" w:hAnsi="Arial"/>
                <w:b/>
                <w:bCs/>
                <w:rtl/>
              </w:rPr>
            </w:pPr>
            <w:r w:rsidRPr="007F529D">
              <w:rPr>
                <w:rFonts w:ascii="Arial" w:hAnsi="Arial" w:hint="cs"/>
                <w:b/>
                <w:bCs/>
                <w:rtl/>
              </w:rPr>
              <w:t>כב' ה</w:t>
            </w:r>
            <w:r w:rsidRPr="007F529D">
              <w:rPr>
                <w:rFonts w:hint="cs"/>
                <w:rtl/>
              </w:rPr>
              <w:t>שופטת</w:t>
            </w:r>
            <w:r w:rsidRPr="007F529D">
              <w:rPr>
                <w:rFonts w:ascii="Arial" w:hAnsi="Arial" w:hint="cs"/>
                <w:b/>
                <w:bCs/>
                <w:rtl/>
              </w:rPr>
              <w:t xml:space="preserve">  </w:t>
            </w:r>
            <w:r w:rsidRPr="007F529D">
              <w:rPr>
                <w:rFonts w:hint="cs"/>
                <w:rtl/>
              </w:rPr>
              <w:t>דנה כהן-לקח</w:t>
            </w:r>
          </w:p>
          <w:p w14:paraId="5807D54A" w14:textId="77777777" w:rsidR="000173D3" w:rsidRPr="007F529D" w:rsidRDefault="000173D3">
            <w:pPr>
              <w:rPr>
                <w:rtl/>
              </w:rPr>
            </w:pPr>
          </w:p>
          <w:p w14:paraId="3F8E6D98" w14:textId="77777777" w:rsidR="000173D3" w:rsidRPr="007F529D" w:rsidRDefault="000173D3">
            <w:pPr>
              <w:jc w:val="both"/>
              <w:rPr>
                <w:rFonts w:ascii="Arial" w:hAnsi="Arial" w:cs="FrankRuehl"/>
                <w:sz w:val="28"/>
                <w:szCs w:val="28"/>
              </w:rPr>
            </w:pPr>
          </w:p>
        </w:tc>
      </w:tr>
      <w:tr w:rsidR="000173D3" w:rsidRPr="007F529D" w14:paraId="32D20E70" w14:textId="77777777">
        <w:trPr>
          <w:trHeight w:val="355"/>
          <w:jc w:val="center"/>
        </w:trPr>
        <w:tc>
          <w:tcPr>
            <w:tcW w:w="923" w:type="dxa"/>
            <w:tcBorders>
              <w:top w:val="nil"/>
              <w:left w:val="nil"/>
              <w:bottom w:val="nil"/>
              <w:right w:val="nil"/>
            </w:tcBorders>
          </w:tcPr>
          <w:p w14:paraId="23412B75" w14:textId="77777777" w:rsidR="000173D3" w:rsidRPr="007F529D" w:rsidRDefault="000173D3">
            <w:pPr>
              <w:jc w:val="both"/>
              <w:rPr>
                <w:rFonts w:ascii="Arial" w:hAnsi="Arial" w:cs="FrankRuehl"/>
                <w:sz w:val="28"/>
                <w:szCs w:val="28"/>
                <w:rtl/>
              </w:rPr>
            </w:pPr>
            <w:bookmarkStart w:id="1" w:name="FirstAppellant"/>
          </w:p>
          <w:p w14:paraId="162CE7A5" w14:textId="77777777" w:rsidR="000173D3" w:rsidRPr="007F529D" w:rsidRDefault="007F529D">
            <w:pPr>
              <w:jc w:val="both"/>
              <w:rPr>
                <w:rFonts w:ascii="Arial" w:hAnsi="Arial" w:cs="FrankRuehl"/>
                <w:sz w:val="28"/>
                <w:szCs w:val="28"/>
              </w:rPr>
            </w:pPr>
            <w:r w:rsidRPr="007F529D">
              <w:rPr>
                <w:rFonts w:ascii="Arial" w:hAnsi="Arial" w:cs="FrankRuehl" w:hint="cs"/>
                <w:sz w:val="28"/>
                <w:szCs w:val="28"/>
                <w:rtl/>
              </w:rPr>
              <w:t>בעניין:</w:t>
            </w:r>
          </w:p>
        </w:tc>
        <w:tc>
          <w:tcPr>
            <w:tcW w:w="4126" w:type="dxa"/>
            <w:tcBorders>
              <w:top w:val="nil"/>
              <w:left w:val="nil"/>
              <w:bottom w:val="nil"/>
              <w:right w:val="nil"/>
            </w:tcBorders>
          </w:tcPr>
          <w:p w14:paraId="53BF6B00" w14:textId="77777777" w:rsidR="000173D3" w:rsidRPr="007F529D" w:rsidRDefault="000173D3">
            <w:pPr>
              <w:jc w:val="both"/>
              <w:rPr>
                <w:rFonts w:ascii="Arial" w:hAnsi="Arial" w:cs="FrankRuehl"/>
                <w:sz w:val="28"/>
                <w:szCs w:val="28"/>
                <w:rtl/>
              </w:rPr>
            </w:pPr>
          </w:p>
          <w:p w14:paraId="7178B278" w14:textId="77777777" w:rsidR="000173D3" w:rsidRPr="007F529D" w:rsidRDefault="007F529D">
            <w:r w:rsidRPr="007F529D">
              <w:rPr>
                <w:rFonts w:hint="cs"/>
                <w:rtl/>
              </w:rPr>
              <w:t>מדינת ישראל</w:t>
            </w:r>
          </w:p>
          <w:p w14:paraId="3E638CC5" w14:textId="77777777" w:rsidR="000173D3" w:rsidRPr="007F529D" w:rsidRDefault="000173D3">
            <w:pPr>
              <w:jc w:val="both"/>
              <w:rPr>
                <w:rFonts w:ascii="Arial" w:hAnsi="Arial" w:cs="FrankRuehl"/>
                <w:sz w:val="28"/>
                <w:szCs w:val="28"/>
              </w:rPr>
            </w:pPr>
          </w:p>
        </w:tc>
        <w:tc>
          <w:tcPr>
            <w:tcW w:w="3771" w:type="dxa"/>
            <w:tcBorders>
              <w:top w:val="nil"/>
              <w:left w:val="nil"/>
              <w:bottom w:val="nil"/>
              <w:right w:val="nil"/>
            </w:tcBorders>
          </w:tcPr>
          <w:p w14:paraId="0C1C400E" w14:textId="77777777" w:rsidR="000173D3" w:rsidRPr="007F529D" w:rsidRDefault="000173D3">
            <w:pPr>
              <w:jc w:val="both"/>
              <w:rPr>
                <w:rFonts w:ascii="Arial" w:hAnsi="Arial" w:cs="FrankRuehl"/>
                <w:sz w:val="28"/>
                <w:szCs w:val="28"/>
              </w:rPr>
            </w:pPr>
          </w:p>
        </w:tc>
      </w:tr>
      <w:bookmarkEnd w:id="1"/>
      <w:tr w:rsidR="000173D3" w:rsidRPr="007F529D" w14:paraId="2093887D" w14:textId="77777777">
        <w:trPr>
          <w:trHeight w:val="355"/>
          <w:jc w:val="center"/>
        </w:trPr>
        <w:tc>
          <w:tcPr>
            <w:tcW w:w="923" w:type="dxa"/>
            <w:tcBorders>
              <w:top w:val="nil"/>
              <w:left w:val="nil"/>
              <w:bottom w:val="nil"/>
              <w:right w:val="nil"/>
            </w:tcBorders>
          </w:tcPr>
          <w:p w14:paraId="3F809EC0" w14:textId="77777777" w:rsidR="000173D3" w:rsidRPr="007F529D" w:rsidRDefault="000173D3">
            <w:pPr>
              <w:jc w:val="both"/>
              <w:rPr>
                <w:rFonts w:ascii="Arial" w:hAnsi="Arial" w:cs="FrankRuehl"/>
                <w:sz w:val="28"/>
                <w:szCs w:val="28"/>
                <w:rtl/>
              </w:rPr>
            </w:pPr>
          </w:p>
        </w:tc>
        <w:tc>
          <w:tcPr>
            <w:tcW w:w="4126" w:type="dxa"/>
            <w:tcBorders>
              <w:top w:val="nil"/>
              <w:left w:val="nil"/>
              <w:bottom w:val="nil"/>
              <w:right w:val="nil"/>
            </w:tcBorders>
          </w:tcPr>
          <w:p w14:paraId="44571134" w14:textId="77777777" w:rsidR="000173D3" w:rsidRPr="007F529D" w:rsidRDefault="000173D3">
            <w:pPr>
              <w:jc w:val="both"/>
              <w:rPr>
                <w:rtl/>
              </w:rPr>
            </w:pPr>
          </w:p>
        </w:tc>
        <w:tc>
          <w:tcPr>
            <w:tcW w:w="3771" w:type="dxa"/>
            <w:tcBorders>
              <w:top w:val="nil"/>
              <w:left w:val="nil"/>
              <w:bottom w:val="nil"/>
              <w:right w:val="nil"/>
            </w:tcBorders>
          </w:tcPr>
          <w:p w14:paraId="5B3BCF7B" w14:textId="77777777" w:rsidR="000173D3" w:rsidRPr="007F529D" w:rsidRDefault="007F529D">
            <w:pPr>
              <w:jc w:val="right"/>
              <w:rPr>
                <w:rFonts w:ascii="Arial" w:hAnsi="Arial" w:cs="FrankRuehl"/>
                <w:sz w:val="28"/>
                <w:szCs w:val="28"/>
                <w:rtl/>
              </w:rPr>
            </w:pPr>
            <w:r w:rsidRPr="007F529D">
              <w:rPr>
                <w:rFonts w:ascii="Arial" w:hAnsi="Arial" w:cs="FrankRuehl" w:hint="cs"/>
                <w:sz w:val="28"/>
                <w:szCs w:val="28"/>
                <w:rtl/>
              </w:rPr>
              <w:t>ה</w:t>
            </w:r>
            <w:r w:rsidRPr="007F529D">
              <w:rPr>
                <w:rFonts w:hint="cs"/>
                <w:rtl/>
              </w:rPr>
              <w:t>מאשימה</w:t>
            </w:r>
          </w:p>
        </w:tc>
      </w:tr>
      <w:tr w:rsidR="000173D3" w:rsidRPr="007F529D" w14:paraId="3CCAEEE0" w14:textId="77777777">
        <w:trPr>
          <w:trHeight w:val="355"/>
          <w:jc w:val="center"/>
        </w:trPr>
        <w:tc>
          <w:tcPr>
            <w:tcW w:w="923" w:type="dxa"/>
            <w:tcBorders>
              <w:top w:val="nil"/>
              <w:left w:val="nil"/>
              <w:bottom w:val="nil"/>
              <w:right w:val="nil"/>
            </w:tcBorders>
          </w:tcPr>
          <w:p w14:paraId="56E7DEFA" w14:textId="77777777" w:rsidR="000173D3" w:rsidRPr="007F529D" w:rsidRDefault="000173D3">
            <w:pPr>
              <w:jc w:val="both"/>
              <w:rPr>
                <w:rFonts w:ascii="Arial" w:hAnsi="Arial" w:cs="FrankRuehl"/>
                <w:sz w:val="28"/>
                <w:szCs w:val="28"/>
                <w:rtl/>
              </w:rPr>
            </w:pPr>
          </w:p>
        </w:tc>
        <w:tc>
          <w:tcPr>
            <w:tcW w:w="7897" w:type="dxa"/>
            <w:gridSpan w:val="2"/>
            <w:tcBorders>
              <w:top w:val="nil"/>
              <w:left w:val="nil"/>
              <w:bottom w:val="nil"/>
              <w:right w:val="nil"/>
            </w:tcBorders>
          </w:tcPr>
          <w:p w14:paraId="1862062C" w14:textId="77777777" w:rsidR="000173D3" w:rsidRPr="007F529D" w:rsidRDefault="000173D3">
            <w:pPr>
              <w:jc w:val="center"/>
              <w:rPr>
                <w:rFonts w:ascii="Arial" w:hAnsi="Arial" w:cs="FrankRuehl"/>
                <w:b/>
                <w:bCs/>
                <w:sz w:val="28"/>
                <w:szCs w:val="28"/>
                <w:rtl/>
              </w:rPr>
            </w:pPr>
          </w:p>
          <w:p w14:paraId="0393884D" w14:textId="77777777" w:rsidR="000173D3" w:rsidRPr="007F529D" w:rsidRDefault="007F529D">
            <w:pPr>
              <w:jc w:val="center"/>
              <w:rPr>
                <w:rFonts w:ascii="Arial" w:hAnsi="Arial" w:cs="FrankRuehl"/>
                <w:b/>
                <w:bCs/>
                <w:sz w:val="28"/>
                <w:szCs w:val="28"/>
                <w:rtl/>
              </w:rPr>
            </w:pPr>
            <w:r w:rsidRPr="007F529D">
              <w:rPr>
                <w:rFonts w:ascii="Arial" w:hAnsi="Arial" w:cs="FrankRuehl"/>
                <w:b/>
                <w:bCs/>
                <w:sz w:val="28"/>
                <w:szCs w:val="28"/>
                <w:rtl/>
              </w:rPr>
              <w:t>נגד</w:t>
            </w:r>
          </w:p>
          <w:p w14:paraId="4DE09BEF" w14:textId="77777777" w:rsidR="000173D3" w:rsidRPr="007F529D" w:rsidRDefault="000173D3">
            <w:pPr>
              <w:jc w:val="both"/>
              <w:rPr>
                <w:rFonts w:ascii="Arial" w:hAnsi="Arial" w:cs="FrankRuehl"/>
                <w:sz w:val="28"/>
                <w:szCs w:val="28"/>
              </w:rPr>
            </w:pPr>
          </w:p>
        </w:tc>
      </w:tr>
      <w:tr w:rsidR="000173D3" w:rsidRPr="007F529D" w14:paraId="2C44635A" w14:textId="77777777">
        <w:trPr>
          <w:trHeight w:val="355"/>
          <w:jc w:val="center"/>
        </w:trPr>
        <w:tc>
          <w:tcPr>
            <w:tcW w:w="923" w:type="dxa"/>
            <w:tcBorders>
              <w:top w:val="nil"/>
              <w:left w:val="nil"/>
              <w:bottom w:val="nil"/>
              <w:right w:val="nil"/>
            </w:tcBorders>
          </w:tcPr>
          <w:p w14:paraId="503AD30D" w14:textId="77777777" w:rsidR="000173D3" w:rsidRPr="007F529D" w:rsidRDefault="000173D3">
            <w:pPr>
              <w:jc w:val="both"/>
              <w:rPr>
                <w:rFonts w:ascii="Arial" w:hAnsi="Arial" w:cs="FrankRuehl"/>
                <w:sz w:val="28"/>
                <w:szCs w:val="28"/>
                <w:rtl/>
              </w:rPr>
            </w:pPr>
          </w:p>
        </w:tc>
        <w:tc>
          <w:tcPr>
            <w:tcW w:w="4126" w:type="dxa"/>
            <w:tcBorders>
              <w:top w:val="nil"/>
              <w:left w:val="nil"/>
              <w:bottom w:val="nil"/>
              <w:right w:val="nil"/>
            </w:tcBorders>
          </w:tcPr>
          <w:p w14:paraId="7BBF8517" w14:textId="77777777" w:rsidR="000173D3" w:rsidRPr="007F529D" w:rsidRDefault="007F529D">
            <w:pPr>
              <w:jc w:val="both"/>
              <w:rPr>
                <w:rtl/>
              </w:rPr>
            </w:pPr>
            <w:r w:rsidRPr="007F529D">
              <w:rPr>
                <w:rFonts w:hint="cs"/>
                <w:rtl/>
              </w:rPr>
              <w:t xml:space="preserve">מוחמד טוויל </w:t>
            </w:r>
          </w:p>
        </w:tc>
        <w:tc>
          <w:tcPr>
            <w:tcW w:w="3771" w:type="dxa"/>
            <w:tcBorders>
              <w:top w:val="nil"/>
              <w:left w:val="nil"/>
              <w:bottom w:val="nil"/>
              <w:right w:val="nil"/>
            </w:tcBorders>
          </w:tcPr>
          <w:p w14:paraId="7D61CEB8" w14:textId="77777777" w:rsidR="000173D3" w:rsidRPr="007F529D" w:rsidRDefault="000173D3">
            <w:pPr>
              <w:jc w:val="right"/>
              <w:rPr>
                <w:rFonts w:ascii="Arial" w:hAnsi="Arial" w:cs="FrankRuehl"/>
                <w:sz w:val="28"/>
                <w:szCs w:val="28"/>
              </w:rPr>
            </w:pPr>
          </w:p>
        </w:tc>
      </w:tr>
      <w:tr w:rsidR="000173D3" w:rsidRPr="007F529D" w14:paraId="1D7E45BB" w14:textId="77777777">
        <w:trPr>
          <w:trHeight w:val="355"/>
          <w:jc w:val="center"/>
        </w:trPr>
        <w:tc>
          <w:tcPr>
            <w:tcW w:w="923" w:type="dxa"/>
            <w:tcBorders>
              <w:top w:val="nil"/>
              <w:left w:val="nil"/>
              <w:bottom w:val="nil"/>
              <w:right w:val="nil"/>
            </w:tcBorders>
          </w:tcPr>
          <w:p w14:paraId="56A44CEF" w14:textId="77777777" w:rsidR="000173D3" w:rsidRPr="007F529D" w:rsidRDefault="000173D3">
            <w:pPr>
              <w:jc w:val="both"/>
              <w:rPr>
                <w:rFonts w:ascii="Arial" w:hAnsi="Arial" w:cs="FrankRuehl"/>
                <w:sz w:val="28"/>
                <w:szCs w:val="28"/>
                <w:rtl/>
              </w:rPr>
            </w:pPr>
          </w:p>
        </w:tc>
        <w:tc>
          <w:tcPr>
            <w:tcW w:w="4126" w:type="dxa"/>
            <w:tcBorders>
              <w:top w:val="nil"/>
              <w:left w:val="nil"/>
              <w:bottom w:val="nil"/>
              <w:right w:val="nil"/>
            </w:tcBorders>
          </w:tcPr>
          <w:p w14:paraId="78285379" w14:textId="77777777" w:rsidR="000173D3" w:rsidRPr="007F529D" w:rsidRDefault="000173D3">
            <w:pPr>
              <w:jc w:val="both"/>
              <w:rPr>
                <w:rtl/>
              </w:rPr>
            </w:pPr>
          </w:p>
        </w:tc>
        <w:tc>
          <w:tcPr>
            <w:tcW w:w="3771" w:type="dxa"/>
            <w:tcBorders>
              <w:top w:val="nil"/>
              <w:left w:val="nil"/>
              <w:bottom w:val="nil"/>
              <w:right w:val="nil"/>
            </w:tcBorders>
          </w:tcPr>
          <w:p w14:paraId="3E174351" w14:textId="77777777" w:rsidR="000173D3" w:rsidRPr="007F529D" w:rsidRDefault="007F529D">
            <w:pPr>
              <w:jc w:val="right"/>
              <w:rPr>
                <w:rFonts w:ascii="Arial" w:hAnsi="Arial" w:cs="FrankRuehl"/>
                <w:sz w:val="28"/>
                <w:szCs w:val="28"/>
              </w:rPr>
            </w:pPr>
            <w:r w:rsidRPr="007F529D">
              <w:rPr>
                <w:rFonts w:ascii="Arial" w:hAnsi="Arial" w:cs="FrankRuehl" w:hint="cs"/>
                <w:sz w:val="28"/>
                <w:szCs w:val="28"/>
                <w:rtl/>
              </w:rPr>
              <w:t>ה</w:t>
            </w:r>
            <w:r w:rsidRPr="007F529D">
              <w:rPr>
                <w:rFonts w:hint="cs"/>
                <w:rtl/>
              </w:rPr>
              <w:t>נאשמים</w:t>
            </w:r>
          </w:p>
        </w:tc>
      </w:tr>
    </w:tbl>
    <w:p w14:paraId="1045DF78" w14:textId="77777777" w:rsidR="00DE3343" w:rsidRDefault="00DE3343">
      <w:pPr>
        <w:rPr>
          <w:rtl/>
        </w:rPr>
      </w:pPr>
      <w:bookmarkStart w:id="2" w:name="LawTable"/>
      <w:bookmarkEnd w:id="2"/>
    </w:p>
    <w:p w14:paraId="639AAB79" w14:textId="77777777" w:rsidR="00DE3343" w:rsidRPr="00DE3343" w:rsidRDefault="00DE3343" w:rsidP="00DE3343">
      <w:pPr>
        <w:spacing w:after="120" w:line="240" w:lineRule="exact"/>
        <w:ind w:left="283" w:hanging="283"/>
        <w:jc w:val="both"/>
        <w:rPr>
          <w:rFonts w:ascii="FrankRuehl" w:hAnsi="FrankRuehl" w:cs="FrankRuehl"/>
          <w:rtl/>
        </w:rPr>
      </w:pPr>
    </w:p>
    <w:p w14:paraId="3FB13998" w14:textId="77777777" w:rsidR="00DE3343" w:rsidRPr="00DE3343" w:rsidRDefault="00DE3343" w:rsidP="00DE3343">
      <w:pPr>
        <w:spacing w:after="120" w:line="240" w:lineRule="exact"/>
        <w:ind w:left="283" w:hanging="283"/>
        <w:jc w:val="both"/>
        <w:rPr>
          <w:rFonts w:ascii="FrankRuehl" w:hAnsi="FrankRuehl" w:cs="FrankRuehl"/>
          <w:rtl/>
        </w:rPr>
      </w:pPr>
      <w:r w:rsidRPr="00DE3343">
        <w:rPr>
          <w:rFonts w:ascii="FrankRuehl" w:hAnsi="FrankRuehl" w:cs="FrankRuehl"/>
          <w:rtl/>
        </w:rPr>
        <w:t xml:space="preserve">חקיקה שאוזכרה: </w:t>
      </w:r>
    </w:p>
    <w:p w14:paraId="0CFB40A2" w14:textId="77777777" w:rsidR="00DE3343" w:rsidRPr="00DE3343" w:rsidRDefault="00DE3343" w:rsidP="00DE3343">
      <w:pPr>
        <w:spacing w:after="120" w:line="240" w:lineRule="exact"/>
        <w:ind w:left="283" w:hanging="283"/>
        <w:jc w:val="both"/>
        <w:rPr>
          <w:rFonts w:ascii="FrankRuehl" w:hAnsi="FrankRuehl" w:cs="FrankRuehl"/>
          <w:rtl/>
        </w:rPr>
      </w:pPr>
      <w:hyperlink r:id="rId6" w:history="1">
        <w:r w:rsidRPr="00DE3343">
          <w:rPr>
            <w:rFonts w:ascii="FrankRuehl" w:hAnsi="FrankRuehl" w:cs="FrankRuehl"/>
            <w:color w:val="0000FF"/>
            <w:u w:val="single"/>
            <w:rtl/>
          </w:rPr>
          <w:t>פקודת הסמים המסוכנים [נוסח חדש], תשל"ג-1973</w:t>
        </w:r>
      </w:hyperlink>
      <w:r w:rsidRPr="00DE3343">
        <w:rPr>
          <w:rFonts w:ascii="FrankRuehl" w:hAnsi="FrankRuehl" w:cs="FrankRuehl"/>
          <w:rtl/>
        </w:rPr>
        <w:t xml:space="preserve">: סע'  </w:t>
      </w:r>
      <w:hyperlink r:id="rId7" w:history="1">
        <w:r w:rsidRPr="00DE3343">
          <w:rPr>
            <w:rFonts w:ascii="FrankRuehl" w:hAnsi="FrankRuehl" w:cs="FrankRuehl"/>
            <w:color w:val="0000FF"/>
            <w:u w:val="single"/>
            <w:rtl/>
          </w:rPr>
          <w:t>13</w:t>
        </w:r>
      </w:hyperlink>
      <w:r w:rsidRPr="00DE3343">
        <w:rPr>
          <w:rFonts w:ascii="FrankRuehl" w:hAnsi="FrankRuehl" w:cs="FrankRuehl"/>
          <w:rtl/>
        </w:rPr>
        <w:t xml:space="preserve">, </w:t>
      </w:r>
      <w:hyperlink r:id="rId8" w:history="1">
        <w:r w:rsidRPr="00DE3343">
          <w:rPr>
            <w:rFonts w:ascii="FrankRuehl" w:hAnsi="FrankRuehl" w:cs="FrankRuehl"/>
            <w:color w:val="0000FF"/>
            <w:u w:val="single"/>
            <w:rtl/>
          </w:rPr>
          <w:t>14</w:t>
        </w:r>
      </w:hyperlink>
    </w:p>
    <w:p w14:paraId="1DEB341C" w14:textId="77777777" w:rsidR="00DE3343" w:rsidRPr="00DE3343" w:rsidRDefault="00DE3343" w:rsidP="00DE3343">
      <w:pPr>
        <w:spacing w:after="120" w:line="240" w:lineRule="exact"/>
        <w:ind w:left="283" w:hanging="283"/>
        <w:jc w:val="both"/>
        <w:rPr>
          <w:rFonts w:ascii="FrankRuehl" w:hAnsi="FrankRuehl" w:cs="FrankRuehl"/>
          <w:rtl/>
        </w:rPr>
      </w:pPr>
      <w:hyperlink r:id="rId9" w:history="1">
        <w:r w:rsidRPr="00DE3343">
          <w:rPr>
            <w:rFonts w:ascii="FrankRuehl" w:hAnsi="FrankRuehl" w:cs="FrankRuehl"/>
            <w:color w:val="0000FF"/>
            <w:u w:val="single"/>
            <w:rtl/>
          </w:rPr>
          <w:t>חוק העונשין, תשל"ז-1977</w:t>
        </w:r>
      </w:hyperlink>
      <w:r w:rsidRPr="00DE3343">
        <w:rPr>
          <w:rFonts w:ascii="FrankRuehl" w:hAnsi="FrankRuehl" w:cs="FrankRuehl"/>
          <w:rtl/>
        </w:rPr>
        <w:t xml:space="preserve">: סע'  </w:t>
      </w:r>
      <w:hyperlink r:id="rId10" w:history="1">
        <w:r w:rsidRPr="00DE3343">
          <w:rPr>
            <w:rFonts w:ascii="FrankRuehl" w:hAnsi="FrankRuehl" w:cs="FrankRuehl"/>
            <w:color w:val="0000FF"/>
            <w:u w:val="single"/>
            <w:rtl/>
          </w:rPr>
          <w:t>40ג(א)</w:t>
        </w:r>
      </w:hyperlink>
      <w:r w:rsidRPr="00DE3343">
        <w:rPr>
          <w:rFonts w:ascii="FrankRuehl" w:hAnsi="FrankRuehl" w:cs="FrankRuehl"/>
          <w:rtl/>
        </w:rPr>
        <w:t xml:space="preserve">, </w:t>
      </w:r>
      <w:hyperlink r:id="rId11" w:history="1">
        <w:r w:rsidRPr="00DE3343">
          <w:rPr>
            <w:rFonts w:ascii="FrankRuehl" w:hAnsi="FrankRuehl" w:cs="FrankRuehl"/>
            <w:color w:val="0000FF"/>
            <w:u w:val="single"/>
            <w:rtl/>
          </w:rPr>
          <w:t>40יא</w:t>
        </w:r>
      </w:hyperlink>
      <w:r w:rsidRPr="00DE3343">
        <w:rPr>
          <w:rFonts w:ascii="FrankRuehl" w:hAnsi="FrankRuehl" w:cs="FrankRuehl"/>
          <w:rtl/>
        </w:rPr>
        <w:t xml:space="preserve">, </w:t>
      </w:r>
      <w:hyperlink r:id="rId12" w:history="1">
        <w:r w:rsidRPr="00DE3343">
          <w:rPr>
            <w:rFonts w:ascii="FrankRuehl" w:hAnsi="FrankRuehl" w:cs="FrankRuehl"/>
            <w:color w:val="0000FF"/>
            <w:u w:val="single"/>
            <w:rtl/>
          </w:rPr>
          <w:t>40יג</w:t>
        </w:r>
      </w:hyperlink>
      <w:r w:rsidRPr="00DE3343">
        <w:rPr>
          <w:rFonts w:ascii="FrankRuehl" w:hAnsi="FrankRuehl" w:cs="FrankRuehl"/>
          <w:rtl/>
        </w:rPr>
        <w:t xml:space="preserve">, </w:t>
      </w:r>
      <w:hyperlink r:id="rId13" w:history="1">
        <w:r w:rsidRPr="00DE3343">
          <w:rPr>
            <w:rFonts w:ascii="FrankRuehl" w:hAnsi="FrankRuehl" w:cs="FrankRuehl"/>
            <w:color w:val="0000FF"/>
            <w:u w:val="single"/>
            <w:rtl/>
          </w:rPr>
          <w:t>40יג(ב)</w:t>
        </w:r>
      </w:hyperlink>
    </w:p>
    <w:p w14:paraId="633AE4EB" w14:textId="77777777" w:rsidR="00DE3343" w:rsidRPr="00DE3343" w:rsidRDefault="00DE3343" w:rsidP="00DE3343">
      <w:pPr>
        <w:spacing w:after="120" w:line="240" w:lineRule="exact"/>
        <w:ind w:left="283" w:hanging="283"/>
        <w:jc w:val="both"/>
        <w:rPr>
          <w:rFonts w:ascii="FrankRuehl" w:hAnsi="FrankRuehl" w:cs="FrankRuehl"/>
          <w:rtl/>
        </w:rPr>
      </w:pPr>
    </w:p>
    <w:p w14:paraId="656D07E6" w14:textId="77777777" w:rsidR="00DE3343" w:rsidRPr="00DE3343" w:rsidRDefault="00DE3343">
      <w:pPr>
        <w:rPr>
          <w:rtl/>
        </w:rPr>
      </w:pPr>
      <w:bookmarkStart w:id="3" w:name="LawTable_End"/>
      <w:bookmarkEnd w:id="3"/>
    </w:p>
    <w:p w14:paraId="22D4FE6A" w14:textId="77777777" w:rsidR="00AF2F06" w:rsidRDefault="00AF2F06">
      <w:pPr>
        <w:rPr>
          <w:rtl/>
        </w:rPr>
      </w:pPr>
    </w:p>
    <w:p w14:paraId="6030E5A6" w14:textId="77777777" w:rsidR="00AF2F06" w:rsidRPr="00AF2F06" w:rsidRDefault="00AF2F06" w:rsidP="00AF2F06">
      <w:pPr>
        <w:spacing w:after="120" w:line="240" w:lineRule="exact"/>
        <w:ind w:left="283" w:hanging="283"/>
        <w:jc w:val="both"/>
        <w:rPr>
          <w:rFonts w:ascii="FrankRuehl" w:hAnsi="FrankRuehl" w:cs="FrankRuehl"/>
          <w:rtl/>
        </w:rPr>
      </w:pPr>
    </w:p>
    <w:p w14:paraId="4EE6F389" w14:textId="77777777" w:rsidR="000173D3" w:rsidRDefault="000173D3">
      <w:pPr>
        <w:rPr>
          <w:rFonts w:cs="FrankRuehl" w:hint="cs"/>
          <w:sz w:val="28"/>
          <w:szCs w:val="28"/>
          <w:rtl/>
        </w:rPr>
      </w:pPr>
    </w:p>
    <w:p w14:paraId="0D19ADA2" w14:textId="77777777" w:rsidR="008A7317" w:rsidRPr="007F529D" w:rsidRDefault="008A7317">
      <w:pPr>
        <w:rPr>
          <w:rFonts w:cs="FrankRuehl"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73D3" w14:paraId="48F4643B" w14:textId="77777777">
        <w:trPr>
          <w:trHeight w:val="355"/>
          <w:jc w:val="center"/>
        </w:trPr>
        <w:tc>
          <w:tcPr>
            <w:tcW w:w="8820" w:type="dxa"/>
            <w:tcBorders>
              <w:top w:val="nil"/>
              <w:left w:val="nil"/>
              <w:bottom w:val="nil"/>
              <w:right w:val="nil"/>
            </w:tcBorders>
          </w:tcPr>
          <w:p w14:paraId="2D26D1AE" w14:textId="77777777" w:rsidR="007F529D" w:rsidRPr="007F529D" w:rsidRDefault="007F529D" w:rsidP="007F529D">
            <w:pPr>
              <w:jc w:val="center"/>
              <w:rPr>
                <w:rFonts w:ascii="Arial" w:hAnsi="Arial" w:cs="FrankRuehl"/>
                <w:b/>
                <w:bCs/>
                <w:sz w:val="34"/>
                <w:szCs w:val="34"/>
                <w:u w:val="single"/>
                <w:rtl/>
              </w:rPr>
            </w:pPr>
            <w:bookmarkStart w:id="4" w:name="PsakDin" w:colFirst="0" w:colLast="0"/>
            <w:bookmarkEnd w:id="0"/>
            <w:r w:rsidRPr="007F529D">
              <w:rPr>
                <w:rFonts w:ascii="Arial" w:hAnsi="Arial" w:cs="FrankRuehl"/>
                <w:b/>
                <w:bCs/>
                <w:sz w:val="34"/>
                <w:szCs w:val="34"/>
                <w:u w:val="single"/>
                <w:rtl/>
              </w:rPr>
              <w:t>גזר דין</w:t>
            </w:r>
          </w:p>
          <w:p w14:paraId="4546D208" w14:textId="77777777" w:rsidR="000173D3" w:rsidRPr="007F529D" w:rsidRDefault="000173D3" w:rsidP="007F529D">
            <w:pPr>
              <w:jc w:val="center"/>
              <w:rPr>
                <w:rFonts w:ascii="Arial" w:hAnsi="Arial" w:cs="FrankRuehl"/>
                <w:bCs/>
                <w:sz w:val="34"/>
                <w:szCs w:val="34"/>
                <w:u w:val="single"/>
                <w:rtl/>
              </w:rPr>
            </w:pPr>
          </w:p>
        </w:tc>
      </w:tr>
      <w:bookmarkEnd w:id="4"/>
    </w:tbl>
    <w:p w14:paraId="62B617C7" w14:textId="77777777" w:rsidR="000173D3" w:rsidRDefault="000173D3">
      <w:pPr>
        <w:rPr>
          <w:rFonts w:ascii="Arial" w:hAnsi="Arial" w:cs="FrankRuehl"/>
          <w:sz w:val="28"/>
          <w:szCs w:val="28"/>
          <w:rtl/>
        </w:rPr>
      </w:pPr>
    </w:p>
    <w:p w14:paraId="7EBB2028" w14:textId="77777777" w:rsidR="000173D3" w:rsidRDefault="007F529D">
      <w:pPr>
        <w:spacing w:after="120" w:line="360" w:lineRule="auto"/>
        <w:jc w:val="both"/>
        <w:rPr>
          <w:rFonts w:cs="FrankRuehl"/>
          <w:sz w:val="28"/>
          <w:szCs w:val="28"/>
          <w:rtl/>
        </w:rPr>
      </w:pPr>
      <w:r>
        <w:rPr>
          <w:rFonts w:cs="FrankRuehl" w:hint="cs"/>
          <w:sz w:val="28"/>
          <w:szCs w:val="28"/>
          <w:u w:val="single"/>
          <w:rtl/>
        </w:rPr>
        <w:t>רקע</w:t>
      </w:r>
    </w:p>
    <w:p w14:paraId="6BCD89D4" w14:textId="77777777" w:rsidR="000173D3" w:rsidRDefault="007F529D">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ביום 27.10.2014 הורשע הנאשם, בהתאם להודאתו שניתנה במסגרת הסדר טיעון, בעבירות אשר יוחסו לו בכתב-אישום מתוקן כדלקמן: שתי עבירות של סחר בסם מסוכן לפי </w:t>
      </w:r>
      <w:hyperlink r:id="rId14" w:history="1">
        <w:r w:rsidR="003A2DD9" w:rsidRPr="003A2DD9">
          <w:rPr>
            <w:rStyle w:val="Hyperlink"/>
            <w:rFonts w:cs="FrankRuehl" w:hint="eastAsia"/>
            <w:sz w:val="28"/>
            <w:szCs w:val="28"/>
            <w:rtl/>
          </w:rPr>
          <w:t>סעיף</w:t>
        </w:r>
        <w:r w:rsidR="003A2DD9" w:rsidRPr="003A2DD9">
          <w:rPr>
            <w:rStyle w:val="Hyperlink"/>
            <w:rFonts w:cs="FrankRuehl"/>
            <w:sz w:val="28"/>
            <w:szCs w:val="28"/>
            <w:rtl/>
          </w:rPr>
          <w:t xml:space="preserve"> 13</w:t>
        </w:r>
      </w:hyperlink>
      <w:r>
        <w:rPr>
          <w:rFonts w:cs="FrankRuehl" w:hint="cs"/>
          <w:sz w:val="28"/>
          <w:szCs w:val="28"/>
          <w:rtl/>
        </w:rPr>
        <w:t xml:space="preserve"> ל</w:t>
      </w:r>
      <w:hyperlink r:id="rId15" w:history="1">
        <w:r w:rsidRPr="007F529D">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 xml:space="preserve">); וכן עבירה אחת של תיווך בסם מסוכן לפי </w:t>
      </w:r>
      <w:hyperlink r:id="rId16" w:history="1">
        <w:r w:rsidR="003A2DD9" w:rsidRPr="003A2DD9">
          <w:rPr>
            <w:rStyle w:val="Hyperlink"/>
            <w:rFonts w:cs="FrankRuehl" w:hint="eastAsia"/>
            <w:sz w:val="28"/>
            <w:szCs w:val="28"/>
            <w:rtl/>
          </w:rPr>
          <w:t>סעיף</w:t>
        </w:r>
        <w:r w:rsidR="003A2DD9" w:rsidRPr="003A2DD9">
          <w:rPr>
            <w:rStyle w:val="Hyperlink"/>
            <w:rFonts w:cs="FrankRuehl"/>
            <w:sz w:val="28"/>
            <w:szCs w:val="28"/>
            <w:rtl/>
          </w:rPr>
          <w:t xml:space="preserve"> 14</w:t>
        </w:r>
      </w:hyperlink>
      <w:r>
        <w:rPr>
          <w:rFonts w:cs="FrankRuehl" w:hint="cs"/>
          <w:sz w:val="28"/>
          <w:szCs w:val="28"/>
          <w:rtl/>
        </w:rPr>
        <w:t xml:space="preserve"> לפקודת הסמים.</w:t>
      </w:r>
    </w:p>
    <w:p w14:paraId="472D680D" w14:textId="77777777" w:rsidR="000173D3" w:rsidRDefault="000173D3">
      <w:pPr>
        <w:spacing w:after="120" w:line="360" w:lineRule="auto"/>
        <w:jc w:val="both"/>
        <w:rPr>
          <w:rFonts w:cs="FrankRuehl"/>
          <w:sz w:val="28"/>
          <w:szCs w:val="28"/>
        </w:rPr>
      </w:pPr>
      <w:bookmarkStart w:id="6" w:name="ABSTRACT_END"/>
      <w:bookmarkEnd w:id="6"/>
    </w:p>
    <w:p w14:paraId="33FD9310" w14:textId="77777777" w:rsidR="000173D3" w:rsidRDefault="007F529D">
      <w:pPr>
        <w:spacing w:after="120" w:line="360" w:lineRule="auto"/>
        <w:jc w:val="both"/>
        <w:rPr>
          <w:rFonts w:cs="FrankRuehl"/>
          <w:sz w:val="28"/>
          <w:szCs w:val="28"/>
          <w:rtl/>
        </w:rPr>
      </w:pPr>
      <w:r>
        <w:rPr>
          <w:rFonts w:cs="FrankRuehl" w:hint="cs"/>
          <w:sz w:val="28"/>
          <w:szCs w:val="28"/>
          <w:rtl/>
        </w:rPr>
        <w:tab/>
        <w:t xml:space="preserve">כתב-האישום המתוקן שבעובדותיו הודה הנאשם, מחזיק שלושה אישומים. </w:t>
      </w:r>
      <w:r>
        <w:rPr>
          <w:rFonts w:cs="Miriam" w:hint="cs"/>
          <w:rtl/>
        </w:rPr>
        <w:t>בהתאם לעובדות האישום הראשון</w:t>
      </w:r>
      <w:r>
        <w:rPr>
          <w:rFonts w:cs="FrankRuehl" w:hint="cs"/>
          <w:sz w:val="28"/>
          <w:szCs w:val="28"/>
          <w:rtl/>
        </w:rPr>
        <w:t xml:space="preserve">, ביום 8.10.2013 בסמוך לשעה 15:30 בכניסה לאבו-טור בירושלים, מכר הנאשם לסוכן משטרתי (להלן גם: </w:t>
      </w:r>
      <w:r>
        <w:rPr>
          <w:rFonts w:cs="Miriam" w:hint="cs"/>
          <w:rtl/>
        </w:rPr>
        <w:t>הסוכן</w:t>
      </w:r>
      <w:r>
        <w:rPr>
          <w:rFonts w:cs="FrankRuehl" w:hint="cs"/>
          <w:sz w:val="28"/>
          <w:szCs w:val="28"/>
          <w:rtl/>
        </w:rPr>
        <w:t xml:space="preserve">) סם מסוג חשיש במשקל כולל של </w:t>
      </w:r>
      <w:smartTag w:uri="urn:schemas-microsoft-com:office:smarttags" w:element="metricconverter">
        <w:smartTagPr>
          <w:attr w:name="ProductID" w:val="19.5984 גרם"/>
        </w:smartTagPr>
        <w:r>
          <w:rPr>
            <w:rFonts w:cs="FrankRuehl" w:hint="cs"/>
            <w:sz w:val="28"/>
            <w:szCs w:val="28"/>
            <w:rtl/>
          </w:rPr>
          <w:t>19.5984 גרם</w:t>
        </w:r>
      </w:smartTag>
      <w:r>
        <w:rPr>
          <w:rFonts w:cs="FrankRuehl" w:hint="cs"/>
          <w:sz w:val="28"/>
          <w:szCs w:val="28"/>
          <w:rtl/>
        </w:rPr>
        <w:t xml:space="preserve"> נטו תמורת 1,200 ₪. הנאשם והסוכן הכירו בבית-חולים הר הצופים במסגרת תעסוקתית. מספר ימים עובר לאירוע, פנה הנאשם לסוכן ואמר לו: "אם תצטרך אני אדאג לך...". ביום האירוע, פנה הנאשם לסוכן ושאל אותו: "מה נהיה עם העניין", והסוכן השיב שאולי הוא צריך להמשך היום. בהמשך אותו יום, לאחר תיאום טלפוני בין הנאשם לסוכן במהלכו נקבע גם המחיר, הגיע הסוכן למקום המפגש. הנאשם שכבר המתין במקום, הבחין ברכבו של הסוכן ונכנס לתוכו. הנאשם הוציא מכיס מכנסיו את הסם, הריח אותו והעבירו לסוכן, אשר הכניסו לתוך תחבושת אלסטית שהייתה על ידו, הוציא את הכסף מכיס מכנסיו והעבירו לנאשם. מוסכם בין הצדדים כי לנאשם לא היה רווח כספי כתוצאה ממכירה זו. בגין אישום זה, הורשע הנאשם לפי הודאתו בעבירה של </w:t>
      </w:r>
      <w:r>
        <w:rPr>
          <w:rFonts w:cs="FrankRuehl" w:hint="cs"/>
          <w:sz w:val="28"/>
          <w:szCs w:val="28"/>
          <w:u w:val="single"/>
          <w:rtl/>
        </w:rPr>
        <w:t>סחר</w:t>
      </w:r>
      <w:r>
        <w:rPr>
          <w:rFonts w:cs="FrankRuehl" w:hint="cs"/>
          <w:sz w:val="28"/>
          <w:szCs w:val="28"/>
          <w:rtl/>
        </w:rPr>
        <w:t xml:space="preserve"> בסם מסוכן.</w:t>
      </w:r>
    </w:p>
    <w:p w14:paraId="21FFAC93" w14:textId="77777777" w:rsidR="000173D3" w:rsidRDefault="000173D3">
      <w:pPr>
        <w:spacing w:after="120" w:line="360" w:lineRule="auto"/>
        <w:jc w:val="both"/>
        <w:rPr>
          <w:rFonts w:cs="FrankRuehl"/>
          <w:sz w:val="28"/>
          <w:szCs w:val="28"/>
          <w:rtl/>
        </w:rPr>
      </w:pPr>
    </w:p>
    <w:p w14:paraId="688C3C1F" w14:textId="77777777" w:rsidR="000173D3" w:rsidRDefault="007F529D">
      <w:pPr>
        <w:spacing w:after="120" w:line="360" w:lineRule="auto"/>
        <w:ind w:firstLine="720"/>
        <w:jc w:val="both"/>
        <w:rPr>
          <w:rFonts w:cs="FrankRuehl"/>
          <w:sz w:val="28"/>
          <w:szCs w:val="28"/>
          <w:rtl/>
        </w:rPr>
      </w:pPr>
      <w:r>
        <w:rPr>
          <w:rFonts w:cs="Miriam" w:hint="cs"/>
          <w:rtl/>
        </w:rPr>
        <w:t>בהתאם לעובדות האישום השני</w:t>
      </w:r>
      <w:r>
        <w:rPr>
          <w:rFonts w:cs="FrankRuehl" w:hint="cs"/>
          <w:sz w:val="28"/>
          <w:szCs w:val="28"/>
          <w:rtl/>
        </w:rPr>
        <w:t xml:space="preserve">, ביום 15.1.2014 בסמוך לשעה 13:30 בכניסה לאבו טור בירושלים, תיווך הנאשם בנוגע לסם מסוג חשיש במשקל כולל של </w:t>
      </w:r>
      <w:smartTag w:uri="urn:schemas-microsoft-com:office:smarttags" w:element="metricconverter">
        <w:smartTagPr>
          <w:attr w:name="ProductID" w:val="18.54 גרם"/>
        </w:smartTagPr>
        <w:r>
          <w:rPr>
            <w:rFonts w:cs="FrankRuehl" w:hint="cs"/>
            <w:sz w:val="28"/>
            <w:szCs w:val="28"/>
            <w:rtl/>
          </w:rPr>
          <w:t>18.54 גרם</w:t>
        </w:r>
      </w:smartTag>
      <w:r>
        <w:rPr>
          <w:rFonts w:cs="FrankRuehl" w:hint="cs"/>
          <w:sz w:val="28"/>
          <w:szCs w:val="28"/>
          <w:rtl/>
        </w:rPr>
        <w:t xml:space="preserve"> נטו תמורת 1,200 ₪. באותן נסיבות, התקשר הסוכן אל הנאשם וביקש ממנו סם תמורת 1,200 ₪. כמו-כן מסר הסוכן לנאשם כי ייתן לו עוד 100 ₪ בגין הטרחה עבורו. השניים קבעו להיפגש. בהמשך לכך, הסוכן נסע עם רכבו למקום המפגש, הנאשם נכנס לרכב והוציא מהג'קט שלו את חתיכת החשיש שהביא מאדם אחר. הנאשם העביר לסוכן את הסם, וזה הכניסו לתחתוניו, ומסר לנאשם 1,200 ₪ עבור הסם ובהמשך נתן לו עוד 100 ₪. בגין אישום זה, הורשע הנאשם לפי הודאתו בעבירה של </w:t>
      </w:r>
      <w:r>
        <w:rPr>
          <w:rFonts w:cs="FrankRuehl" w:hint="cs"/>
          <w:sz w:val="28"/>
          <w:szCs w:val="28"/>
          <w:u w:val="single"/>
          <w:rtl/>
        </w:rPr>
        <w:t>תיווך</w:t>
      </w:r>
      <w:r>
        <w:rPr>
          <w:rFonts w:cs="FrankRuehl" w:hint="cs"/>
          <w:sz w:val="28"/>
          <w:szCs w:val="28"/>
          <w:rtl/>
        </w:rPr>
        <w:t xml:space="preserve"> בסם מסוכן.</w:t>
      </w:r>
    </w:p>
    <w:p w14:paraId="66EB5E5B" w14:textId="77777777" w:rsidR="000173D3" w:rsidRDefault="000173D3">
      <w:pPr>
        <w:spacing w:after="120" w:line="360" w:lineRule="auto"/>
        <w:ind w:firstLine="720"/>
        <w:jc w:val="both"/>
        <w:rPr>
          <w:rFonts w:cs="FrankRuehl"/>
          <w:sz w:val="28"/>
          <w:szCs w:val="28"/>
          <w:rtl/>
        </w:rPr>
      </w:pPr>
    </w:p>
    <w:p w14:paraId="6E8FB4E1" w14:textId="77777777" w:rsidR="000173D3" w:rsidRDefault="007F529D">
      <w:pPr>
        <w:spacing w:after="120" w:line="360" w:lineRule="auto"/>
        <w:ind w:firstLine="720"/>
        <w:jc w:val="both"/>
        <w:rPr>
          <w:rFonts w:cs="FrankRuehl"/>
          <w:sz w:val="28"/>
          <w:szCs w:val="28"/>
          <w:rtl/>
        </w:rPr>
      </w:pPr>
      <w:r>
        <w:rPr>
          <w:rFonts w:cs="Miriam" w:hint="cs"/>
          <w:rtl/>
        </w:rPr>
        <w:t>בהתאם לעובדות האישום השלישי</w:t>
      </w:r>
      <w:r>
        <w:rPr>
          <w:rFonts w:cs="FrankRuehl" w:hint="cs"/>
          <w:sz w:val="28"/>
          <w:szCs w:val="28"/>
          <w:rtl/>
        </w:rPr>
        <w:t xml:space="preserve">, ביום 21.1.2014 בסמוך לשעה 13:00 בכניסה לאבו טור בירושלים, מכר הנאשם לסוכן סם מסוג חשיש במשקל כולל של </w:t>
      </w:r>
      <w:smartTag w:uri="urn:schemas-microsoft-com:office:smarttags" w:element="metricconverter">
        <w:smartTagPr>
          <w:attr w:name="ProductID" w:val="17.51 גרם"/>
        </w:smartTagPr>
        <w:r>
          <w:rPr>
            <w:rFonts w:cs="FrankRuehl" w:hint="cs"/>
            <w:sz w:val="28"/>
            <w:szCs w:val="28"/>
            <w:rtl/>
          </w:rPr>
          <w:t>17.51 גרם</w:t>
        </w:r>
      </w:smartTag>
      <w:r>
        <w:rPr>
          <w:rFonts w:cs="FrankRuehl" w:hint="cs"/>
          <w:sz w:val="28"/>
          <w:szCs w:val="28"/>
          <w:rtl/>
        </w:rPr>
        <w:t xml:space="preserve"> נטו תמורת 1,200 ₪. באותן נסיבות, יומיים עובר למועד האירוע, התקשר הסוכן לנאשם וביקש ממנו סם תמורת 1,200 ₪. יום למחרת, התקשר הסוכן פעם נוספת לנאשם, והשניים קבעו להיפגש במקום הקבוע. הסוכן נסע עם רכבו למקום המפגש וכשהגיע למקום הנאשם נכנס לרכבו, הוציא מהג'קט שלו את </w:t>
      </w:r>
      <w:r>
        <w:rPr>
          <w:rFonts w:cs="FrankRuehl" w:hint="cs"/>
          <w:sz w:val="28"/>
          <w:szCs w:val="28"/>
          <w:rtl/>
        </w:rPr>
        <w:lastRenderedPageBreak/>
        <w:t xml:space="preserve">חתיכת החשיש, העביר אותה לסוכן, וזה הכניס את הסם לתחתוניו, ומסר לנאשם 1,200 ₪. בגין אישום זה, הורשע הנאשם לפי הודאתו בעבירה נוספת של </w:t>
      </w:r>
      <w:r>
        <w:rPr>
          <w:rFonts w:cs="FrankRuehl" w:hint="cs"/>
          <w:sz w:val="28"/>
          <w:szCs w:val="28"/>
          <w:u w:val="single"/>
          <w:rtl/>
        </w:rPr>
        <w:t>סחר</w:t>
      </w:r>
      <w:r>
        <w:rPr>
          <w:rFonts w:cs="FrankRuehl" w:hint="cs"/>
          <w:sz w:val="28"/>
          <w:szCs w:val="28"/>
          <w:rtl/>
        </w:rPr>
        <w:t xml:space="preserve"> בסם מסוכן.</w:t>
      </w:r>
    </w:p>
    <w:p w14:paraId="1A1B0431" w14:textId="77777777" w:rsidR="000173D3" w:rsidRDefault="000173D3">
      <w:pPr>
        <w:spacing w:after="120" w:line="360" w:lineRule="auto"/>
        <w:jc w:val="both"/>
        <w:rPr>
          <w:rFonts w:cs="FrankRuehl"/>
          <w:sz w:val="28"/>
          <w:szCs w:val="28"/>
          <w:rtl/>
        </w:rPr>
      </w:pPr>
    </w:p>
    <w:p w14:paraId="197C875F" w14:textId="77777777" w:rsidR="000173D3" w:rsidRDefault="007F529D">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הסדר-הטיעון בין הצדדים לא כלל הסכמה לעניין העונש והצדדים נותרו חופשיים בטיעוניהם. נוכח גילו של הנאשם, הוא הופנה לשירות המבחן לצורך עריכת תסקיר בעניינו.</w:t>
      </w:r>
    </w:p>
    <w:p w14:paraId="59620A7F" w14:textId="77777777" w:rsidR="000173D3" w:rsidRDefault="000173D3">
      <w:pPr>
        <w:spacing w:after="120" w:line="360" w:lineRule="auto"/>
        <w:jc w:val="both"/>
        <w:rPr>
          <w:rFonts w:cs="FrankRuehl"/>
          <w:sz w:val="28"/>
          <w:szCs w:val="28"/>
          <w:rtl/>
        </w:rPr>
      </w:pPr>
    </w:p>
    <w:p w14:paraId="213992D0" w14:textId="77777777" w:rsidR="000173D3" w:rsidRDefault="007F529D">
      <w:pPr>
        <w:spacing w:after="120" w:line="360" w:lineRule="auto"/>
        <w:jc w:val="both"/>
        <w:rPr>
          <w:rFonts w:cs="FrankRuehl"/>
          <w:sz w:val="28"/>
          <w:szCs w:val="28"/>
          <w:u w:val="single"/>
          <w:rtl/>
        </w:rPr>
      </w:pPr>
      <w:r>
        <w:rPr>
          <w:rFonts w:cs="FrankRuehl" w:hint="cs"/>
          <w:sz w:val="28"/>
          <w:szCs w:val="28"/>
          <w:u w:val="single"/>
          <w:rtl/>
        </w:rPr>
        <w:t xml:space="preserve">תסקיר שירות המבחן </w:t>
      </w:r>
    </w:p>
    <w:p w14:paraId="38C205E3" w14:textId="77777777" w:rsidR="000173D3" w:rsidRDefault="007F529D">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מתסקיר שירות המבחן עולה כי הנאשם הינו כבן 22, רווק, בן למשפחה בת 11 נפשות, שנשר מלימודיו על-מנת לעבוד ולעזור בפרנסת משפחתו. הנאשם ביצע את העבירות נשוא ההליך שבכותרת בתקופה בה ביצע עבודות שירות שנגזרו עליו בתיק קודם. </w:t>
      </w:r>
    </w:p>
    <w:p w14:paraId="0668A485" w14:textId="77777777" w:rsidR="000173D3" w:rsidRDefault="000173D3">
      <w:pPr>
        <w:spacing w:after="120" w:line="360" w:lineRule="auto"/>
        <w:jc w:val="both"/>
        <w:rPr>
          <w:rFonts w:cs="FrankRuehl"/>
          <w:sz w:val="28"/>
          <w:szCs w:val="28"/>
          <w:rtl/>
        </w:rPr>
      </w:pPr>
    </w:p>
    <w:p w14:paraId="777C27A1" w14:textId="77777777" w:rsidR="000173D3" w:rsidRDefault="007F529D">
      <w:pPr>
        <w:spacing w:after="120" w:line="360" w:lineRule="auto"/>
        <w:jc w:val="both"/>
        <w:rPr>
          <w:rFonts w:cs="FrankRuehl"/>
          <w:sz w:val="28"/>
          <w:szCs w:val="28"/>
          <w:rtl/>
        </w:rPr>
      </w:pPr>
      <w:r>
        <w:rPr>
          <w:rFonts w:cs="FrankRuehl" w:hint="cs"/>
          <w:sz w:val="28"/>
          <w:szCs w:val="28"/>
          <w:rtl/>
        </w:rPr>
        <w:tab/>
        <w:t xml:space="preserve">אשר לעבירות נשוא הליך זה - הנאשם ציין בפני שירות המבחן כי בתקופה בה בוצעו העבירות שב להתגורר בבית הוריו והחל להסתובב עם חברה שולית. את הסוכן הכיר במסגרת עבודות השירות שביצע בבית-החולים. לדבריו, נוצר קשר טוב בינו ובין הסוכן, והסוכן הוא אשר ביקש ממנו להשיג לו סמים. הנאשם ציין כי בשכונה בה הוא מתגורר הסמים זמינים ביותר וכך השיג לסוכן סמים, אך לא קיבל כל תמורה כספית עבורם. לטענת הנאשם, הוא עצמו אינו צורך סמים (שירות המבחן ציין כי עקב היותו של הנאשם במעצר, לא התאפשר לו לבדוק טענה זו). הנאשם הביע תחושת חוסר אונים על כך שעזר לאנשים ואחר כך נפגע מכך, וכן הביע חרטה על ביצוע העבירות בשל המחירים שמשלם על כך. עם זאת, שירות המבחן ציין כי ניכר שהנאשם אינו אינו מבין את חומרת העבירות, וכן ציין כי אותו דפוס בלט גם בעניינה של העבירה הקודמת בגינה הורשע הנאשם. </w:t>
      </w:r>
    </w:p>
    <w:p w14:paraId="710936DC" w14:textId="77777777" w:rsidR="000173D3" w:rsidRDefault="000173D3">
      <w:pPr>
        <w:spacing w:after="120" w:line="360" w:lineRule="auto"/>
        <w:jc w:val="both"/>
        <w:rPr>
          <w:rFonts w:cs="FrankRuehl"/>
          <w:sz w:val="28"/>
          <w:szCs w:val="28"/>
          <w:rtl/>
        </w:rPr>
      </w:pPr>
    </w:p>
    <w:p w14:paraId="098A7B01" w14:textId="77777777" w:rsidR="000173D3" w:rsidRDefault="007F529D">
      <w:pPr>
        <w:spacing w:after="120" w:line="360" w:lineRule="auto"/>
        <w:jc w:val="both"/>
        <w:rPr>
          <w:rFonts w:cs="FrankRuehl"/>
          <w:sz w:val="28"/>
          <w:szCs w:val="28"/>
          <w:rtl/>
        </w:rPr>
      </w:pPr>
      <w:r>
        <w:rPr>
          <w:rFonts w:cs="FrankRuehl" w:hint="cs"/>
          <w:sz w:val="28"/>
          <w:szCs w:val="28"/>
          <w:rtl/>
        </w:rPr>
        <w:tab/>
        <w:t xml:space="preserve">שירות המבחן התרשם כי הנאשם הינו בחור צעיר המביע מוטיבציה לקיום אורח חיים נורמטיבי ושומר חוק. יציאתו של הנאשם לעבודה מגיל צעיר, מבטאת מוטיבציה ללקיחת אחריות על חייו ועל סביבתו. כל אלה מהווים גורמי סיכוי לשיקום. לצד זאת, שירות המבחן התרשם כי אישיותו של הנאשם אינה מגובשת, קיים טשטוש גבולות בין מותר ואסור, הנאשם מגלה התנהגות אימפולסיבית וקשיים בבחינה עצמית אשר הובילו לביצוע עבירות מספר פעמים. שירות המבחן התרשם כי הנאשם אינו מבין את חומרת מעשיו ומטיל על אחרים את האחריות להתנהגותו. בנוסף, הנאשם ביצע את העבירות נשוא התיק דנן, בעת שביצע עבודות שירות בגין עבירה אחרת, דבר המצביע על חוסר הפנמה של גבולות. כל אלה מהווים גורמי סיכון להישנות התנהגות עוברת חוק. </w:t>
      </w:r>
    </w:p>
    <w:p w14:paraId="209D8A31" w14:textId="77777777" w:rsidR="000173D3" w:rsidRDefault="000173D3">
      <w:pPr>
        <w:spacing w:after="120" w:line="360" w:lineRule="auto"/>
        <w:jc w:val="both"/>
        <w:rPr>
          <w:rFonts w:cs="FrankRuehl"/>
          <w:sz w:val="28"/>
          <w:szCs w:val="28"/>
          <w:rtl/>
        </w:rPr>
      </w:pPr>
    </w:p>
    <w:p w14:paraId="56CB2F73" w14:textId="77777777" w:rsidR="000173D3" w:rsidRDefault="007F529D">
      <w:pPr>
        <w:spacing w:after="120" w:line="360" w:lineRule="auto"/>
        <w:jc w:val="both"/>
        <w:rPr>
          <w:rFonts w:cs="FrankRuehl"/>
          <w:sz w:val="28"/>
          <w:szCs w:val="28"/>
          <w:rtl/>
        </w:rPr>
      </w:pPr>
      <w:r>
        <w:rPr>
          <w:rFonts w:cs="FrankRuehl" w:hint="cs"/>
          <w:sz w:val="28"/>
          <w:szCs w:val="28"/>
          <w:rtl/>
        </w:rPr>
        <w:tab/>
        <w:t xml:space="preserve">במישור ההמלצה - בהתחשב במכלול השיקולים שפורטו לעיל, נמנע שירות המבחן מהמלצה שיקומית והמליץ על ענישה מוחשית של מאסר בפועל, לצד הטלת עונש מאסר מותנה משמעותי.  </w:t>
      </w:r>
    </w:p>
    <w:p w14:paraId="4BE82AB7" w14:textId="77777777" w:rsidR="000173D3" w:rsidRDefault="000173D3">
      <w:pPr>
        <w:spacing w:after="120" w:line="360" w:lineRule="auto"/>
        <w:jc w:val="both"/>
        <w:rPr>
          <w:rFonts w:cs="FrankRuehl"/>
          <w:sz w:val="28"/>
          <w:szCs w:val="28"/>
          <w:rtl/>
        </w:rPr>
      </w:pPr>
    </w:p>
    <w:p w14:paraId="24BB8373" w14:textId="77777777" w:rsidR="000173D3" w:rsidRDefault="007F529D">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48AEABDE" w14:textId="77777777" w:rsidR="000173D3" w:rsidRDefault="007F529D">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המאשימה טענה כי כל אחד מהאישומים נשוא כתב-האישום המתוקן, מהווה אירוע נפרד לצורך קביעת מתחמי ענישה הולמת. לשיטת המאשימה, מתחם הענישה ההולמת בגין כל עבירה של סחר או תיווך בסמים בנסיבות קלות נע מ- 6 ל- 12 חודשי מאסר בפועל. במקרה דנן, טען בא-כוח המאשימה כי מדובר בנסיבות מחמירות מטעמים עליהם עמד, ולפיכך טען כי המתחם נע משנה ועד שנתיים בגין כל עבירה בה הורשע הנאשם. בנסיבות העניין, עתרה המאשימה למקם את עונשו של הנאשם בתוך המתחם הנטען, וכן להטיל מאסר על-תנאי וקנס. </w:t>
      </w:r>
    </w:p>
    <w:p w14:paraId="70043C5C" w14:textId="77777777" w:rsidR="000173D3" w:rsidRDefault="007F529D">
      <w:pPr>
        <w:spacing w:after="120" w:line="360" w:lineRule="auto"/>
        <w:jc w:val="both"/>
        <w:rPr>
          <w:rFonts w:cs="FrankRuehl"/>
          <w:sz w:val="28"/>
          <w:szCs w:val="28"/>
          <w:rtl/>
        </w:rPr>
      </w:pPr>
      <w:r>
        <w:rPr>
          <w:rFonts w:cs="FrankRuehl" w:hint="cs"/>
          <w:sz w:val="28"/>
          <w:szCs w:val="28"/>
          <w:rtl/>
        </w:rPr>
        <w:t xml:space="preserve">                                                                                                                                                                                                                                                                                                                                                                                                                                    </w:t>
      </w:r>
    </w:p>
    <w:p w14:paraId="6D8C9805" w14:textId="77777777" w:rsidR="000173D3" w:rsidRDefault="007F529D">
      <w:pPr>
        <w:spacing w:after="120" w:line="360" w:lineRule="auto"/>
        <w:jc w:val="both"/>
        <w:rPr>
          <w:rFonts w:cs="FrankRuehl"/>
          <w:b/>
          <w:bCs/>
          <w:sz w:val="28"/>
          <w:szCs w:val="28"/>
          <w:u w:val="single"/>
          <w:rtl/>
        </w:rPr>
      </w:pPr>
      <w:r>
        <w:rPr>
          <w:rFonts w:cs="FrankRuehl" w:hint="cs"/>
          <w:sz w:val="28"/>
          <w:szCs w:val="28"/>
          <w:rtl/>
        </w:rPr>
        <w:t>5.</w:t>
      </w:r>
      <w:r>
        <w:rPr>
          <w:rFonts w:cs="FrankRuehl" w:hint="cs"/>
          <w:sz w:val="28"/>
          <w:szCs w:val="28"/>
          <w:rtl/>
        </w:rPr>
        <w:tab/>
        <w:t xml:space="preserve">בא-כוח הנאשם טען כי מתחם הענישה ההולמת בגין </w:t>
      </w:r>
      <w:r>
        <w:rPr>
          <w:rFonts w:cs="FrankRuehl" w:hint="cs"/>
          <w:sz w:val="28"/>
          <w:szCs w:val="28"/>
          <w:u w:val="single"/>
          <w:rtl/>
        </w:rPr>
        <w:t>שלושת האישומים יחדיו</w:t>
      </w:r>
      <w:r>
        <w:rPr>
          <w:rFonts w:cs="FrankRuehl" w:hint="cs"/>
          <w:sz w:val="28"/>
          <w:szCs w:val="28"/>
          <w:rtl/>
        </w:rPr>
        <w:t xml:space="preserve"> נע ממספר בודד של חודשי מאסר בפועל ועד 18 חודשי מאסר בפועל. הסנגור עמד על מכלול הנסיבות לקולא בעניינו של הנאשם ועתר להסתפק בימי מעצרו (קרוב ל- 9 חודשים). עוד עתר הסנגור שלא להשית על הנאשם קנס כספי בשים לב לתקופת המאסר הארוכה ולמצבו הכלכלי.</w:t>
      </w:r>
      <w:r>
        <w:rPr>
          <w:rFonts w:cs="FrankRuehl" w:hint="cs"/>
          <w:b/>
          <w:bCs/>
          <w:sz w:val="28"/>
          <w:szCs w:val="28"/>
          <w:u w:val="single"/>
          <w:rtl/>
        </w:rPr>
        <w:t xml:space="preserve"> </w:t>
      </w:r>
    </w:p>
    <w:p w14:paraId="45B0E8BC" w14:textId="77777777" w:rsidR="000173D3" w:rsidRDefault="007F529D">
      <w:pPr>
        <w:spacing w:after="120" w:line="360" w:lineRule="auto"/>
        <w:jc w:val="both"/>
        <w:rPr>
          <w:rFonts w:cs="FrankRuehl"/>
          <w:sz w:val="28"/>
          <w:szCs w:val="28"/>
          <w:rtl/>
        </w:rPr>
      </w:pPr>
      <w:r>
        <w:rPr>
          <w:rFonts w:cs="FrankRuehl" w:hint="cs"/>
          <w:sz w:val="28"/>
          <w:szCs w:val="28"/>
          <w:rtl/>
        </w:rPr>
        <w:tab/>
      </w:r>
    </w:p>
    <w:p w14:paraId="2EDD43F2" w14:textId="77777777" w:rsidR="000173D3" w:rsidRDefault="007F529D">
      <w:pPr>
        <w:spacing w:after="120" w:line="360" w:lineRule="auto"/>
        <w:jc w:val="both"/>
        <w:rPr>
          <w:rFonts w:cs="FrankRuehl"/>
          <w:sz w:val="28"/>
          <w:szCs w:val="28"/>
          <w:u w:val="single"/>
          <w:rtl/>
        </w:rPr>
      </w:pPr>
      <w:r>
        <w:rPr>
          <w:rFonts w:cs="FrankRuehl" w:hint="cs"/>
          <w:sz w:val="28"/>
          <w:szCs w:val="28"/>
          <w:u w:val="single"/>
          <w:rtl/>
        </w:rPr>
        <w:t>ריבוי עבירות</w:t>
      </w:r>
    </w:p>
    <w:p w14:paraId="798477F9" w14:textId="77777777" w:rsidR="000173D3" w:rsidRDefault="007F529D">
      <w:pPr>
        <w:spacing w:after="120" w:line="360" w:lineRule="auto"/>
        <w:jc w:val="both"/>
        <w:rPr>
          <w:rFonts w:ascii="Calibri" w:hAnsi="Calibri" w:cs="FrankRuehl"/>
          <w:sz w:val="28"/>
          <w:szCs w:val="28"/>
          <w:rtl/>
        </w:rPr>
      </w:pPr>
      <w:r>
        <w:rPr>
          <w:rFonts w:cs="FrankRuehl" w:hint="cs"/>
          <w:sz w:val="28"/>
          <w:szCs w:val="28"/>
          <w:rtl/>
        </w:rPr>
        <w:t>6.</w:t>
      </w:r>
      <w:r>
        <w:rPr>
          <w:rFonts w:cs="FrankRuehl" w:hint="cs"/>
          <w:sz w:val="28"/>
          <w:szCs w:val="28"/>
          <w:rtl/>
        </w:rPr>
        <w:tab/>
        <w:t xml:space="preserve">מאחר שבנסיבות המקרה דנן, הורשע הנאשם בביצוע עבירות במסגרת שלושה אישומים, השאלה המתעוררת בפתח הדיון הינה האם שלושת האישומים מהווים אירוע אחד לצורך קביעתו של מתחם ענישה הולמת כולל, או שמא מדובר בשלושה אירועים אשר יש לקבוע בנוגע לכל אחד מהם מתחם עונש הולם נפרד (ראו: </w:t>
      </w:r>
      <w:hyperlink r:id="rId17" w:history="1">
        <w:r w:rsidR="003A2DD9" w:rsidRPr="003A2DD9">
          <w:rPr>
            <w:rStyle w:val="Hyperlink"/>
            <w:rFonts w:cs="FrankRuehl" w:hint="eastAsia"/>
            <w:sz w:val="28"/>
            <w:szCs w:val="28"/>
            <w:rtl/>
          </w:rPr>
          <w:t>סעיף</w:t>
        </w:r>
        <w:r w:rsidR="003A2DD9" w:rsidRPr="003A2DD9">
          <w:rPr>
            <w:rStyle w:val="Hyperlink"/>
            <w:rFonts w:cs="FrankRuehl"/>
            <w:sz w:val="28"/>
            <w:szCs w:val="28"/>
            <w:rtl/>
          </w:rPr>
          <w:t xml:space="preserve"> 40יג</w:t>
        </w:r>
      </w:hyperlink>
      <w:r>
        <w:rPr>
          <w:rFonts w:cs="FrankRuehl" w:hint="cs"/>
          <w:sz w:val="28"/>
          <w:szCs w:val="28"/>
          <w:rtl/>
        </w:rPr>
        <w:t xml:space="preserve"> ל</w:t>
      </w:r>
      <w:hyperlink r:id="rId18" w:history="1">
        <w:r w:rsidRPr="007F529D">
          <w:rPr>
            <w:rFonts w:cs="FrankRuehl"/>
            <w:color w:val="0000FF"/>
            <w:sz w:val="28"/>
            <w:szCs w:val="28"/>
            <w:u w:val="single"/>
            <w:rtl/>
          </w:rPr>
          <w:t>חוק העונשין</w:t>
        </w:r>
      </w:hyperlink>
      <w:r>
        <w:rPr>
          <w:rFonts w:cs="FrankRuehl" w:hint="cs"/>
          <w:sz w:val="28"/>
          <w:szCs w:val="28"/>
          <w:rtl/>
        </w:rPr>
        <w:t xml:space="preserve">). </w:t>
      </w:r>
    </w:p>
    <w:p w14:paraId="69FB7C39" w14:textId="77777777" w:rsidR="000173D3" w:rsidRDefault="000173D3">
      <w:pPr>
        <w:spacing w:after="120" w:line="360" w:lineRule="auto"/>
        <w:jc w:val="both"/>
        <w:rPr>
          <w:rFonts w:ascii="David" w:hAnsi="David" w:cs="FrankRuehl"/>
          <w:sz w:val="28"/>
          <w:szCs w:val="28"/>
          <w:rtl/>
        </w:rPr>
      </w:pPr>
    </w:p>
    <w:p w14:paraId="6FD97EC8" w14:textId="77777777" w:rsidR="000173D3" w:rsidRDefault="007F529D" w:rsidP="00AF2F06">
      <w:pPr>
        <w:spacing w:after="120" w:line="360" w:lineRule="auto"/>
        <w:ind w:firstLine="720"/>
        <w:jc w:val="both"/>
        <w:rPr>
          <w:rFonts w:cs="FrankRuehl"/>
          <w:sz w:val="28"/>
          <w:szCs w:val="28"/>
          <w:rtl/>
        </w:rPr>
      </w:pPr>
      <w:r>
        <w:rPr>
          <w:rFonts w:cs="FrankRuehl" w:hint="cs"/>
          <w:sz w:val="28"/>
          <w:szCs w:val="28"/>
          <w:rtl/>
        </w:rPr>
        <w:t xml:space="preserve">ניתן למצוא בשאלה האמורה פנים לכאן ולכאן: </w:t>
      </w:r>
      <w:r>
        <w:rPr>
          <w:rFonts w:cs="Miriam" w:hint="cs"/>
          <w:rtl/>
        </w:rPr>
        <w:t>מחד גיסא</w:t>
      </w:r>
      <w:r>
        <w:rPr>
          <w:rFonts w:cs="FrankRuehl" w:hint="cs"/>
          <w:sz w:val="28"/>
          <w:szCs w:val="28"/>
          <w:rtl/>
        </w:rPr>
        <w:t xml:space="preserve">, העבירות בהן הורשע הנאשם אינן זהות (בשניים מהאישומים הורשע הנאשם בעבירה של סחר בסם מסוכן, ואילו באישום השלישי הוא הורשע בעבירה של תיווך לעסקה בסם). זאת ועוד; העבירות בוצעו בזמנים שונים (כך למשל, פער הזמנים בין האישום הראשון לאישום השני הינו למעלה משלושה חודשים). המקרים ניתנים להפרדה מבחינה מהותית וכרונולוגית, באופן שאינו מלאכותי. בהתאם לכך, ניתן לטעון כי יש מקום לקבוע מתחם </w:t>
      </w:r>
      <w:r>
        <w:rPr>
          <w:rFonts w:cs="FrankRuehl" w:hint="cs"/>
          <w:sz w:val="28"/>
          <w:szCs w:val="28"/>
          <w:u w:val="single"/>
          <w:rtl/>
        </w:rPr>
        <w:t>נפרד</w:t>
      </w:r>
      <w:r>
        <w:rPr>
          <w:rFonts w:cs="FrankRuehl" w:hint="cs"/>
          <w:sz w:val="28"/>
          <w:szCs w:val="28"/>
          <w:rtl/>
        </w:rPr>
        <w:t xml:space="preserve"> לכל אחד מהאישומים נשוא כתב-האישום המתוקן (ראו והשוו: "</w:t>
      </w:r>
      <w:r>
        <w:rPr>
          <w:rFonts w:cs="Miriam" w:hint="cs"/>
          <w:rtl/>
        </w:rPr>
        <w:t>המבחן</w:t>
      </w:r>
      <w:r>
        <w:rPr>
          <w:rFonts w:cs="FrankRuehl" w:hint="cs"/>
          <w:sz w:val="28"/>
          <w:szCs w:val="28"/>
          <w:rtl/>
        </w:rPr>
        <w:t xml:space="preserve"> </w:t>
      </w:r>
      <w:r>
        <w:rPr>
          <w:rFonts w:cs="Miriam" w:hint="cs"/>
          <w:rtl/>
        </w:rPr>
        <w:t>הצורני-עובדתי</w:t>
      </w:r>
      <w:r>
        <w:rPr>
          <w:rFonts w:cs="FrankRuehl" w:hint="cs"/>
          <w:sz w:val="28"/>
          <w:szCs w:val="28"/>
          <w:rtl/>
        </w:rPr>
        <w:t>" לפי גישת כב' השופט דנציגר ב</w:t>
      </w:r>
      <w:hyperlink r:id="rId19" w:history="1">
        <w:r w:rsidR="00AF2F06" w:rsidRPr="00AF2F06">
          <w:rPr>
            <w:rFonts w:cs="FrankRuehl"/>
            <w:color w:val="0000FF"/>
            <w:sz w:val="28"/>
            <w:szCs w:val="28"/>
            <w:u w:val="single"/>
            <w:rtl/>
          </w:rPr>
          <w:t xml:space="preserve">ע"פ 4910/13 </w:t>
        </w:r>
      </w:hyperlink>
      <w:r w:rsidR="00AF2F06" w:rsidRPr="00AF2F06">
        <w:rPr>
          <w:rFonts w:cs="FrankRuehl"/>
          <w:sz w:val="28"/>
          <w:szCs w:val="28"/>
          <w:rtl/>
        </w:rPr>
        <w:t xml:space="preserve"> </w:t>
      </w:r>
      <w:r>
        <w:rPr>
          <w:rFonts w:cs="Miriam" w:hint="cs"/>
          <w:rtl/>
        </w:rPr>
        <w:t>ג'אבר</w:t>
      </w:r>
      <w:r>
        <w:rPr>
          <w:rFonts w:cs="FrankRuehl" w:hint="cs"/>
          <w:sz w:val="28"/>
          <w:szCs w:val="28"/>
          <w:rtl/>
        </w:rPr>
        <w:t xml:space="preserve"> הנ"ל, פיסקאות 24, 29 עד 31 לפסק-דינו; עוד ראו: גישתו של כב' השופט ג'ובראן ב</w:t>
      </w:r>
      <w:hyperlink r:id="rId20" w:history="1">
        <w:r w:rsidRPr="007F529D">
          <w:rPr>
            <w:rFonts w:cs="FrankRuehl"/>
            <w:color w:val="0000FF"/>
            <w:sz w:val="28"/>
            <w:szCs w:val="28"/>
            <w:u w:val="single"/>
            <w:rtl/>
          </w:rPr>
          <w:t>ע"פ 1605/13</w:t>
        </w:r>
      </w:hyperlink>
      <w:r>
        <w:rPr>
          <w:rFonts w:cs="FrankRuehl" w:hint="cs"/>
          <w:sz w:val="28"/>
          <w:szCs w:val="28"/>
          <w:rtl/>
        </w:rPr>
        <w:t xml:space="preserve"> </w:t>
      </w:r>
      <w:r>
        <w:rPr>
          <w:rFonts w:cs="Miriam" w:hint="cs"/>
          <w:rtl/>
        </w:rPr>
        <w:t>פלוני נ' מדינת ישראל</w:t>
      </w:r>
      <w:r>
        <w:rPr>
          <w:rFonts w:cs="FrankRuehl" w:hint="cs"/>
          <w:sz w:val="28"/>
          <w:szCs w:val="28"/>
          <w:rtl/>
        </w:rPr>
        <w:t>, פיסקה 15 (27.8.2014); בנוסף השוו: פסיקתו של בית-המשפט המחוזי בבאר-שבע ב</w:t>
      </w:r>
      <w:hyperlink r:id="rId21" w:history="1">
        <w:r w:rsidRPr="007F529D">
          <w:rPr>
            <w:rFonts w:cs="FrankRuehl"/>
            <w:color w:val="0000FF"/>
            <w:sz w:val="28"/>
            <w:szCs w:val="28"/>
            <w:u w:val="single"/>
            <w:rtl/>
          </w:rPr>
          <w:t>עפ"ג 39844-08-13</w:t>
        </w:r>
      </w:hyperlink>
      <w:r>
        <w:rPr>
          <w:rFonts w:cs="Miriam" w:hint="cs"/>
          <w:rtl/>
        </w:rPr>
        <w:t xml:space="preserve"> מדינת ישראל נ' אבו רקייק</w:t>
      </w:r>
      <w:r>
        <w:rPr>
          <w:rFonts w:cs="FrankRuehl" w:hint="cs"/>
          <w:sz w:val="28"/>
          <w:szCs w:val="28"/>
          <w:rtl/>
        </w:rPr>
        <w:t xml:space="preserve"> (26.12.2013)). בהמשך לדברים האמורים, אני רואה לציין כי גם לפי גישה המצדדת בקביעת מתחמים נפרדים בגין כל אישום, לא ניתן להתעלם מהזיקה הממשית בין שלושת האישומים במקרה דנן. אשר על כן, לפי אותה גישה, יש מקום לגזירת עונש כולל בגין שלושת האישומים בהם הורשע הנאשם כאמור </w:t>
      </w:r>
      <w:hyperlink r:id="rId22" w:history="1">
        <w:r w:rsidR="003A2DD9" w:rsidRPr="003A2DD9">
          <w:rPr>
            <w:rStyle w:val="Hyperlink"/>
            <w:rFonts w:cs="FrankRuehl" w:hint="eastAsia"/>
            <w:sz w:val="28"/>
            <w:szCs w:val="28"/>
            <w:rtl/>
          </w:rPr>
          <w:t>בסעיף</w:t>
        </w:r>
        <w:r w:rsidR="003A2DD9" w:rsidRPr="003A2DD9">
          <w:rPr>
            <w:rStyle w:val="Hyperlink"/>
            <w:rFonts w:cs="FrankRuehl"/>
            <w:sz w:val="28"/>
            <w:szCs w:val="28"/>
            <w:rtl/>
          </w:rPr>
          <w:t xml:space="preserve"> 40יג(ב)</w:t>
        </w:r>
      </w:hyperlink>
      <w:r>
        <w:rPr>
          <w:rFonts w:cs="FrankRuehl" w:hint="cs"/>
          <w:sz w:val="28"/>
          <w:szCs w:val="28"/>
          <w:rtl/>
        </w:rPr>
        <w:t xml:space="preserve"> ל</w:t>
      </w:r>
      <w:hyperlink r:id="rId23" w:history="1">
        <w:r w:rsidRPr="007F529D">
          <w:rPr>
            <w:rFonts w:cs="FrankRuehl"/>
            <w:color w:val="0000FF"/>
            <w:sz w:val="28"/>
            <w:szCs w:val="28"/>
            <w:u w:val="single"/>
            <w:rtl/>
          </w:rPr>
          <w:t>חוק העונשין</w:t>
        </w:r>
      </w:hyperlink>
      <w:r>
        <w:rPr>
          <w:rFonts w:cs="FrankRuehl" w:hint="cs"/>
          <w:sz w:val="28"/>
          <w:szCs w:val="28"/>
          <w:rtl/>
        </w:rPr>
        <w:t xml:space="preserve">, תוך חפיפה פנימית מסוימת של העונש בגינם.  </w:t>
      </w:r>
    </w:p>
    <w:p w14:paraId="05E1A3F7" w14:textId="77777777" w:rsidR="000173D3" w:rsidRDefault="000173D3">
      <w:pPr>
        <w:spacing w:after="120" w:line="360" w:lineRule="auto"/>
        <w:ind w:firstLine="720"/>
        <w:jc w:val="both"/>
        <w:rPr>
          <w:rFonts w:cs="Miriam"/>
          <w:rtl/>
        </w:rPr>
      </w:pPr>
    </w:p>
    <w:p w14:paraId="3C5BDE06" w14:textId="77777777" w:rsidR="000173D3" w:rsidRDefault="007F529D" w:rsidP="00AF2F06">
      <w:pPr>
        <w:spacing w:after="120" w:line="360" w:lineRule="auto"/>
        <w:ind w:firstLine="720"/>
        <w:jc w:val="both"/>
        <w:rPr>
          <w:rFonts w:cs="Miriam"/>
          <w:rtl/>
        </w:rPr>
      </w:pPr>
      <w:r>
        <w:rPr>
          <w:rFonts w:cs="Miriam" w:hint="cs"/>
          <w:rtl/>
        </w:rPr>
        <w:t>מאידך גיסא</w:t>
      </w:r>
      <w:r>
        <w:rPr>
          <w:rFonts w:cs="FrankRuehl" w:hint="cs"/>
          <w:sz w:val="28"/>
          <w:szCs w:val="28"/>
          <w:rtl/>
        </w:rPr>
        <w:t xml:space="preserve">, ניתן לסבור כי מדובר באותה מסכת עבריינית. מסקנה זו מתבקשת מכך שכל האישומים עוסקים בעבירות של תיווך וסחר בסם מסוג חשיש, בכמות דומה ובעבור סכום כסף זהה בכל מקרה. זאת ועוד; העבירות בוצעו מול אותו סוכן משטרתי, תוך פרק-זמן כולל שלא עלה על ארבעה חודשים, כאשר הרקע לביצוע מכלול העבירות דומה. לפי גישה זו, יש לקבוע מתחם ענישה הולמת </w:t>
      </w:r>
      <w:r>
        <w:rPr>
          <w:rFonts w:cs="FrankRuehl" w:hint="cs"/>
          <w:sz w:val="28"/>
          <w:szCs w:val="28"/>
          <w:u w:val="single"/>
          <w:rtl/>
        </w:rPr>
        <w:t>אחד</w:t>
      </w:r>
      <w:r>
        <w:rPr>
          <w:rFonts w:cs="FrankRuehl" w:hint="cs"/>
          <w:sz w:val="28"/>
          <w:szCs w:val="28"/>
          <w:rtl/>
        </w:rPr>
        <w:t xml:space="preserve"> בגין מכלול העבירות בגינן הורשע הנאשם, בהיותן בגדר "אירוע" אחד. עם זאת, טיב ומספר "המעשים" בגינם הורשע הנאשם, ישוו מידה של חוּמרה שתשפיע על קביעת מתחם העונש ההולם הכולל בגין אותם המעשים (ראו והשוו: "</w:t>
      </w:r>
      <w:r>
        <w:rPr>
          <w:rFonts w:cs="Miriam" w:hint="cs"/>
          <w:rtl/>
        </w:rPr>
        <w:t>מבחן הקשר ההדוק</w:t>
      </w:r>
      <w:r>
        <w:rPr>
          <w:rFonts w:cs="FrankRuehl" w:hint="cs"/>
          <w:sz w:val="28"/>
          <w:szCs w:val="28"/>
          <w:rtl/>
        </w:rPr>
        <w:t>" ב</w:t>
      </w:r>
      <w:r w:rsidR="00AF2F06" w:rsidRPr="00DE3343">
        <w:rPr>
          <w:rFonts w:cs="FrankRuehl"/>
          <w:sz w:val="28"/>
          <w:szCs w:val="28"/>
          <w:rtl/>
        </w:rPr>
        <w:t xml:space="preserve">ע"פ 4910/13 </w:t>
      </w:r>
      <w:r>
        <w:rPr>
          <w:rFonts w:cs="FrankRuehl" w:hint="cs"/>
          <w:sz w:val="28"/>
          <w:szCs w:val="28"/>
          <w:rtl/>
        </w:rPr>
        <w:t xml:space="preserve"> </w:t>
      </w:r>
      <w:r>
        <w:rPr>
          <w:rFonts w:cs="Miriam" w:hint="cs"/>
          <w:rtl/>
        </w:rPr>
        <w:t>ג'אבר נ' מדינת ישראל</w:t>
      </w:r>
      <w:r>
        <w:rPr>
          <w:rFonts w:cs="FrankRuehl" w:hint="cs"/>
          <w:sz w:val="28"/>
          <w:szCs w:val="28"/>
          <w:rtl/>
        </w:rPr>
        <w:t xml:space="preserve"> (29.10.2014) - גישתם של כב' השופטת ברק-ארז בפיסקה 5 ואילך לפסק-דינה, וכב' השופט פוגלמן בפיסקה 2 לפסק-דינו).</w:t>
      </w:r>
    </w:p>
    <w:p w14:paraId="2B6154DD" w14:textId="77777777" w:rsidR="000173D3" w:rsidRDefault="000173D3">
      <w:pPr>
        <w:spacing w:after="120" w:line="360" w:lineRule="auto"/>
        <w:jc w:val="both"/>
        <w:rPr>
          <w:rFonts w:cs="FrankRuehl"/>
          <w:sz w:val="28"/>
          <w:szCs w:val="28"/>
          <w:rtl/>
        </w:rPr>
      </w:pPr>
    </w:p>
    <w:p w14:paraId="50015D1A" w14:textId="77777777" w:rsidR="000173D3" w:rsidRDefault="007F529D">
      <w:pPr>
        <w:spacing w:after="120" w:line="360" w:lineRule="auto"/>
        <w:jc w:val="both"/>
        <w:rPr>
          <w:rFonts w:ascii="Calibri" w:hAnsi="Calibri" w:cs="FrankRuehl"/>
          <w:sz w:val="28"/>
          <w:szCs w:val="28"/>
          <w:rtl/>
        </w:rPr>
      </w:pPr>
      <w:r>
        <w:rPr>
          <w:rFonts w:cs="FrankRuehl" w:hint="cs"/>
          <w:sz w:val="28"/>
          <w:szCs w:val="28"/>
          <w:rtl/>
        </w:rPr>
        <w:t>7.</w:t>
      </w:r>
      <w:r>
        <w:rPr>
          <w:rFonts w:cs="FrankRuehl" w:hint="cs"/>
          <w:sz w:val="28"/>
          <w:szCs w:val="28"/>
          <w:rtl/>
        </w:rPr>
        <w:tab/>
        <w:t>בנסיבות העניין, לא ראיתי להכריע בין שתי הגישות שפורטו לעיל. תחת זאת, אקבע מתחמים נפרדים לכל אחד משלושת האישומים נשוּא כתב-האישום המתוקן, ולצדם אקבע מתחם כולל המתייחס לכל העבירות בגינן הורשע הנאשם. לאחר מכן, אגזור את העונש המתאים בגדרי המתחמים שייקבעו.</w:t>
      </w:r>
    </w:p>
    <w:p w14:paraId="5F5D9ED6" w14:textId="77777777" w:rsidR="000173D3" w:rsidRDefault="000173D3">
      <w:pPr>
        <w:spacing w:after="120" w:line="360" w:lineRule="auto"/>
        <w:jc w:val="both"/>
        <w:rPr>
          <w:rFonts w:cs="FrankRuehl"/>
          <w:sz w:val="28"/>
          <w:szCs w:val="28"/>
          <w:u w:val="single"/>
          <w:rtl/>
        </w:rPr>
      </w:pPr>
    </w:p>
    <w:p w14:paraId="25A36344" w14:textId="77777777" w:rsidR="000173D3" w:rsidRDefault="007F529D">
      <w:pPr>
        <w:spacing w:after="120" w:line="360" w:lineRule="auto"/>
        <w:jc w:val="both"/>
        <w:rPr>
          <w:rFonts w:cs="FrankRuehl"/>
          <w:sz w:val="28"/>
          <w:szCs w:val="28"/>
          <w:u w:val="single"/>
          <w:rtl/>
        </w:rPr>
      </w:pPr>
      <w:r>
        <w:rPr>
          <w:rFonts w:cs="FrankRuehl" w:hint="cs"/>
          <w:sz w:val="28"/>
          <w:szCs w:val="28"/>
          <w:u w:val="single"/>
          <w:rtl/>
        </w:rPr>
        <w:t>מתחמי הענישה ההולמת</w:t>
      </w:r>
    </w:p>
    <w:p w14:paraId="0823F449" w14:textId="77777777" w:rsidR="000173D3" w:rsidRDefault="007F529D">
      <w:pPr>
        <w:spacing w:after="120" w:line="360" w:lineRule="auto"/>
        <w:jc w:val="both"/>
        <w:rPr>
          <w:rFonts w:ascii="Calibri" w:hAnsi="Calibri" w:cs="FrankRuehl"/>
          <w:sz w:val="28"/>
          <w:szCs w:val="28"/>
          <w:u w:val="single"/>
          <w:rtl/>
        </w:rPr>
      </w:pPr>
      <w:r>
        <w:rPr>
          <w:rFonts w:cs="FrankRuehl" w:hint="cs"/>
          <w:sz w:val="28"/>
          <w:szCs w:val="28"/>
          <w:rtl/>
        </w:rPr>
        <w:t>8.</w:t>
      </w:r>
      <w:r>
        <w:rPr>
          <w:rFonts w:cs="FrankRuehl" w:hint="cs"/>
          <w:sz w:val="28"/>
          <w:szCs w:val="28"/>
          <w:rtl/>
        </w:rPr>
        <w:tab/>
        <w:t xml:space="preserve">בהתאם </w:t>
      </w:r>
      <w:hyperlink r:id="rId24" w:history="1">
        <w:r w:rsidR="003A2DD9" w:rsidRPr="003A2DD9">
          <w:rPr>
            <w:rStyle w:val="Hyperlink"/>
            <w:rFonts w:cs="FrankRuehl" w:hint="eastAsia"/>
            <w:sz w:val="28"/>
            <w:szCs w:val="28"/>
            <w:rtl/>
          </w:rPr>
          <w:t>לסעיף</w:t>
        </w:r>
        <w:r w:rsidR="003A2DD9" w:rsidRPr="003A2DD9">
          <w:rPr>
            <w:rStyle w:val="Hyperlink"/>
            <w:rFonts w:cs="FrankRuehl"/>
            <w:sz w:val="28"/>
            <w:szCs w:val="28"/>
            <w:rtl/>
          </w:rPr>
          <w:t xml:space="preserve"> 40ג(א)</w:t>
        </w:r>
      </w:hyperlink>
      <w:r>
        <w:rPr>
          <w:rFonts w:cs="FrankRuehl" w:hint="cs"/>
          <w:sz w:val="28"/>
          <w:szCs w:val="28"/>
          <w:rtl/>
        </w:rPr>
        <w:t xml:space="preserve"> ל</w:t>
      </w:r>
      <w:hyperlink r:id="rId25" w:history="1">
        <w:r w:rsidRPr="007F529D">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העבירה ובמדיניות הענישה הנהוגה.</w:t>
      </w:r>
    </w:p>
    <w:p w14:paraId="665F3A0E" w14:textId="77777777" w:rsidR="000173D3" w:rsidRDefault="000173D3">
      <w:pPr>
        <w:spacing w:after="120" w:line="360" w:lineRule="auto"/>
        <w:jc w:val="both"/>
        <w:rPr>
          <w:rFonts w:ascii="David" w:hAnsi="David" w:cs="FrankRuehl"/>
          <w:sz w:val="28"/>
          <w:szCs w:val="28"/>
          <w:rtl/>
        </w:rPr>
      </w:pPr>
    </w:p>
    <w:p w14:paraId="6E432B5C" w14:textId="77777777" w:rsidR="000173D3" w:rsidRDefault="007F529D">
      <w:pPr>
        <w:spacing w:after="120" w:line="360" w:lineRule="auto"/>
        <w:ind w:firstLine="720"/>
        <w:jc w:val="both"/>
        <w:rPr>
          <w:rFonts w:cs="FrankRuehl"/>
          <w:sz w:val="28"/>
          <w:szCs w:val="28"/>
          <w:rtl/>
        </w:rPr>
      </w:pPr>
      <w:r>
        <w:rPr>
          <w:rFonts w:cs="FrankRuehl" w:hint="cs"/>
          <w:b/>
          <w:bCs/>
          <w:sz w:val="28"/>
          <w:szCs w:val="28"/>
          <w:rtl/>
        </w:rPr>
        <w:t>הערכים החברתיים</w:t>
      </w:r>
      <w:r>
        <w:rPr>
          <w:rFonts w:cs="FrankRuehl" w:hint="cs"/>
          <w:sz w:val="28"/>
          <w:szCs w:val="28"/>
          <w:rtl/>
        </w:rPr>
        <w:t xml:space="preserve"> המונחים בבסיסן של עבירות התיווך והסחר בסמים נועדו להגן על חוסנה של החברה מפני פגיעות הנגרמות עקב שימוש בסמים, הן לאוכלוסיית המשתמשים עצמם והן לציבור בכללותו. בתי-המשפט עמדו פעם אחר פעם על הצורך לבלום את התפשטות נגע הסמים בחברה, בין היתר על-ידי השתת ענישה מחמירה על הנוטלים חלק במערך הפצת הסמים. </w:t>
      </w:r>
    </w:p>
    <w:p w14:paraId="21E3676D" w14:textId="77777777" w:rsidR="000173D3" w:rsidRDefault="000173D3">
      <w:pPr>
        <w:spacing w:after="120" w:line="360" w:lineRule="auto"/>
        <w:ind w:firstLine="720"/>
        <w:jc w:val="both"/>
        <w:rPr>
          <w:rFonts w:cs="FrankRuehl"/>
          <w:sz w:val="28"/>
          <w:szCs w:val="28"/>
          <w:rtl/>
        </w:rPr>
      </w:pPr>
    </w:p>
    <w:p w14:paraId="2C0395F1" w14:textId="77777777" w:rsidR="000173D3" w:rsidRDefault="007F529D">
      <w:pPr>
        <w:spacing w:after="120" w:line="360" w:lineRule="auto"/>
        <w:ind w:firstLine="720"/>
        <w:jc w:val="both"/>
        <w:rPr>
          <w:rFonts w:cs="FrankRuehl"/>
          <w:sz w:val="28"/>
          <w:szCs w:val="28"/>
          <w:rtl/>
        </w:rPr>
      </w:pPr>
      <w:r>
        <w:rPr>
          <w:rFonts w:ascii="FrankRuehl" w:hAnsi="FrankRuehl" w:cs="FrankRuehl" w:hint="cs"/>
          <w:color w:val="000000"/>
          <w:sz w:val="28"/>
          <w:szCs w:val="28"/>
          <w:rtl/>
        </w:rPr>
        <w:t xml:space="preserve">אשר </w:t>
      </w:r>
      <w:r>
        <w:rPr>
          <w:rFonts w:ascii="FrankRuehl" w:hAnsi="FrankRuehl" w:cs="FrankRuehl" w:hint="cs"/>
          <w:b/>
          <w:bCs/>
          <w:color w:val="000000"/>
          <w:sz w:val="28"/>
          <w:szCs w:val="28"/>
          <w:rtl/>
        </w:rPr>
        <w:t>לנסיבות ביצוע העבירות במקרה דנן</w:t>
      </w:r>
      <w:r>
        <w:rPr>
          <w:rFonts w:ascii="FrankRuehl" w:hAnsi="FrankRuehl" w:cs="FrankRuehl" w:hint="cs"/>
          <w:color w:val="000000"/>
          <w:sz w:val="28"/>
          <w:szCs w:val="28"/>
          <w:rtl/>
        </w:rPr>
        <w:t xml:space="preserve"> - </w:t>
      </w:r>
      <w:r>
        <w:rPr>
          <w:rFonts w:cs="FrankRuehl" w:hint="cs"/>
          <w:sz w:val="28"/>
          <w:szCs w:val="28"/>
          <w:rtl/>
        </w:rPr>
        <w:t xml:space="preserve">הנאשם היה שותף פעיל בשלוש עסקאות נפרדות הנוגעות לחשיש בכמות הקרובה ל- </w:t>
      </w:r>
      <w:smartTag w:uri="urn:schemas-microsoft-com:office:smarttags" w:element="metricconverter">
        <w:smartTagPr>
          <w:attr w:name="ProductID" w:val="20 גרם"/>
        </w:smartTagPr>
        <w:r>
          <w:rPr>
            <w:rFonts w:cs="FrankRuehl" w:hint="cs"/>
            <w:sz w:val="28"/>
            <w:szCs w:val="28"/>
            <w:rtl/>
          </w:rPr>
          <w:t>20 גרם</w:t>
        </w:r>
      </w:smartTag>
      <w:r>
        <w:rPr>
          <w:rFonts w:cs="FrankRuehl" w:hint="cs"/>
          <w:sz w:val="28"/>
          <w:szCs w:val="28"/>
          <w:rtl/>
        </w:rPr>
        <w:t xml:space="preserve"> בכל מקרה. בשתיים מן העסקאות עסק הנאשם בסחר בסם (האישומים הראשון והשלישי לכתב-האישום המתוקן), ובעסקה נוספת שימש הנאשם כמתווך (האישום השני לכתב-האישום המתוקן). </w:t>
      </w:r>
    </w:p>
    <w:p w14:paraId="209C141F" w14:textId="77777777" w:rsidR="000173D3" w:rsidRDefault="000173D3">
      <w:pPr>
        <w:spacing w:after="120" w:line="360" w:lineRule="auto"/>
        <w:jc w:val="both"/>
        <w:rPr>
          <w:rFonts w:cs="FrankRuehl"/>
          <w:sz w:val="28"/>
          <w:szCs w:val="28"/>
          <w:rtl/>
        </w:rPr>
      </w:pPr>
    </w:p>
    <w:p w14:paraId="1EBCAD60" w14:textId="77777777" w:rsidR="000173D3" w:rsidRDefault="007F529D">
      <w:pPr>
        <w:spacing w:after="120" w:line="360" w:lineRule="auto"/>
        <w:ind w:firstLine="720"/>
        <w:jc w:val="both"/>
        <w:rPr>
          <w:rFonts w:cs="FrankRuehl"/>
          <w:sz w:val="28"/>
          <w:szCs w:val="28"/>
          <w:rtl/>
        </w:rPr>
      </w:pPr>
      <w:r>
        <w:rPr>
          <w:rFonts w:cs="FrankRuehl" w:hint="cs"/>
          <w:sz w:val="28"/>
          <w:szCs w:val="28"/>
          <w:rtl/>
        </w:rPr>
        <w:t xml:space="preserve">במסגרת האישומים הראשון והשלישי, </w:t>
      </w:r>
      <w:r>
        <w:rPr>
          <w:rFonts w:cs="FrankRuehl" w:hint="cs"/>
          <w:sz w:val="28"/>
          <w:szCs w:val="28"/>
          <w:u w:val="single"/>
          <w:rtl/>
        </w:rPr>
        <w:t>סחר</w:t>
      </w:r>
      <w:r>
        <w:rPr>
          <w:rFonts w:cs="FrankRuehl" w:hint="cs"/>
          <w:sz w:val="28"/>
          <w:szCs w:val="28"/>
          <w:rtl/>
        </w:rPr>
        <w:t xml:space="preserve"> הנאשם בסם מסוג חשיש במשקל הקרוב ל- </w:t>
      </w:r>
      <w:smartTag w:uri="urn:schemas-microsoft-com:office:smarttags" w:element="metricconverter">
        <w:smartTagPr>
          <w:attr w:name="ProductID" w:val="20 גרם"/>
        </w:smartTagPr>
        <w:r>
          <w:rPr>
            <w:rFonts w:cs="FrankRuehl" w:hint="cs"/>
            <w:sz w:val="28"/>
            <w:szCs w:val="28"/>
            <w:rtl/>
          </w:rPr>
          <w:t>20 גרם</w:t>
        </w:r>
      </w:smartTag>
      <w:r>
        <w:rPr>
          <w:rFonts w:cs="FrankRuehl" w:hint="cs"/>
          <w:sz w:val="28"/>
          <w:szCs w:val="28"/>
          <w:rtl/>
        </w:rPr>
        <w:t xml:space="preserve"> נטו בכל עסקה, ובתמורה לכך קיבל לידיו מהסוכן המשטרתי סכום של 1,200 ₪ בכל עסקה (ודוק, מוסכם כי באישום הראשון לא היה לנאשם רווח כספי כתוצאה מביצוע העסקה). יצוין כי מהשיח בין הנאשם לסוכן המשטרתי כפי שמפורט בעובדות כתב-האישום המתוקן, עולה כי באישום הראשון הנאשם היה זה שיזם את העסקה ואמר לסוכן המשטרתי במסגרת שיחת חולין ביניהם: "אם תצטרך אני אדאג לך", ובהמשך אף שאל אותו: "מה נהיה עם העניין". לעומת זאת, באישום השלישי הסוכן היה זה שפנה לנאשם לצורך רכישת הסם.</w:t>
      </w:r>
    </w:p>
    <w:p w14:paraId="4753F39F" w14:textId="77777777" w:rsidR="000173D3" w:rsidRDefault="000173D3">
      <w:pPr>
        <w:spacing w:after="120" w:line="360" w:lineRule="auto"/>
        <w:ind w:firstLine="720"/>
        <w:jc w:val="both"/>
        <w:rPr>
          <w:rFonts w:cs="FrankRuehl"/>
          <w:sz w:val="28"/>
          <w:szCs w:val="28"/>
          <w:rtl/>
        </w:rPr>
      </w:pPr>
    </w:p>
    <w:p w14:paraId="7AB5F9FE" w14:textId="77777777" w:rsidR="000173D3" w:rsidRDefault="007F529D">
      <w:pPr>
        <w:spacing w:after="120" w:line="360" w:lineRule="auto"/>
        <w:ind w:firstLine="720"/>
        <w:jc w:val="both"/>
        <w:rPr>
          <w:rFonts w:cs="FrankRuehl"/>
          <w:sz w:val="28"/>
          <w:szCs w:val="28"/>
          <w:rtl/>
        </w:rPr>
      </w:pPr>
      <w:r>
        <w:rPr>
          <w:rFonts w:cs="FrankRuehl" w:hint="cs"/>
          <w:sz w:val="28"/>
          <w:szCs w:val="28"/>
          <w:rtl/>
        </w:rPr>
        <w:t xml:space="preserve">במסגרת האישום השני, </w:t>
      </w:r>
      <w:r>
        <w:rPr>
          <w:rFonts w:cs="FrankRuehl" w:hint="cs"/>
          <w:sz w:val="28"/>
          <w:szCs w:val="28"/>
          <w:u w:val="single"/>
          <w:rtl/>
        </w:rPr>
        <w:t>תיווך</w:t>
      </w:r>
      <w:r>
        <w:rPr>
          <w:rFonts w:cs="FrankRuehl" w:hint="cs"/>
          <w:sz w:val="28"/>
          <w:szCs w:val="28"/>
          <w:rtl/>
        </w:rPr>
        <w:t xml:space="preserve"> הנאשם בנוגע לחשיש במשקל של קרוב ל- </w:t>
      </w:r>
      <w:smartTag w:uri="urn:schemas-microsoft-com:office:smarttags" w:element="metricconverter">
        <w:smartTagPr>
          <w:attr w:name="ProductID" w:val="20 גרם"/>
        </w:smartTagPr>
        <w:r>
          <w:rPr>
            <w:rFonts w:cs="FrankRuehl" w:hint="cs"/>
            <w:sz w:val="28"/>
            <w:szCs w:val="28"/>
            <w:rtl/>
          </w:rPr>
          <w:t>20 גרם</w:t>
        </w:r>
      </w:smartTag>
      <w:r>
        <w:rPr>
          <w:rFonts w:cs="FrankRuehl" w:hint="cs"/>
          <w:sz w:val="28"/>
          <w:szCs w:val="28"/>
          <w:rtl/>
        </w:rPr>
        <w:t xml:space="preserve"> תמורת 1,200 ש"ח. הנאשם נטל את הסם מידי האחר, ולאחר מכן נפגש עם הסוכן, העביר לידיו את הסם ונטל ממנו את הכסף בעבור הסם. הנאשם קיבל 100 ₪ מהסוכן בתמוּרה למלאכת התיווך האמוּרה. מעובדות כתב-האישום המתוקן עולה כי הסוכן הוא שיזם את ביצוע העסקה.</w:t>
      </w:r>
    </w:p>
    <w:p w14:paraId="3244804F" w14:textId="77777777" w:rsidR="000173D3" w:rsidRDefault="000173D3">
      <w:pPr>
        <w:spacing w:after="120" w:line="360" w:lineRule="auto"/>
        <w:ind w:firstLine="720"/>
        <w:jc w:val="both"/>
        <w:rPr>
          <w:rFonts w:cs="FrankRuehl"/>
          <w:sz w:val="28"/>
          <w:szCs w:val="28"/>
          <w:rtl/>
        </w:rPr>
      </w:pPr>
    </w:p>
    <w:p w14:paraId="08FB1412" w14:textId="77777777" w:rsidR="000173D3" w:rsidRDefault="007F529D">
      <w:pPr>
        <w:spacing w:after="120" w:line="360" w:lineRule="auto"/>
        <w:ind w:firstLine="720"/>
        <w:jc w:val="both"/>
        <w:rPr>
          <w:rFonts w:cs="FrankRuehl"/>
          <w:sz w:val="28"/>
          <w:szCs w:val="28"/>
          <w:rtl/>
        </w:rPr>
      </w:pPr>
      <w:r>
        <w:rPr>
          <w:rFonts w:cs="FrankRuehl" w:hint="cs"/>
          <w:sz w:val="28"/>
          <w:szCs w:val="28"/>
          <w:rtl/>
        </w:rPr>
        <w:t>יוער כי מתסקיר שירות המבחן עולה לכאורה כי הסיבה לביצוע העבירות הייתה חברותו של הנאשם עם הסוכן. הנאשם טען כי לא ביצע את העבירות מחמת בצע-כסף. עם זאת, הטענה האמורה אינה מתיישבת עם העובדה כי הנאשם הודה שקיבל לידיו תמורה של 100 ₪ עבור חלקו בעסקת התיווך. הטענה הנדונה אף אינה מתיישבת עם חלקו הדומיננטי של הנאשם בביצוע שלוש העסקאות בסם, וכן אינה מתיישבת עם העובדה כי באישום הראשון, הנאשם היה זה שפנה לסוכן ויזם את עסקת הסחר בסם.</w:t>
      </w:r>
    </w:p>
    <w:p w14:paraId="233DA0F3" w14:textId="77777777" w:rsidR="000173D3" w:rsidRDefault="000173D3">
      <w:pPr>
        <w:spacing w:after="120" w:line="360" w:lineRule="auto"/>
        <w:jc w:val="both"/>
        <w:rPr>
          <w:rFonts w:cs="FrankRuehl"/>
          <w:sz w:val="28"/>
          <w:szCs w:val="28"/>
          <w:rtl/>
        </w:rPr>
      </w:pPr>
    </w:p>
    <w:p w14:paraId="0E545CC7" w14:textId="77777777" w:rsidR="000173D3" w:rsidRDefault="007F529D">
      <w:pPr>
        <w:spacing w:after="120" w:line="360" w:lineRule="auto"/>
        <w:jc w:val="both"/>
        <w:rPr>
          <w:rFonts w:ascii="Calibri" w:hAnsi="Calibri" w:cs="FrankRuehl"/>
          <w:sz w:val="28"/>
          <w:szCs w:val="28"/>
          <w:rtl/>
        </w:rPr>
      </w:pPr>
      <w:r>
        <w:rPr>
          <w:rFonts w:cs="FrankRuehl" w:hint="cs"/>
          <w:sz w:val="28"/>
          <w:szCs w:val="28"/>
          <w:rtl/>
        </w:rPr>
        <w:t>9.</w:t>
      </w:r>
      <w:r>
        <w:rPr>
          <w:rFonts w:cs="FrankRuehl" w:hint="cs"/>
          <w:sz w:val="28"/>
          <w:szCs w:val="28"/>
          <w:rtl/>
        </w:rPr>
        <w:tab/>
        <w:t xml:space="preserve">בחינת </w:t>
      </w:r>
      <w:r>
        <w:rPr>
          <w:rFonts w:cs="FrankRuehl" w:hint="cs"/>
          <w:b/>
          <w:bCs/>
          <w:sz w:val="28"/>
          <w:szCs w:val="28"/>
          <w:rtl/>
        </w:rPr>
        <w:t>הענישה הנוהגת</w:t>
      </w:r>
      <w:r>
        <w:rPr>
          <w:rFonts w:cs="FrankRuehl" w:hint="cs"/>
          <w:sz w:val="28"/>
          <w:szCs w:val="28"/>
          <w:rtl/>
        </w:rPr>
        <w:t xml:space="preserve"> מעלה כי בגין עבירה של </w:t>
      </w:r>
      <w:r>
        <w:rPr>
          <w:rFonts w:cs="FrankRuehl" w:hint="cs"/>
          <w:sz w:val="28"/>
          <w:szCs w:val="28"/>
          <w:u w:val="single"/>
          <w:rtl/>
        </w:rPr>
        <w:t>סחר</w:t>
      </w:r>
      <w:r>
        <w:rPr>
          <w:rFonts w:cs="FrankRuehl" w:hint="cs"/>
          <w:sz w:val="28"/>
          <w:szCs w:val="28"/>
          <w:rtl/>
        </w:rPr>
        <w:t xml:space="preserve"> בחשיש בכמות דומה למקרה שלפניי, נוהגים בתי המשפט להטיל עונשי מאסר בפועל. כך גם בגין עבירה של </w:t>
      </w:r>
      <w:r>
        <w:rPr>
          <w:rFonts w:cs="FrankRuehl" w:hint="cs"/>
          <w:sz w:val="28"/>
          <w:szCs w:val="28"/>
          <w:u w:val="single"/>
          <w:rtl/>
        </w:rPr>
        <w:t>תיווך</w:t>
      </w:r>
      <w:r>
        <w:rPr>
          <w:rFonts w:cs="FrankRuehl" w:hint="cs"/>
          <w:sz w:val="28"/>
          <w:szCs w:val="28"/>
          <w:rtl/>
        </w:rPr>
        <w:t xml:space="preserve"> בחשיש בכמות הנדונה (שהרי בפעולת התיווך יש כדי לתרום תרומה ממשית להוצאתן אל הפועל של עסקאות סמים). יוער כי עונש המקסימום הקבוע בחוק בגין עבירה של סחר בסמים ובגין עבירה של תיווך בסמים הינו זהה (20 שנה). </w:t>
      </w:r>
    </w:p>
    <w:p w14:paraId="5577F13E" w14:textId="77777777" w:rsidR="000173D3" w:rsidRDefault="000173D3">
      <w:pPr>
        <w:spacing w:after="120" w:line="360" w:lineRule="auto"/>
        <w:jc w:val="both"/>
        <w:rPr>
          <w:rFonts w:cs="FrankRuehl"/>
          <w:sz w:val="28"/>
          <w:szCs w:val="28"/>
          <w:rtl/>
        </w:rPr>
      </w:pPr>
    </w:p>
    <w:p w14:paraId="756EC524" w14:textId="77777777" w:rsidR="000173D3" w:rsidRDefault="007F529D">
      <w:pPr>
        <w:spacing w:after="120" w:line="360" w:lineRule="auto"/>
        <w:jc w:val="both"/>
        <w:rPr>
          <w:rFonts w:cs="FrankRuehl"/>
          <w:sz w:val="28"/>
          <w:szCs w:val="28"/>
          <w:rtl/>
        </w:rPr>
      </w:pPr>
      <w:r>
        <w:rPr>
          <w:rFonts w:cs="FrankRuehl" w:hint="cs"/>
          <w:sz w:val="28"/>
          <w:szCs w:val="28"/>
          <w:rtl/>
        </w:rPr>
        <w:t>10.</w:t>
      </w:r>
      <w:r>
        <w:rPr>
          <w:rFonts w:cs="FrankRuehl" w:hint="cs"/>
          <w:sz w:val="28"/>
          <w:szCs w:val="28"/>
          <w:rtl/>
        </w:rPr>
        <w:tab/>
        <w:t>בהתחשב בעקרון המנחה של ההלימה; בשים לב לפגיעה בערכים המוגנים; בהתחשב בחומרת המעשים ונסיבות ביצועם; ובהתחשב במדיניות הענישה הנוהגת; אני סבורה כי מתחמי הענישה ההולמת במקרה שלפניי הינם כדלקמן:</w:t>
      </w:r>
    </w:p>
    <w:p w14:paraId="358DEC51" w14:textId="77777777" w:rsidR="000173D3" w:rsidRDefault="000173D3">
      <w:pPr>
        <w:spacing w:after="120" w:line="360" w:lineRule="auto"/>
        <w:ind w:firstLine="720"/>
        <w:jc w:val="both"/>
        <w:rPr>
          <w:rFonts w:cs="FrankRuehl"/>
          <w:b/>
          <w:bCs/>
          <w:sz w:val="28"/>
          <w:szCs w:val="28"/>
          <w:rtl/>
        </w:rPr>
      </w:pPr>
    </w:p>
    <w:p w14:paraId="20AFAB2E" w14:textId="77777777" w:rsidR="000173D3" w:rsidRDefault="007F529D">
      <w:pPr>
        <w:spacing w:after="120" w:line="360" w:lineRule="auto"/>
        <w:ind w:firstLine="720"/>
        <w:jc w:val="both"/>
        <w:rPr>
          <w:rFonts w:cs="FrankRuehl"/>
          <w:sz w:val="28"/>
          <w:szCs w:val="28"/>
          <w:rtl/>
        </w:rPr>
      </w:pPr>
      <w:r>
        <w:rPr>
          <w:rFonts w:cs="FrankRuehl" w:hint="cs"/>
          <w:b/>
          <w:bCs/>
          <w:sz w:val="28"/>
          <w:szCs w:val="28"/>
          <w:rtl/>
        </w:rPr>
        <w:t>בהתאם ל"מבחן הצורני-עובדתי" (לפיו עסקינן ב"מספר אירועים")</w:t>
      </w:r>
      <w:r>
        <w:rPr>
          <w:rFonts w:cs="FrankRuehl" w:hint="cs"/>
          <w:sz w:val="28"/>
          <w:szCs w:val="28"/>
          <w:rtl/>
        </w:rPr>
        <w:t>:</w:t>
      </w:r>
    </w:p>
    <w:p w14:paraId="0E46CFB1" w14:textId="77777777" w:rsidR="000173D3" w:rsidRDefault="007F529D">
      <w:pPr>
        <w:spacing w:after="120" w:line="360" w:lineRule="auto"/>
        <w:ind w:firstLine="720"/>
        <w:jc w:val="both"/>
        <w:rPr>
          <w:rFonts w:cs="FrankRuehl"/>
          <w:sz w:val="28"/>
          <w:szCs w:val="28"/>
          <w:rtl/>
        </w:rPr>
      </w:pPr>
      <w:r>
        <w:rPr>
          <w:rFonts w:cs="FrankRuehl" w:hint="cs"/>
          <w:sz w:val="28"/>
          <w:szCs w:val="28"/>
          <w:rtl/>
        </w:rPr>
        <w:t xml:space="preserve">מתחם העונש ההולם בגין כל עבירה של </w:t>
      </w:r>
      <w:r>
        <w:rPr>
          <w:rFonts w:cs="FrankRuehl" w:hint="cs"/>
          <w:sz w:val="28"/>
          <w:szCs w:val="28"/>
          <w:u w:val="single"/>
          <w:rtl/>
        </w:rPr>
        <w:t>סחר</w:t>
      </w:r>
      <w:r>
        <w:rPr>
          <w:rFonts w:cs="FrankRuehl" w:hint="cs"/>
          <w:sz w:val="28"/>
          <w:szCs w:val="28"/>
          <w:rtl/>
        </w:rPr>
        <w:t xml:space="preserve"> בסם נשוא האישומים הראשון והשלישי (סחר בחשיש במשקל הקרוב ל- </w:t>
      </w:r>
      <w:smartTag w:uri="urn:schemas-microsoft-com:office:smarttags" w:element="metricconverter">
        <w:smartTagPr>
          <w:attr w:name="ProductID" w:val="20 גרם"/>
        </w:smartTagPr>
        <w:r>
          <w:rPr>
            <w:rFonts w:cs="FrankRuehl" w:hint="cs"/>
            <w:sz w:val="28"/>
            <w:szCs w:val="28"/>
            <w:rtl/>
          </w:rPr>
          <w:t>20 גרם</w:t>
        </w:r>
      </w:smartTag>
      <w:r>
        <w:rPr>
          <w:rFonts w:cs="FrankRuehl" w:hint="cs"/>
          <w:sz w:val="28"/>
          <w:szCs w:val="28"/>
          <w:rtl/>
        </w:rPr>
        <w:t xml:space="preserve"> נטו תמורת 1,200 ₪, כאשר לנאשם עצמו לא היה רווח כספי כתוצאה מהמכירה באישום הראשון) נע ממאסר קצר בפועל ועד 12 חודשי מאסר בפועל </w:t>
      </w:r>
      <w:r>
        <w:rPr>
          <w:rFonts w:cs="FrankRuehl" w:hint="cs"/>
          <w:sz w:val="28"/>
          <w:szCs w:val="28"/>
          <w:u w:val="single"/>
          <w:rtl/>
        </w:rPr>
        <w:t>לכל אירוע</w:t>
      </w:r>
      <w:r>
        <w:rPr>
          <w:rFonts w:cs="FrankRuehl" w:hint="cs"/>
          <w:sz w:val="28"/>
          <w:szCs w:val="28"/>
          <w:rtl/>
        </w:rPr>
        <w:t>.</w:t>
      </w:r>
    </w:p>
    <w:p w14:paraId="4D9A73D2" w14:textId="77777777" w:rsidR="000173D3" w:rsidRDefault="000173D3">
      <w:pPr>
        <w:spacing w:after="120" w:line="360" w:lineRule="auto"/>
        <w:ind w:firstLine="720"/>
        <w:jc w:val="both"/>
        <w:rPr>
          <w:rFonts w:cs="FrankRuehl"/>
          <w:sz w:val="28"/>
          <w:szCs w:val="28"/>
          <w:rtl/>
        </w:rPr>
      </w:pPr>
    </w:p>
    <w:p w14:paraId="395A13CF" w14:textId="77777777" w:rsidR="000173D3" w:rsidRDefault="007F529D">
      <w:pPr>
        <w:spacing w:after="120" w:line="360" w:lineRule="auto"/>
        <w:ind w:firstLine="720"/>
        <w:jc w:val="both"/>
        <w:rPr>
          <w:rFonts w:cs="FrankRuehl"/>
          <w:sz w:val="28"/>
          <w:szCs w:val="28"/>
          <w:rtl/>
        </w:rPr>
      </w:pPr>
      <w:r>
        <w:rPr>
          <w:rFonts w:cs="FrankRuehl" w:hint="cs"/>
          <w:sz w:val="28"/>
          <w:szCs w:val="28"/>
          <w:rtl/>
        </w:rPr>
        <w:t xml:space="preserve">מתחם העונש ההולם בגין העבירה של </w:t>
      </w:r>
      <w:r>
        <w:rPr>
          <w:rFonts w:cs="FrankRuehl" w:hint="cs"/>
          <w:sz w:val="28"/>
          <w:szCs w:val="28"/>
          <w:u w:val="single"/>
          <w:rtl/>
        </w:rPr>
        <w:t>תיווך</w:t>
      </w:r>
      <w:r>
        <w:rPr>
          <w:rFonts w:cs="FrankRuehl" w:hint="cs"/>
          <w:sz w:val="28"/>
          <w:szCs w:val="28"/>
          <w:rtl/>
        </w:rPr>
        <w:t xml:space="preserve"> לעסקה בסם נשוא האישום השני (תיווך לגבי חשיש במשקל הקרוב ל- </w:t>
      </w:r>
      <w:smartTag w:uri="urn:schemas-microsoft-com:office:smarttags" w:element="metricconverter">
        <w:smartTagPr>
          <w:attr w:name="ProductID" w:val="20 גרם"/>
        </w:smartTagPr>
        <w:r>
          <w:rPr>
            <w:rFonts w:cs="FrankRuehl" w:hint="cs"/>
            <w:sz w:val="28"/>
            <w:szCs w:val="28"/>
            <w:rtl/>
          </w:rPr>
          <w:t>20 גרם</w:t>
        </w:r>
      </w:smartTag>
      <w:r>
        <w:rPr>
          <w:rFonts w:cs="FrankRuehl" w:hint="cs"/>
          <w:sz w:val="28"/>
          <w:szCs w:val="28"/>
          <w:rtl/>
        </w:rPr>
        <w:t xml:space="preserve"> תמורת 1,200 ₪, כאשר למתווך ניתנה תמורה כספית בסך 100 ₪ עבור חלקו בעסקה) נע ממאסר קצר בפועל ועד 10 חודשי מאסר בפועל.</w:t>
      </w:r>
    </w:p>
    <w:p w14:paraId="4FB6C1D7" w14:textId="77777777" w:rsidR="000173D3" w:rsidRDefault="000173D3">
      <w:pPr>
        <w:spacing w:after="120" w:line="360" w:lineRule="auto"/>
        <w:jc w:val="both"/>
        <w:rPr>
          <w:rFonts w:cs="FrankRuehl"/>
          <w:sz w:val="28"/>
          <w:szCs w:val="28"/>
          <w:rtl/>
        </w:rPr>
      </w:pPr>
    </w:p>
    <w:p w14:paraId="3137468C" w14:textId="77777777" w:rsidR="000173D3" w:rsidRDefault="007F529D">
      <w:pPr>
        <w:spacing w:after="120" w:line="360" w:lineRule="auto"/>
        <w:ind w:firstLine="720"/>
        <w:jc w:val="both"/>
        <w:rPr>
          <w:rFonts w:cs="FrankRuehl"/>
          <w:sz w:val="28"/>
          <w:szCs w:val="28"/>
          <w:rtl/>
        </w:rPr>
      </w:pPr>
      <w:r>
        <w:rPr>
          <w:rFonts w:cs="FrankRuehl" w:hint="cs"/>
          <w:b/>
          <w:bCs/>
          <w:sz w:val="28"/>
          <w:szCs w:val="28"/>
          <w:rtl/>
        </w:rPr>
        <w:t>בהתאם ל"מבחן הקשר ההדוק" (לפיו עסקינן ב"אירוע אחד" הכולל "מספר מעשים")</w:t>
      </w:r>
      <w:r>
        <w:rPr>
          <w:rFonts w:cs="FrankRuehl" w:hint="cs"/>
          <w:sz w:val="28"/>
          <w:szCs w:val="28"/>
          <w:rtl/>
        </w:rPr>
        <w:t>:</w:t>
      </w:r>
    </w:p>
    <w:p w14:paraId="309A42D9" w14:textId="77777777" w:rsidR="000173D3" w:rsidRDefault="007F529D">
      <w:pPr>
        <w:spacing w:after="120" w:line="360" w:lineRule="auto"/>
        <w:ind w:firstLine="720"/>
        <w:jc w:val="both"/>
        <w:rPr>
          <w:rFonts w:cs="FrankRuehl"/>
          <w:sz w:val="28"/>
          <w:szCs w:val="28"/>
          <w:rtl/>
        </w:rPr>
      </w:pPr>
      <w:r>
        <w:rPr>
          <w:rFonts w:cs="FrankRuehl" w:hint="cs"/>
          <w:sz w:val="28"/>
          <w:szCs w:val="28"/>
          <w:rtl/>
        </w:rPr>
        <w:t>מתחם העונש ההולם נע ממספר חד-ספרתי של חודשי מאסר בפועל ועד 25 חודשי מאסר בפועל.</w:t>
      </w:r>
    </w:p>
    <w:p w14:paraId="29035E71" w14:textId="77777777" w:rsidR="000173D3" w:rsidRDefault="000173D3">
      <w:pPr>
        <w:spacing w:after="120" w:line="360" w:lineRule="auto"/>
        <w:jc w:val="both"/>
        <w:rPr>
          <w:rFonts w:cs="FrankRuehl"/>
          <w:sz w:val="28"/>
          <w:szCs w:val="28"/>
          <w:rtl/>
        </w:rPr>
      </w:pPr>
    </w:p>
    <w:p w14:paraId="014AE634" w14:textId="77777777" w:rsidR="000173D3" w:rsidRDefault="007F529D">
      <w:pPr>
        <w:spacing w:after="120" w:line="360" w:lineRule="auto"/>
        <w:jc w:val="both"/>
        <w:rPr>
          <w:rFonts w:ascii="Calibri" w:hAnsi="Calibri" w:cs="FrankRuehl"/>
          <w:sz w:val="28"/>
          <w:szCs w:val="28"/>
          <w:u w:val="single"/>
          <w:rtl/>
        </w:rPr>
      </w:pPr>
      <w:r>
        <w:rPr>
          <w:rFonts w:cs="FrankRuehl" w:hint="cs"/>
          <w:sz w:val="28"/>
          <w:szCs w:val="28"/>
          <w:u w:val="single"/>
          <w:rtl/>
        </w:rPr>
        <w:t>גזירת העונש המתאים</w:t>
      </w:r>
    </w:p>
    <w:p w14:paraId="316E0181" w14:textId="77777777" w:rsidR="000173D3" w:rsidRDefault="007F529D">
      <w:pPr>
        <w:spacing w:after="120" w:line="360" w:lineRule="auto"/>
        <w:jc w:val="both"/>
        <w:rPr>
          <w:rFonts w:cs="FrankRuehl"/>
          <w:b/>
          <w:bCs/>
          <w:sz w:val="28"/>
          <w:szCs w:val="28"/>
          <w:rtl/>
        </w:rPr>
      </w:pPr>
      <w:r>
        <w:rPr>
          <w:rFonts w:cs="FrankRuehl" w:hint="cs"/>
          <w:sz w:val="28"/>
          <w:szCs w:val="28"/>
          <w:rtl/>
        </w:rPr>
        <w:t>11.</w:t>
      </w:r>
      <w:r>
        <w:rPr>
          <w:rFonts w:cs="FrankRuehl" w:hint="cs"/>
          <w:sz w:val="28"/>
          <w:szCs w:val="28"/>
          <w:rtl/>
        </w:rPr>
        <w:tab/>
        <w:t xml:space="preserve">בנסיבות המקרה, לא ראיתי לסטות ממתחמי הענישה ההולמת לקולא או לחומרה. אשר לגזירת העונש המתאים בגדרי המתחמים שנקבעו - בהתאם </w:t>
      </w:r>
      <w:hyperlink r:id="rId26" w:history="1">
        <w:r w:rsidR="003A2DD9" w:rsidRPr="003A2DD9">
          <w:rPr>
            <w:rStyle w:val="Hyperlink"/>
            <w:rFonts w:cs="FrankRuehl" w:hint="eastAsia"/>
            <w:sz w:val="28"/>
            <w:szCs w:val="28"/>
            <w:rtl/>
          </w:rPr>
          <w:t>לסעיף</w:t>
        </w:r>
        <w:r w:rsidR="003A2DD9" w:rsidRPr="003A2DD9">
          <w:rPr>
            <w:rStyle w:val="Hyperlink"/>
            <w:rFonts w:cs="FrankRuehl"/>
            <w:sz w:val="28"/>
            <w:szCs w:val="28"/>
            <w:rtl/>
          </w:rPr>
          <w:t xml:space="preserve"> 40יא</w:t>
        </w:r>
      </w:hyperlink>
      <w:r>
        <w:rPr>
          <w:rFonts w:cs="FrankRuehl" w:hint="cs"/>
          <w:sz w:val="28"/>
          <w:szCs w:val="28"/>
          <w:rtl/>
        </w:rPr>
        <w:t xml:space="preserve"> ל</w:t>
      </w:r>
      <w:hyperlink r:id="rId27" w:history="1">
        <w:r w:rsidRPr="007F529D">
          <w:rPr>
            <w:rFonts w:cs="FrankRuehl"/>
            <w:color w:val="0000FF"/>
            <w:sz w:val="28"/>
            <w:szCs w:val="28"/>
            <w:u w:val="single"/>
            <w:rtl/>
          </w:rPr>
          <w:t>חוק העונשין</w:t>
        </w:r>
      </w:hyperlink>
      <w:r>
        <w:rPr>
          <w:rFonts w:cs="FrankRuehl" w:hint="cs"/>
          <w:sz w:val="28"/>
          <w:szCs w:val="28"/>
          <w:rtl/>
        </w:rPr>
        <w:t>, יש לשקול את הנסיבות שאינן קשורות בביצוע העבירות:</w:t>
      </w:r>
    </w:p>
    <w:p w14:paraId="643C7692" w14:textId="77777777" w:rsidR="000173D3" w:rsidRDefault="000173D3">
      <w:pPr>
        <w:spacing w:after="120" w:line="360" w:lineRule="auto"/>
        <w:jc w:val="both"/>
        <w:rPr>
          <w:rFonts w:cs="FrankRuehl"/>
          <w:b/>
          <w:bCs/>
          <w:sz w:val="28"/>
          <w:szCs w:val="28"/>
          <w:rtl/>
        </w:rPr>
      </w:pPr>
    </w:p>
    <w:p w14:paraId="7E9DBA08" w14:textId="77777777" w:rsidR="000173D3" w:rsidRDefault="007F529D">
      <w:pPr>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xml:space="preserve">, התחשבתי בהודאת הנאשם, בנטילת האחריות ובהבעת החרטה. עוד התחשבתי בנסיבותיו האישיות של הנאשם כפי שעלו מתסקיר שירות המבחן ומטיעוני הסנגור לפניי. בנוסף, ניתן משקל לגילו הצעיר של הנאשם בעת ביצוע העבירות (העבירה נשוא האישום הראשון בוצעה טרם הגיעו של הנאשם לגיל 21, בעת היותו "בגיר-צעיר". יתר העבירות בוצעו לאחר שמלאו לנאשם 21 שנים). </w:t>
      </w:r>
    </w:p>
    <w:p w14:paraId="03F6B826" w14:textId="77777777" w:rsidR="000173D3" w:rsidRDefault="000173D3">
      <w:pPr>
        <w:spacing w:after="120" w:line="360" w:lineRule="auto"/>
        <w:jc w:val="both"/>
        <w:rPr>
          <w:rFonts w:cs="FrankRuehl"/>
          <w:sz w:val="28"/>
          <w:szCs w:val="28"/>
          <w:rtl/>
        </w:rPr>
      </w:pPr>
    </w:p>
    <w:p w14:paraId="2B034B5E" w14:textId="77777777" w:rsidR="000173D3" w:rsidRDefault="007F529D">
      <w:pPr>
        <w:spacing w:after="120" w:line="360" w:lineRule="auto"/>
        <w:ind w:firstLine="720"/>
        <w:jc w:val="both"/>
        <w:rPr>
          <w:rFonts w:cs="FrankRuehl"/>
          <w:sz w:val="28"/>
          <w:szCs w:val="28"/>
          <w:rtl/>
        </w:rPr>
      </w:pPr>
      <w:r>
        <w:rPr>
          <w:rFonts w:cs="FrankRuehl" w:hint="cs"/>
          <w:b/>
          <w:bCs/>
          <w:sz w:val="28"/>
          <w:szCs w:val="28"/>
          <w:rtl/>
        </w:rPr>
        <w:t>לחומרה</w:t>
      </w:r>
      <w:r>
        <w:rPr>
          <w:rFonts w:cs="FrankRuehl" w:hint="cs"/>
          <w:sz w:val="28"/>
          <w:szCs w:val="28"/>
          <w:rtl/>
        </w:rPr>
        <w:t xml:space="preserve">, שקלתי את עברו של הנאשם, אשר כולל הרשעה בעבירה של נהיגה בזמן פסילה בבית-המשפט לתעבורה, בגינה נידון לעונש מאסר לריצוי על-דרך של עבודות שירות. חומרה מיוחדת אני רואה בכך שהנאשם ביצע את העבירות נשוא תיק זה, שעה שביצע עבודות שירות שהוטלו עליו בתיק תעבורה קודם. התנהלות זו של הנאשם מעידה על חוסר הפנמה ועל העדר מורא מפני החוק, כפי שצוין גם בתסקיר שירות המבחן. בהתחשב בכך, אני סבורה כי יש מקום למסר עונשי מרתיע ומציב גבולות מפני הישנות המעשים. </w:t>
      </w:r>
    </w:p>
    <w:p w14:paraId="386F2C84" w14:textId="77777777" w:rsidR="000173D3" w:rsidRDefault="000173D3">
      <w:pPr>
        <w:spacing w:after="120" w:line="360" w:lineRule="auto"/>
        <w:jc w:val="both"/>
        <w:rPr>
          <w:rFonts w:cs="FrankRuehl"/>
          <w:sz w:val="28"/>
          <w:szCs w:val="28"/>
          <w:rtl/>
        </w:rPr>
      </w:pPr>
    </w:p>
    <w:p w14:paraId="1C0B95DA" w14:textId="77777777" w:rsidR="000173D3" w:rsidRDefault="007F529D">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באיזון בין מכלול השיקולים לקולא ולחומרה, אני סבורה כי יש להעמיד את עונשו של הנאשם </w:t>
      </w:r>
      <w:r>
        <w:rPr>
          <w:rFonts w:cs="FrankRuehl" w:hint="cs"/>
          <w:sz w:val="28"/>
          <w:szCs w:val="28"/>
          <w:u w:val="single"/>
          <w:rtl/>
        </w:rPr>
        <w:t>בין הרף הנמוך לרף הבינוני</w:t>
      </w:r>
      <w:r>
        <w:rPr>
          <w:rFonts w:cs="FrankRuehl" w:hint="cs"/>
          <w:sz w:val="28"/>
          <w:szCs w:val="28"/>
          <w:rtl/>
        </w:rPr>
        <w:t xml:space="preserve"> של המתחמים שקבעתי. אציין כי נוכח עונש המאסר בפועל שאשית על הנאשם ובשים לב למצבם הכלכלי של הנאשם ומשפחתו, אמנע מהשתת רכיב כספי על הנאשם.</w:t>
      </w:r>
    </w:p>
    <w:p w14:paraId="03809421" w14:textId="77777777" w:rsidR="000173D3" w:rsidRDefault="000173D3">
      <w:pPr>
        <w:spacing w:after="120" w:line="360" w:lineRule="auto"/>
        <w:jc w:val="both"/>
        <w:rPr>
          <w:rFonts w:cs="FrankRuehl"/>
          <w:sz w:val="28"/>
          <w:szCs w:val="28"/>
          <w:rtl/>
        </w:rPr>
      </w:pPr>
    </w:p>
    <w:p w14:paraId="76BF77D9" w14:textId="77777777" w:rsidR="000173D3" w:rsidRDefault="007F529D">
      <w:pPr>
        <w:spacing w:after="120" w:line="360" w:lineRule="auto"/>
        <w:jc w:val="both"/>
        <w:rPr>
          <w:rFonts w:cs="FrankRuehl"/>
          <w:sz w:val="28"/>
          <w:szCs w:val="28"/>
          <w:u w:val="single"/>
          <w:rtl/>
        </w:rPr>
      </w:pPr>
      <w:r>
        <w:rPr>
          <w:rFonts w:cs="FrankRuehl" w:hint="cs"/>
          <w:sz w:val="28"/>
          <w:szCs w:val="28"/>
          <w:u w:val="single"/>
          <w:rtl/>
        </w:rPr>
        <w:t>סוף דבר</w:t>
      </w:r>
    </w:p>
    <w:p w14:paraId="2A65B313" w14:textId="77777777" w:rsidR="000173D3" w:rsidRDefault="007F529D">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נוכח מכלול הטעמים האמורים, אני גוזרת על הנאשם כדלקמן:</w:t>
      </w:r>
    </w:p>
    <w:p w14:paraId="1A93A178" w14:textId="77777777" w:rsidR="000173D3" w:rsidRDefault="007F529D">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 xml:space="preserve"> 12 חודשי מאסר בפועל, החל מיום מעצרו. </w:t>
      </w:r>
    </w:p>
    <w:p w14:paraId="2CA62999" w14:textId="77777777" w:rsidR="000173D3" w:rsidRDefault="000173D3">
      <w:pPr>
        <w:spacing w:after="120" w:line="360" w:lineRule="auto"/>
        <w:jc w:val="both"/>
        <w:rPr>
          <w:rFonts w:cs="FrankRuehl"/>
          <w:sz w:val="28"/>
          <w:szCs w:val="28"/>
          <w:rtl/>
        </w:rPr>
      </w:pPr>
    </w:p>
    <w:p w14:paraId="7D96A47A" w14:textId="77777777" w:rsidR="000173D3" w:rsidRDefault="007F529D">
      <w:pPr>
        <w:spacing w:after="120" w:line="360" w:lineRule="auto"/>
        <w:jc w:val="both"/>
        <w:rPr>
          <w:rFonts w:cs="FrankRuehl"/>
          <w:b/>
          <w:bCs/>
          <w:sz w:val="28"/>
          <w:szCs w:val="28"/>
          <w:rtl/>
        </w:rPr>
      </w:pPr>
      <w:r>
        <w:rPr>
          <w:rFonts w:cs="FrankRuehl" w:hint="cs"/>
          <w:sz w:val="28"/>
          <w:szCs w:val="28"/>
          <w:rtl/>
        </w:rPr>
        <w:t>ב.</w:t>
      </w:r>
      <w:r>
        <w:rPr>
          <w:rFonts w:cs="FrankRuehl" w:hint="cs"/>
          <w:sz w:val="28"/>
          <w:szCs w:val="28"/>
          <w:rtl/>
        </w:rPr>
        <w:tab/>
      </w:r>
      <w:r>
        <w:rPr>
          <w:rFonts w:cs="FrankRuehl" w:hint="cs"/>
          <w:b/>
          <w:bCs/>
          <w:sz w:val="28"/>
          <w:szCs w:val="28"/>
          <w:rtl/>
        </w:rPr>
        <w:t xml:space="preserve"> </w:t>
      </w:r>
      <w:r>
        <w:rPr>
          <w:rFonts w:cs="FrankRuehl" w:hint="cs"/>
          <w:sz w:val="28"/>
          <w:szCs w:val="28"/>
          <w:rtl/>
        </w:rPr>
        <w:t>מאסר על-תנאי לתקופה של 7 חודשים למשך שלוש שנים מיום השחרור ממאסר. התנאי הוא שהנאשם לא יעבור כל עבירת סמים מסוג פשע.</w:t>
      </w:r>
    </w:p>
    <w:p w14:paraId="1730CA9E" w14:textId="77777777" w:rsidR="000173D3" w:rsidRDefault="000173D3">
      <w:pPr>
        <w:spacing w:after="120" w:line="360" w:lineRule="auto"/>
        <w:jc w:val="both"/>
        <w:rPr>
          <w:rFonts w:cs="FrankRuehl"/>
          <w:b/>
          <w:bCs/>
          <w:sz w:val="28"/>
          <w:szCs w:val="28"/>
          <w:rtl/>
        </w:rPr>
      </w:pPr>
    </w:p>
    <w:p w14:paraId="45D9D143" w14:textId="77777777" w:rsidR="000173D3" w:rsidRDefault="007F529D">
      <w:pPr>
        <w:spacing w:after="120" w:line="360" w:lineRule="auto"/>
        <w:jc w:val="both"/>
        <w:rPr>
          <w:rtl/>
        </w:rPr>
      </w:pPr>
      <w:r>
        <w:rPr>
          <w:rFonts w:cs="FrankRuehl" w:hint="cs"/>
          <w:sz w:val="28"/>
          <w:szCs w:val="28"/>
          <w:rtl/>
        </w:rPr>
        <w:t>ג.</w:t>
      </w:r>
      <w:r>
        <w:rPr>
          <w:rFonts w:cs="FrankRuehl" w:hint="cs"/>
          <w:sz w:val="28"/>
          <w:szCs w:val="28"/>
          <w:rtl/>
        </w:rPr>
        <w:tab/>
        <w:t xml:space="preserve">מאסר על-תנאי לתקופה של 3 חודשים למשך שלוש שנים מיום השחרור ממאסר. התנאי הוא שהנאשם לא יעבור כל עבירת סמים מסוג עוון. </w:t>
      </w:r>
    </w:p>
    <w:p w14:paraId="503DC437" w14:textId="77777777" w:rsidR="000173D3" w:rsidRDefault="000173D3">
      <w:pPr>
        <w:spacing w:after="120" w:line="360" w:lineRule="auto"/>
        <w:jc w:val="both"/>
        <w:rPr>
          <w:rtl/>
        </w:rPr>
      </w:pPr>
    </w:p>
    <w:p w14:paraId="6C9D59C1" w14:textId="77777777" w:rsidR="000173D3" w:rsidRDefault="007F529D">
      <w:pPr>
        <w:spacing w:after="120" w:line="360" w:lineRule="auto"/>
        <w:jc w:val="both"/>
        <w:rPr>
          <w:rtl/>
        </w:rPr>
      </w:pPr>
      <w:r>
        <w:rPr>
          <w:rFonts w:cs="FrankRuehl" w:hint="cs"/>
          <w:sz w:val="28"/>
          <w:szCs w:val="28"/>
          <w:rtl/>
        </w:rPr>
        <w:t>ד.</w:t>
      </w:r>
      <w:r>
        <w:rPr>
          <w:rFonts w:cs="FrankRuehl" w:hint="cs"/>
          <w:sz w:val="28"/>
          <w:szCs w:val="28"/>
          <w:rtl/>
        </w:rPr>
        <w:tab/>
        <w:t>ככל שנתפסו סמים, יש להשמידם.</w:t>
      </w:r>
    </w:p>
    <w:p w14:paraId="6B8930E7" w14:textId="77777777" w:rsidR="000173D3" w:rsidRDefault="000173D3">
      <w:pPr>
        <w:spacing w:after="120" w:line="360" w:lineRule="auto"/>
        <w:jc w:val="both"/>
        <w:rPr>
          <w:rFonts w:cs="FrankRuehl"/>
          <w:b/>
          <w:bCs/>
          <w:sz w:val="28"/>
          <w:szCs w:val="28"/>
          <w:rtl/>
        </w:rPr>
      </w:pPr>
    </w:p>
    <w:p w14:paraId="09260E6C" w14:textId="77777777" w:rsidR="000173D3" w:rsidRDefault="007F529D">
      <w:pPr>
        <w:spacing w:line="360" w:lineRule="auto"/>
        <w:jc w:val="both"/>
        <w:rPr>
          <w:rFonts w:ascii="Calibri" w:hAnsi="Calibri" w:cs="FrankRuehl"/>
          <w:b/>
          <w:bCs/>
          <w:sz w:val="28"/>
          <w:szCs w:val="28"/>
          <w:rtl/>
        </w:rPr>
      </w:pPr>
      <w:r>
        <w:rPr>
          <w:rFonts w:hint="cs"/>
          <w:rtl/>
        </w:rPr>
        <w:tab/>
      </w:r>
      <w:r>
        <w:rPr>
          <w:rFonts w:cs="FrankRuehl" w:hint="cs"/>
          <w:b/>
          <w:bCs/>
          <w:sz w:val="28"/>
          <w:szCs w:val="28"/>
          <w:rtl/>
        </w:rPr>
        <w:t>המזכירות תמציא העתק גזר-הדין לשירות המבחן למבוגרים.</w:t>
      </w:r>
    </w:p>
    <w:p w14:paraId="14040C7F" w14:textId="77777777" w:rsidR="000173D3" w:rsidRDefault="000173D3">
      <w:pPr>
        <w:spacing w:line="360" w:lineRule="auto"/>
        <w:ind w:firstLine="720"/>
        <w:jc w:val="both"/>
        <w:rPr>
          <w:rFonts w:cs="FrankRuehl"/>
          <w:b/>
          <w:bCs/>
          <w:sz w:val="28"/>
          <w:szCs w:val="28"/>
          <w:rtl/>
        </w:rPr>
      </w:pPr>
    </w:p>
    <w:p w14:paraId="7A600DA5" w14:textId="77777777" w:rsidR="000173D3" w:rsidRDefault="007F529D">
      <w:pPr>
        <w:spacing w:line="360" w:lineRule="auto"/>
        <w:ind w:firstLine="720"/>
        <w:jc w:val="both"/>
        <w:rPr>
          <w:rFonts w:ascii="Calibri" w:hAnsi="Calibri" w:cs="FrankRuehl"/>
          <w:b/>
          <w:bCs/>
          <w:sz w:val="28"/>
          <w:szCs w:val="28"/>
          <w:rtl/>
        </w:rPr>
      </w:pPr>
      <w:r>
        <w:rPr>
          <w:rFonts w:cs="FrankRuehl" w:hint="cs"/>
          <w:b/>
          <w:bCs/>
          <w:sz w:val="28"/>
          <w:szCs w:val="28"/>
          <w:rtl/>
        </w:rPr>
        <w:t>זכות ערעור לבית המשפט המחוזי תוך 45 ימים מהיום.</w:t>
      </w:r>
    </w:p>
    <w:p w14:paraId="51F864E8" w14:textId="77777777" w:rsidR="000173D3" w:rsidRDefault="000173D3">
      <w:pPr>
        <w:rPr>
          <w:rFonts w:cs="FrankRuehl"/>
          <w:sz w:val="28"/>
          <w:szCs w:val="28"/>
          <w:rtl/>
        </w:rPr>
      </w:pPr>
    </w:p>
    <w:p w14:paraId="4143FCC3" w14:textId="77777777" w:rsidR="000173D3" w:rsidRPr="007F529D" w:rsidRDefault="007F529D">
      <w:pPr>
        <w:rPr>
          <w:rFonts w:cs="FrankRuehl"/>
          <w:color w:val="FFFFFF"/>
          <w:sz w:val="2"/>
          <w:szCs w:val="2"/>
          <w:rtl/>
        </w:rPr>
      </w:pPr>
      <w:r w:rsidRPr="007F529D">
        <w:rPr>
          <w:rFonts w:cs="FrankRuehl"/>
          <w:color w:val="FFFFFF"/>
          <w:sz w:val="2"/>
          <w:szCs w:val="2"/>
          <w:rtl/>
        </w:rPr>
        <w:t>5129371</w:t>
      </w:r>
    </w:p>
    <w:p w14:paraId="68448E91" w14:textId="77777777" w:rsidR="000173D3" w:rsidRDefault="007F529D">
      <w:pPr>
        <w:rPr>
          <w:rFonts w:cs="FrankRuehl"/>
          <w:sz w:val="28"/>
          <w:szCs w:val="28"/>
          <w:rtl/>
        </w:rPr>
      </w:pPr>
      <w:r w:rsidRPr="007F529D">
        <w:rPr>
          <w:rFonts w:ascii="Arial" w:hAnsi="Arial" w:cs="FrankRuehl"/>
          <w:color w:val="FFFFFF"/>
          <w:sz w:val="2"/>
          <w:szCs w:val="2"/>
          <w:rtl/>
        </w:rPr>
        <w:t>54678313</w:t>
      </w:r>
      <w:r>
        <w:rPr>
          <w:rFonts w:ascii="Arial" w:hAnsi="Arial" w:cs="FrankRuehl"/>
          <w:sz w:val="28"/>
          <w:szCs w:val="28"/>
          <w:rtl/>
        </w:rPr>
        <w:t xml:space="preserve">ניתן היום,  ז' טבת תשע"ה, 29 דצמבר 2014, בנוכחות הצדדים. </w:t>
      </w:r>
    </w:p>
    <w:p w14:paraId="291E46B1" w14:textId="77777777" w:rsidR="000173D3" w:rsidRDefault="000173D3">
      <w:pPr>
        <w:jc w:val="right"/>
      </w:pPr>
    </w:p>
    <w:p w14:paraId="098AAB01" w14:textId="77777777" w:rsidR="000173D3" w:rsidRDefault="000173D3">
      <w:pPr>
        <w:jc w:val="right"/>
        <w:rPr>
          <w:rFonts w:ascii="Arial" w:hAnsi="Arial" w:cs="FrankRuehl"/>
          <w:sz w:val="28"/>
          <w:szCs w:val="28"/>
          <w:rtl/>
        </w:rPr>
      </w:pPr>
    </w:p>
    <w:p w14:paraId="27CEE968" w14:textId="77777777" w:rsidR="000173D3" w:rsidRDefault="000173D3">
      <w:pPr>
        <w:rPr>
          <w:rFonts w:cs="FrankRuehl"/>
          <w:sz w:val="28"/>
          <w:szCs w:val="28"/>
          <w:rtl/>
        </w:rPr>
      </w:pPr>
    </w:p>
    <w:p w14:paraId="47DCFC6B" w14:textId="77777777" w:rsidR="000173D3" w:rsidRDefault="000173D3">
      <w:pPr>
        <w:pStyle w:val="a3"/>
        <w:jc w:val="center"/>
        <w:rPr>
          <w:rtl/>
        </w:rPr>
      </w:pPr>
    </w:p>
    <w:p w14:paraId="03CC7336" w14:textId="77777777" w:rsidR="007F529D" w:rsidRPr="007F529D" w:rsidRDefault="007F529D" w:rsidP="007F529D">
      <w:pPr>
        <w:keepNext/>
        <w:rPr>
          <w:rFonts w:ascii="David" w:hAnsi="David"/>
          <w:color w:val="000000"/>
          <w:sz w:val="22"/>
          <w:szCs w:val="22"/>
          <w:rtl/>
        </w:rPr>
      </w:pPr>
    </w:p>
    <w:p w14:paraId="556C8607" w14:textId="77777777" w:rsidR="007F529D" w:rsidRPr="007F529D" w:rsidRDefault="007F529D" w:rsidP="007F529D">
      <w:pPr>
        <w:keepNext/>
        <w:rPr>
          <w:rFonts w:ascii="David" w:hAnsi="David"/>
          <w:color w:val="000000"/>
          <w:sz w:val="22"/>
          <w:szCs w:val="22"/>
          <w:rtl/>
        </w:rPr>
      </w:pPr>
      <w:r w:rsidRPr="007F529D">
        <w:rPr>
          <w:rFonts w:ascii="David" w:hAnsi="David"/>
          <w:color w:val="000000"/>
          <w:sz w:val="22"/>
          <w:szCs w:val="22"/>
          <w:rtl/>
        </w:rPr>
        <w:t>דנה כהן לקח 54678313</w:t>
      </w:r>
    </w:p>
    <w:p w14:paraId="3F5EA936" w14:textId="77777777" w:rsidR="007F529D" w:rsidRDefault="007F529D" w:rsidP="007F529D">
      <w:r w:rsidRPr="007F529D">
        <w:rPr>
          <w:color w:val="000000"/>
          <w:rtl/>
        </w:rPr>
        <w:t>נוסח מסמך זה כפוף לשינויי ניסוח ועריכה</w:t>
      </w:r>
    </w:p>
    <w:p w14:paraId="2D8E6152" w14:textId="77777777" w:rsidR="007F529D" w:rsidRDefault="007F529D" w:rsidP="007F529D">
      <w:pPr>
        <w:rPr>
          <w:rtl/>
        </w:rPr>
      </w:pPr>
    </w:p>
    <w:p w14:paraId="4A38656C" w14:textId="77777777" w:rsidR="007F529D" w:rsidRDefault="007F529D" w:rsidP="007F529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r w:rsidR="00AF2F06">
        <w:rPr>
          <w:rFonts w:hint="cs"/>
          <w:color w:val="0000FF"/>
          <w:u w:val="single"/>
          <w:rtl/>
        </w:rPr>
        <w:t xml:space="preserve"> </w:t>
      </w:r>
    </w:p>
    <w:p w14:paraId="7097C9E1" w14:textId="77777777" w:rsidR="000173D3" w:rsidRPr="007F529D" w:rsidRDefault="000173D3" w:rsidP="007F529D">
      <w:pPr>
        <w:jc w:val="center"/>
        <w:rPr>
          <w:color w:val="0000FF"/>
          <w:u w:val="single"/>
        </w:rPr>
      </w:pPr>
    </w:p>
    <w:sectPr w:rsidR="000173D3" w:rsidRPr="007F529D" w:rsidSect="007F529D">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DDC10" w14:textId="77777777" w:rsidR="005F577B" w:rsidRPr="00EC6C13" w:rsidRDefault="005F577B">
      <w:pPr>
        <w:rPr>
          <w:rFonts w:cs="Arial"/>
          <w:szCs w:val="20"/>
        </w:rPr>
      </w:pPr>
      <w:r>
        <w:separator/>
      </w:r>
    </w:p>
  </w:endnote>
  <w:endnote w:type="continuationSeparator" w:id="0">
    <w:p w14:paraId="4FB810DF" w14:textId="77777777" w:rsidR="005F577B" w:rsidRPr="00EC6C13" w:rsidRDefault="005F577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6022" w14:textId="77777777" w:rsidR="007F529D" w:rsidRDefault="007F529D" w:rsidP="007F52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95B3C4" w14:textId="77777777" w:rsidR="000173D3" w:rsidRPr="007F529D" w:rsidRDefault="007F529D" w:rsidP="007F529D">
    <w:pPr>
      <w:pStyle w:val="a4"/>
      <w:pBdr>
        <w:top w:val="single" w:sz="4" w:space="1" w:color="auto"/>
        <w:between w:val="single" w:sz="4" w:space="0" w:color="auto"/>
      </w:pBdr>
      <w:spacing w:after="60"/>
      <w:jc w:val="center"/>
      <w:rPr>
        <w:rFonts w:ascii="FrankRuehl" w:hAnsi="FrankRuehl" w:cs="FrankRuehl"/>
        <w:color w:val="000000"/>
      </w:rPr>
    </w:pPr>
    <w:r w:rsidRPr="007F52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7D2BC" w14:textId="77777777" w:rsidR="007F529D" w:rsidRDefault="007F529D" w:rsidP="007F52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6AC8">
      <w:rPr>
        <w:rFonts w:ascii="FrankRuehl" w:hAnsi="FrankRuehl" w:cs="FrankRuehl"/>
        <w:noProof/>
        <w:rtl/>
      </w:rPr>
      <w:t>1</w:t>
    </w:r>
    <w:r>
      <w:rPr>
        <w:rFonts w:ascii="FrankRuehl" w:hAnsi="FrankRuehl" w:cs="FrankRuehl"/>
        <w:rtl/>
      </w:rPr>
      <w:fldChar w:fldCharType="end"/>
    </w:r>
  </w:p>
  <w:p w14:paraId="1BAC6C3D" w14:textId="77777777" w:rsidR="000173D3" w:rsidRPr="007F529D" w:rsidRDefault="007F529D" w:rsidP="007F529D">
    <w:pPr>
      <w:pStyle w:val="a4"/>
      <w:pBdr>
        <w:top w:val="single" w:sz="4" w:space="1" w:color="auto"/>
        <w:between w:val="single" w:sz="4" w:space="0" w:color="auto"/>
      </w:pBdr>
      <w:spacing w:after="60"/>
      <w:jc w:val="center"/>
      <w:rPr>
        <w:rFonts w:ascii="FrankRuehl" w:hAnsi="FrankRuehl" w:cs="FrankRuehl"/>
        <w:color w:val="000000"/>
      </w:rPr>
    </w:pPr>
    <w:r w:rsidRPr="007F529D">
      <w:rPr>
        <w:rFonts w:ascii="FrankRuehl" w:hAnsi="FrankRuehl" w:cs="FrankRuehl"/>
        <w:color w:val="000000"/>
      </w:rPr>
      <w:pict w14:anchorId="04C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BF3CC" w14:textId="77777777" w:rsidR="005F577B" w:rsidRPr="00EC6C13" w:rsidRDefault="005F577B">
      <w:pPr>
        <w:rPr>
          <w:rFonts w:cs="Arial"/>
          <w:szCs w:val="20"/>
        </w:rPr>
      </w:pPr>
      <w:r>
        <w:separator/>
      </w:r>
    </w:p>
  </w:footnote>
  <w:footnote w:type="continuationSeparator" w:id="0">
    <w:p w14:paraId="10C8C9F6" w14:textId="77777777" w:rsidR="005F577B" w:rsidRPr="00EC6C13" w:rsidRDefault="005F577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6E428" w14:textId="77777777" w:rsidR="007F529D" w:rsidRPr="007F529D" w:rsidRDefault="007F529D" w:rsidP="007F52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25379-05-14</w:t>
    </w:r>
    <w:r>
      <w:rPr>
        <w:rFonts w:ascii="David" w:hAnsi="David"/>
        <w:color w:val="000000"/>
        <w:sz w:val="22"/>
        <w:szCs w:val="22"/>
        <w:rtl/>
      </w:rPr>
      <w:tab/>
      <w:t xml:space="preserve"> מדינת ישראל נ' מוחמד טוויל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80DE" w14:textId="77777777" w:rsidR="007F529D" w:rsidRPr="007F529D" w:rsidRDefault="007F529D" w:rsidP="007F52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25379-05-14</w:t>
    </w:r>
    <w:r>
      <w:rPr>
        <w:rFonts w:ascii="David" w:hAnsi="David"/>
        <w:color w:val="000000"/>
        <w:sz w:val="22"/>
        <w:szCs w:val="22"/>
        <w:rtl/>
      </w:rPr>
      <w:tab/>
      <w:t xml:space="preserve"> מדינת ישראל נ' מוחמד טוויל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73D3"/>
    <w:rsid w:val="000173D3"/>
    <w:rsid w:val="00173DF6"/>
    <w:rsid w:val="003A2DD9"/>
    <w:rsid w:val="004324DF"/>
    <w:rsid w:val="005F577B"/>
    <w:rsid w:val="00691B80"/>
    <w:rsid w:val="007F529D"/>
    <w:rsid w:val="008A7317"/>
    <w:rsid w:val="00A94B76"/>
    <w:rsid w:val="00AF2F06"/>
    <w:rsid w:val="00C04211"/>
    <w:rsid w:val="00D643C3"/>
    <w:rsid w:val="00DE3343"/>
    <w:rsid w:val="00F312E3"/>
    <w:rsid w:val="00F76A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F51DB52"/>
  <w15:chartTrackingRefBased/>
  <w15:docId w15:val="{AFCF8268-BA17-499E-B429-FB259AA0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73D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173D3"/>
    <w:pPr>
      <w:tabs>
        <w:tab w:val="center" w:pos="4153"/>
        <w:tab w:val="right" w:pos="8306"/>
      </w:tabs>
    </w:pPr>
  </w:style>
  <w:style w:type="paragraph" w:styleId="a4">
    <w:name w:val="footer"/>
    <w:basedOn w:val="a"/>
    <w:rsid w:val="000173D3"/>
    <w:pPr>
      <w:tabs>
        <w:tab w:val="center" w:pos="4153"/>
        <w:tab w:val="right" w:pos="8306"/>
      </w:tabs>
    </w:pPr>
  </w:style>
  <w:style w:type="character" w:styleId="a5">
    <w:name w:val="page number"/>
    <w:basedOn w:val="a0"/>
    <w:rsid w:val="000173D3"/>
  </w:style>
  <w:style w:type="character" w:styleId="Hyperlink">
    <w:name w:val="Hyperlink"/>
    <w:rsid w:val="00017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ja" TargetMode="External"/><Relationship Id="rId3" Type="http://schemas.openxmlformats.org/officeDocument/2006/relationships/webSettings" Target="webSettings.xml"/><Relationship Id="rId21" Type="http://schemas.openxmlformats.org/officeDocument/2006/relationships/hyperlink" Target="http://www.nevo.co.il/case/7971983" TargetMode="External"/><Relationship Id="rId34" Type="http://schemas.openxmlformats.org/officeDocument/2006/relationships/theme" Target="theme/theme1.xml"/><Relationship Id="rId7" Type="http://schemas.openxmlformats.org/officeDocument/2006/relationships/hyperlink" Target="http://www.nevo.co.il/law/4216/13"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14" TargetMode="External"/><Relationship Id="rId20" Type="http://schemas.openxmlformats.org/officeDocument/2006/relationships/hyperlink" Target="http://www.nevo.co.il/case/6708658"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40c.a"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case/%2013093721"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1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2441</Words>
  <Characters>12205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14617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3801204</vt:i4>
      </vt:variant>
      <vt:variant>
        <vt:i4>45</vt:i4>
      </vt:variant>
      <vt:variant>
        <vt:i4>0</vt:i4>
      </vt:variant>
      <vt:variant>
        <vt:i4>5</vt:i4>
      </vt:variant>
      <vt:variant>
        <vt:lpwstr>http://www.nevo.co.il/case/7971983</vt:lpwstr>
      </vt:variant>
      <vt:variant>
        <vt:lpwstr/>
      </vt:variant>
      <vt:variant>
        <vt:i4>3670142</vt:i4>
      </vt:variant>
      <vt:variant>
        <vt:i4>42</vt:i4>
      </vt:variant>
      <vt:variant>
        <vt:i4>0</vt:i4>
      </vt:variant>
      <vt:variant>
        <vt:i4>5</vt:i4>
      </vt:variant>
      <vt:variant>
        <vt:lpwstr>http://www.nevo.co.il/case/6708658</vt:lpwstr>
      </vt:variant>
      <vt:variant>
        <vt:lpwstr/>
      </vt:variant>
      <vt:variant>
        <vt:i4>1835076</vt:i4>
      </vt:variant>
      <vt:variant>
        <vt:i4>39</vt:i4>
      </vt:variant>
      <vt:variant>
        <vt:i4>0</vt:i4>
      </vt:variant>
      <vt:variant>
        <vt:i4>5</vt:i4>
      </vt:variant>
      <vt:variant>
        <vt:lpwstr>http://www.nevo.co.il/case/ 13093721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5177418</vt:i4>
      </vt:variant>
      <vt:variant>
        <vt:i4>30</vt:i4>
      </vt:variant>
      <vt:variant>
        <vt:i4>0</vt:i4>
      </vt:variant>
      <vt:variant>
        <vt:i4>5</vt:i4>
      </vt:variant>
      <vt:variant>
        <vt:lpwstr>http://www.nevo.co.il/law/4216/14</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25379</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טוויל</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20141229</vt:lpwstr>
  </property>
  <property fmtid="{D5CDD505-2E9C-101B-9397-08002B2CF9AE}" pid="13" name="TYPE_N_DATE">
    <vt:lpwstr>38020141229</vt:lpwstr>
  </property>
  <property fmtid="{D5CDD505-2E9C-101B-9397-08002B2CF9AE}" pid="14" name="WORDNUMPAGES">
    <vt:lpwstr>9</vt:lpwstr>
  </property>
  <property fmtid="{D5CDD505-2E9C-101B-9397-08002B2CF9AE}" pid="15" name="TYPE_ABS_DATE">
    <vt:lpwstr>380020141229</vt:lpwstr>
  </property>
  <property fmtid="{D5CDD505-2E9C-101B-9397-08002B2CF9AE}" pid="16" name="ISABSTRACT">
    <vt:lpwstr>Y</vt:lpwstr>
  </property>
  <property fmtid="{D5CDD505-2E9C-101B-9397-08002B2CF9AE}" pid="17" name="CASESLISTTMP1">
    <vt:lpwstr>13093721;6708658;7971983</vt:lpwstr>
  </property>
  <property fmtid="{D5CDD505-2E9C-101B-9397-08002B2CF9AE}" pid="18" name="LAWLISTTMP1">
    <vt:lpwstr>4216/013;014</vt:lpwstr>
  </property>
  <property fmtid="{D5CDD505-2E9C-101B-9397-08002B2CF9AE}" pid="19" name="LAWLISTTMP2">
    <vt:lpwstr>70301/40jc;40jc.b;040c.a;40ja</vt:lpwstr>
  </property>
</Properties>
</file>