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7F6101" w:rsidRPr="00B034A4" w14:paraId="555FA56B" w14:textId="77777777">
        <w:trPr>
          <w:trHeight w:hRule="exact" w:val="418"/>
          <w:jc w:val="center"/>
        </w:trPr>
        <w:tc>
          <w:tcPr>
            <w:tcW w:w="8720" w:type="dxa"/>
            <w:gridSpan w:val="3"/>
          </w:tcPr>
          <w:p w14:paraId="59A977A4" w14:textId="77777777" w:rsidR="007F6101" w:rsidRPr="00B034A4" w:rsidRDefault="00B034A4">
            <w:pPr>
              <w:pStyle w:val="a4"/>
              <w:tabs>
                <w:tab w:val="clear" w:pos="8306"/>
              </w:tabs>
              <w:jc w:val="center"/>
              <w:rPr>
                <w:rFonts w:ascii="Tahoma" w:hAnsi="Tahoma" w:cs="Tahoma"/>
                <w:b/>
                <w:bCs/>
                <w:color w:val="000080"/>
                <w:sz w:val="20"/>
                <w:szCs w:val="20"/>
                <w:rtl/>
              </w:rPr>
            </w:pPr>
            <w:bookmarkStart w:id="0" w:name="LastJudge"/>
            <w:r w:rsidRPr="00B034A4">
              <w:rPr>
                <w:rFonts w:ascii="Tahoma" w:hAnsi="Tahoma" w:cs="Tahoma" w:hint="cs"/>
                <w:b/>
                <w:bCs/>
                <w:color w:val="000080"/>
                <w:sz w:val="20"/>
                <w:szCs w:val="20"/>
                <w:rtl/>
              </w:rPr>
              <w:t>בתי המשפט</w:t>
            </w:r>
          </w:p>
        </w:tc>
      </w:tr>
      <w:tr w:rsidR="007F6101" w:rsidRPr="00B034A4" w14:paraId="4513A0AA" w14:textId="77777777">
        <w:trPr>
          <w:trHeight w:val="709"/>
          <w:jc w:val="center"/>
        </w:trPr>
        <w:tc>
          <w:tcPr>
            <w:tcW w:w="4805" w:type="dxa"/>
          </w:tcPr>
          <w:p w14:paraId="5159E7B7" w14:textId="77777777" w:rsidR="007F6101" w:rsidRPr="00B034A4" w:rsidRDefault="00B034A4">
            <w:pPr>
              <w:rPr>
                <w:b/>
                <w:bCs/>
                <w:sz w:val="28"/>
                <w:szCs w:val="28"/>
                <w:rtl/>
              </w:rPr>
            </w:pPr>
            <w:r w:rsidRPr="00B034A4">
              <w:rPr>
                <w:rFonts w:hint="cs"/>
                <w:b/>
                <w:bCs/>
                <w:sz w:val="28"/>
                <w:szCs w:val="28"/>
                <w:rtl/>
              </w:rPr>
              <w:t>בית משפט השלום קריית גת</w:t>
            </w:r>
          </w:p>
        </w:tc>
        <w:tc>
          <w:tcPr>
            <w:tcW w:w="236" w:type="dxa"/>
            <w:vMerge w:val="restart"/>
          </w:tcPr>
          <w:p w14:paraId="011B3C43" w14:textId="77777777" w:rsidR="007F6101" w:rsidRPr="00B034A4" w:rsidRDefault="007F6101">
            <w:pPr>
              <w:pStyle w:val="a4"/>
              <w:jc w:val="right"/>
              <w:rPr>
                <w:b/>
                <w:bCs/>
                <w:sz w:val="28"/>
                <w:szCs w:val="28"/>
                <w:rtl/>
              </w:rPr>
            </w:pPr>
          </w:p>
        </w:tc>
        <w:tc>
          <w:tcPr>
            <w:tcW w:w="3679" w:type="dxa"/>
            <w:vMerge w:val="restart"/>
          </w:tcPr>
          <w:p w14:paraId="0CE39595" w14:textId="77777777" w:rsidR="007F6101" w:rsidRPr="00B034A4" w:rsidRDefault="00B034A4">
            <w:pPr>
              <w:jc w:val="right"/>
              <w:rPr>
                <w:b/>
                <w:bCs/>
                <w:sz w:val="28"/>
                <w:szCs w:val="28"/>
                <w:rtl/>
              </w:rPr>
            </w:pPr>
            <w:r w:rsidRPr="00B034A4">
              <w:rPr>
                <w:b/>
                <w:bCs/>
                <w:sz w:val="28"/>
                <w:szCs w:val="28"/>
                <w:rtl/>
              </w:rPr>
              <w:t>ת"פ</w:t>
            </w:r>
            <w:r w:rsidRPr="00B034A4">
              <w:rPr>
                <w:rFonts w:hint="cs"/>
                <w:b/>
                <w:bCs/>
                <w:sz w:val="28"/>
                <w:szCs w:val="28"/>
                <w:rtl/>
              </w:rPr>
              <w:t xml:space="preserve"> </w:t>
            </w:r>
            <w:r w:rsidRPr="00B034A4">
              <w:rPr>
                <w:b/>
                <w:bCs/>
                <w:sz w:val="28"/>
                <w:szCs w:val="28"/>
                <w:rtl/>
              </w:rPr>
              <w:t>35940-05-14</w:t>
            </w:r>
          </w:p>
          <w:p w14:paraId="11EE344C" w14:textId="77777777" w:rsidR="007F6101" w:rsidRPr="00B034A4" w:rsidRDefault="007F6101">
            <w:pPr>
              <w:pStyle w:val="a4"/>
              <w:tabs>
                <w:tab w:val="clear" w:pos="4153"/>
              </w:tabs>
              <w:jc w:val="right"/>
              <w:rPr>
                <w:b/>
                <w:bCs/>
                <w:sz w:val="20"/>
                <w:szCs w:val="20"/>
                <w:rtl/>
              </w:rPr>
            </w:pPr>
          </w:p>
          <w:p w14:paraId="7A590B4E" w14:textId="77777777" w:rsidR="007F6101" w:rsidRPr="00B034A4" w:rsidRDefault="00B034A4">
            <w:pPr>
              <w:pStyle w:val="a4"/>
              <w:tabs>
                <w:tab w:val="clear" w:pos="4153"/>
              </w:tabs>
              <w:jc w:val="right"/>
              <w:rPr>
                <w:b/>
                <w:bCs/>
                <w:sz w:val="28"/>
                <w:szCs w:val="28"/>
                <w:rtl/>
              </w:rPr>
            </w:pPr>
            <w:r w:rsidRPr="00B034A4">
              <w:rPr>
                <w:b/>
                <w:bCs/>
                <w:sz w:val="28"/>
                <w:szCs w:val="28"/>
                <w:rtl/>
              </w:rPr>
              <w:t>28 מאי 2015</w:t>
            </w:r>
          </w:p>
        </w:tc>
      </w:tr>
      <w:tr w:rsidR="007F6101" w:rsidRPr="00B034A4" w14:paraId="38829DEC" w14:textId="77777777">
        <w:trPr>
          <w:trHeight w:val="547"/>
          <w:jc w:val="center"/>
        </w:trPr>
        <w:tc>
          <w:tcPr>
            <w:tcW w:w="4805" w:type="dxa"/>
          </w:tcPr>
          <w:p w14:paraId="1D077C97" w14:textId="77777777" w:rsidR="007F6101" w:rsidRPr="00B034A4" w:rsidRDefault="00B034A4">
            <w:pPr>
              <w:rPr>
                <w:b/>
                <w:bCs/>
                <w:sz w:val="28"/>
                <w:szCs w:val="28"/>
                <w:rtl/>
              </w:rPr>
            </w:pPr>
            <w:r w:rsidRPr="00B034A4">
              <w:rPr>
                <w:rFonts w:hint="cs"/>
                <w:b/>
                <w:bCs/>
                <w:sz w:val="28"/>
                <w:szCs w:val="28"/>
                <w:rtl/>
              </w:rPr>
              <w:t>בפני: כב' ה</w:t>
            </w:r>
            <w:r w:rsidRPr="00B034A4">
              <w:rPr>
                <w:b/>
                <w:bCs/>
                <w:sz w:val="28"/>
                <w:szCs w:val="28"/>
                <w:rtl/>
              </w:rPr>
              <w:t>שופטת בכירה רובין לביא</w:t>
            </w:r>
          </w:p>
        </w:tc>
        <w:tc>
          <w:tcPr>
            <w:tcW w:w="236" w:type="dxa"/>
            <w:vMerge/>
          </w:tcPr>
          <w:p w14:paraId="434376BC" w14:textId="77777777" w:rsidR="007F6101" w:rsidRPr="00B034A4" w:rsidRDefault="007F6101">
            <w:pPr>
              <w:pStyle w:val="a4"/>
              <w:jc w:val="right"/>
              <w:rPr>
                <w:b/>
                <w:bCs/>
                <w:sz w:val="28"/>
                <w:szCs w:val="28"/>
                <w:rtl/>
              </w:rPr>
            </w:pPr>
          </w:p>
        </w:tc>
        <w:tc>
          <w:tcPr>
            <w:tcW w:w="3679" w:type="dxa"/>
            <w:vMerge/>
          </w:tcPr>
          <w:p w14:paraId="0E2EE7E3" w14:textId="77777777" w:rsidR="007F6101" w:rsidRPr="00B034A4" w:rsidRDefault="007F6101">
            <w:pPr>
              <w:jc w:val="right"/>
              <w:rPr>
                <w:b/>
                <w:bCs/>
                <w:sz w:val="28"/>
                <w:szCs w:val="28"/>
                <w:rtl/>
              </w:rPr>
            </w:pPr>
          </w:p>
        </w:tc>
      </w:tr>
    </w:tbl>
    <w:p w14:paraId="05F131E4" w14:textId="77777777" w:rsidR="007F6101" w:rsidRPr="00B034A4" w:rsidRDefault="007F6101">
      <w:pPr>
        <w:pStyle w:val="a4"/>
        <w:jc w:val="center"/>
        <w:rPr>
          <w:rFonts w:ascii="Tahoma" w:hAnsi="Tahoma" w:cs="Tahoma"/>
          <w:b/>
          <w:bCs/>
          <w:color w:val="000080"/>
          <w:sz w:val="20"/>
          <w:szCs w:val="20"/>
          <w:rtl/>
        </w:rPr>
      </w:pPr>
    </w:p>
    <w:p w14:paraId="1113B26D" w14:textId="77777777" w:rsidR="007F6101" w:rsidRPr="00B034A4" w:rsidRDefault="007F6101">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7F6101" w:rsidRPr="00B034A4" w14:paraId="1C004764" w14:textId="77777777">
        <w:tc>
          <w:tcPr>
            <w:tcW w:w="945" w:type="dxa"/>
            <w:shd w:val="clear" w:color="auto" w:fill="auto"/>
          </w:tcPr>
          <w:p w14:paraId="3BB0B4B9" w14:textId="77777777" w:rsidR="007F6101" w:rsidRPr="00B034A4" w:rsidRDefault="00B034A4">
            <w:pPr>
              <w:jc w:val="left"/>
              <w:rPr>
                <w:rFonts w:ascii="Times New Roman" w:eastAsia="Times New Roman" w:hAnsi="Times New Roman"/>
                <w:b/>
                <w:bCs/>
                <w:sz w:val="26"/>
                <w:rtl/>
              </w:rPr>
            </w:pPr>
            <w:bookmarkStart w:id="1" w:name="FirstAppellant"/>
            <w:r w:rsidRPr="00B034A4">
              <w:rPr>
                <w:rFonts w:ascii="Times New Roman" w:eastAsia="Times New Roman" w:hAnsi="Times New Roman" w:hint="cs"/>
                <w:b/>
                <w:bCs/>
                <w:sz w:val="26"/>
                <w:rtl/>
              </w:rPr>
              <w:t>בעניין:</w:t>
            </w:r>
          </w:p>
        </w:tc>
        <w:tc>
          <w:tcPr>
            <w:tcW w:w="7857" w:type="dxa"/>
            <w:gridSpan w:val="4"/>
            <w:shd w:val="clear" w:color="auto" w:fill="auto"/>
          </w:tcPr>
          <w:p w14:paraId="0511EEBC" w14:textId="77777777" w:rsidR="007F6101" w:rsidRPr="00B034A4" w:rsidRDefault="00B034A4">
            <w:pPr>
              <w:jc w:val="left"/>
              <w:rPr>
                <w:rFonts w:ascii="Times New Roman" w:eastAsia="Times New Roman" w:hAnsi="Times New Roman"/>
                <w:b/>
                <w:bCs/>
                <w:sz w:val="26"/>
                <w:rtl/>
              </w:rPr>
            </w:pPr>
            <w:r w:rsidRPr="00B034A4">
              <w:rPr>
                <w:rFonts w:ascii="Times New Roman" w:eastAsia="Times New Roman" w:hAnsi="Times New Roman" w:hint="cs"/>
                <w:b/>
                <w:bCs/>
                <w:sz w:val="26"/>
                <w:rtl/>
              </w:rPr>
              <w:t>מדינת ישראל</w:t>
            </w:r>
          </w:p>
        </w:tc>
      </w:tr>
      <w:bookmarkEnd w:id="1"/>
      <w:tr w:rsidR="007F6101" w:rsidRPr="00B034A4" w14:paraId="523B7880" w14:textId="77777777">
        <w:trPr>
          <w:gridAfter w:val="1"/>
          <w:wAfter w:w="106" w:type="dxa"/>
        </w:trPr>
        <w:tc>
          <w:tcPr>
            <w:tcW w:w="945" w:type="dxa"/>
            <w:shd w:val="clear" w:color="auto" w:fill="auto"/>
          </w:tcPr>
          <w:p w14:paraId="51BF776E" w14:textId="77777777" w:rsidR="007F6101" w:rsidRPr="00B034A4" w:rsidRDefault="007F6101">
            <w:pPr>
              <w:ind w:left="26"/>
              <w:jc w:val="left"/>
              <w:rPr>
                <w:rFonts w:ascii="Times New Roman" w:eastAsia="Times New Roman" w:hAnsi="Times New Roman"/>
                <w:b/>
                <w:bCs/>
                <w:sz w:val="26"/>
                <w:rtl/>
              </w:rPr>
            </w:pPr>
          </w:p>
        </w:tc>
        <w:tc>
          <w:tcPr>
            <w:tcW w:w="6416" w:type="dxa"/>
            <w:shd w:val="clear" w:color="auto" w:fill="auto"/>
          </w:tcPr>
          <w:p w14:paraId="3955A854" w14:textId="77777777" w:rsidR="007F6101" w:rsidRPr="00B034A4" w:rsidRDefault="007F6101">
            <w:pPr>
              <w:jc w:val="left"/>
              <w:rPr>
                <w:rFonts w:ascii="Times New Roman" w:eastAsia="Times New Roman" w:hAnsi="Times New Roman"/>
                <w:b/>
                <w:bCs/>
                <w:sz w:val="26"/>
                <w:rtl/>
              </w:rPr>
            </w:pPr>
          </w:p>
        </w:tc>
        <w:tc>
          <w:tcPr>
            <w:tcW w:w="1335" w:type="dxa"/>
            <w:gridSpan w:val="2"/>
            <w:shd w:val="clear" w:color="auto" w:fill="auto"/>
          </w:tcPr>
          <w:p w14:paraId="2627718A" w14:textId="77777777" w:rsidR="007F6101" w:rsidRPr="00B034A4" w:rsidRDefault="00B034A4">
            <w:pPr>
              <w:ind w:left="26"/>
              <w:jc w:val="left"/>
              <w:rPr>
                <w:rFonts w:ascii="Times New Roman" w:eastAsia="Times New Roman" w:hAnsi="Times New Roman"/>
                <w:b/>
                <w:bCs/>
                <w:sz w:val="26"/>
                <w:rtl/>
              </w:rPr>
            </w:pPr>
            <w:r w:rsidRPr="00B034A4">
              <w:rPr>
                <w:rFonts w:ascii="Times New Roman" w:eastAsia="Times New Roman" w:hAnsi="Times New Roman" w:hint="cs"/>
                <w:b/>
                <w:bCs/>
                <w:sz w:val="26"/>
                <w:rtl/>
              </w:rPr>
              <w:t>המאשימה</w:t>
            </w:r>
          </w:p>
        </w:tc>
      </w:tr>
      <w:tr w:rsidR="007F6101" w:rsidRPr="00B034A4" w14:paraId="35DA2AED" w14:textId="77777777">
        <w:trPr>
          <w:gridAfter w:val="1"/>
          <w:wAfter w:w="106" w:type="dxa"/>
        </w:trPr>
        <w:tc>
          <w:tcPr>
            <w:tcW w:w="8696" w:type="dxa"/>
            <w:gridSpan w:val="4"/>
            <w:shd w:val="clear" w:color="auto" w:fill="auto"/>
          </w:tcPr>
          <w:p w14:paraId="4E8A9746" w14:textId="77777777" w:rsidR="007F6101" w:rsidRPr="00B034A4" w:rsidRDefault="00B034A4">
            <w:pPr>
              <w:jc w:val="center"/>
              <w:rPr>
                <w:rFonts w:ascii="Arial" w:eastAsia="Times New Roman" w:hAnsi="Arial"/>
                <w:b/>
                <w:bCs/>
                <w:sz w:val="26"/>
              </w:rPr>
            </w:pPr>
            <w:r w:rsidRPr="00B034A4">
              <w:rPr>
                <w:rFonts w:ascii="Arial" w:eastAsia="Times New Roman" w:hAnsi="Arial"/>
                <w:b/>
                <w:bCs/>
                <w:sz w:val="26"/>
                <w:rtl/>
              </w:rPr>
              <w:t>נ</w:t>
            </w:r>
            <w:r w:rsidRPr="00B034A4">
              <w:rPr>
                <w:rFonts w:ascii="Arial" w:eastAsia="Times New Roman" w:hAnsi="Arial" w:hint="cs"/>
                <w:b/>
                <w:bCs/>
                <w:sz w:val="26"/>
                <w:rtl/>
              </w:rPr>
              <w:t xml:space="preserve"> </w:t>
            </w:r>
            <w:r w:rsidRPr="00B034A4">
              <w:rPr>
                <w:rFonts w:ascii="Arial" w:eastAsia="Times New Roman" w:hAnsi="Arial"/>
                <w:b/>
                <w:bCs/>
                <w:sz w:val="26"/>
                <w:rtl/>
              </w:rPr>
              <w:t>ג</w:t>
            </w:r>
            <w:r w:rsidRPr="00B034A4">
              <w:rPr>
                <w:rFonts w:ascii="Arial" w:eastAsia="Times New Roman" w:hAnsi="Arial" w:hint="cs"/>
                <w:b/>
                <w:bCs/>
                <w:sz w:val="26"/>
                <w:rtl/>
              </w:rPr>
              <w:t xml:space="preserve"> </w:t>
            </w:r>
            <w:r w:rsidRPr="00B034A4">
              <w:rPr>
                <w:rFonts w:ascii="Arial" w:eastAsia="Times New Roman" w:hAnsi="Arial"/>
                <w:b/>
                <w:bCs/>
                <w:sz w:val="26"/>
                <w:rtl/>
              </w:rPr>
              <w:t>ד</w:t>
            </w:r>
          </w:p>
        </w:tc>
      </w:tr>
      <w:tr w:rsidR="007F6101" w:rsidRPr="00B034A4" w14:paraId="3B3EA9DE" w14:textId="77777777">
        <w:trPr>
          <w:gridAfter w:val="1"/>
          <w:wAfter w:w="106" w:type="dxa"/>
        </w:trPr>
        <w:tc>
          <w:tcPr>
            <w:tcW w:w="945" w:type="dxa"/>
            <w:shd w:val="clear" w:color="auto" w:fill="auto"/>
          </w:tcPr>
          <w:p w14:paraId="0DAD9F6A" w14:textId="77777777" w:rsidR="007F6101" w:rsidRPr="00B034A4" w:rsidRDefault="007F6101">
            <w:pPr>
              <w:ind w:left="26"/>
              <w:rPr>
                <w:rFonts w:ascii="Times New Roman" w:eastAsia="Times New Roman" w:hAnsi="Times New Roman"/>
                <w:b/>
                <w:bCs/>
                <w:sz w:val="26"/>
                <w:rtl/>
              </w:rPr>
            </w:pPr>
          </w:p>
        </w:tc>
        <w:tc>
          <w:tcPr>
            <w:tcW w:w="6435" w:type="dxa"/>
            <w:gridSpan w:val="2"/>
            <w:shd w:val="clear" w:color="auto" w:fill="auto"/>
          </w:tcPr>
          <w:p w14:paraId="58C96CC3" w14:textId="77777777" w:rsidR="007F6101" w:rsidRPr="00B034A4" w:rsidRDefault="00B034A4">
            <w:pPr>
              <w:jc w:val="left"/>
              <w:rPr>
                <w:b/>
                <w:bCs/>
                <w:sz w:val="26"/>
                <w:rtl/>
              </w:rPr>
            </w:pPr>
            <w:r w:rsidRPr="00B034A4">
              <w:rPr>
                <w:rFonts w:ascii="Times New Roman" w:eastAsia="Times New Roman" w:hAnsi="Times New Roman" w:hint="cs"/>
                <w:rtl/>
              </w:rPr>
              <w:t>שחר חזיזה משה</w:t>
            </w:r>
            <w:r w:rsidRPr="00B034A4">
              <w:rPr>
                <w:rFonts w:ascii="Times New Roman" w:eastAsia="Times New Roman" w:hAnsi="Times New Roman" w:hint="cs"/>
                <w:b/>
                <w:bCs/>
                <w:sz w:val="26"/>
                <w:rtl/>
              </w:rPr>
              <w:t xml:space="preserve"> </w:t>
            </w:r>
            <w:r w:rsidRPr="00B034A4">
              <w:rPr>
                <w:rFonts w:ascii="Times New Roman" w:eastAsia="Times New Roman" w:hAnsi="Times New Roman" w:hint="cs"/>
                <w:rtl/>
              </w:rPr>
              <w:t>ת.ז.</w:t>
            </w:r>
            <w:r w:rsidRPr="00B034A4">
              <w:rPr>
                <w:rFonts w:ascii="Times New Roman" w:eastAsia="Times New Roman" w:hAnsi="Times New Roman" w:hint="cs"/>
                <w:b/>
                <w:bCs/>
                <w:sz w:val="26"/>
                <w:rtl/>
              </w:rPr>
              <w:t xml:space="preserve"> </w:t>
            </w:r>
            <w:r w:rsidRPr="00B034A4">
              <w:rPr>
                <w:rFonts w:ascii="Times New Roman" w:eastAsia="Times New Roman" w:hAnsi="Times New Roman" w:hint="cs"/>
                <w:rtl/>
              </w:rPr>
              <w:t>037711454</w:t>
            </w:r>
          </w:p>
        </w:tc>
        <w:tc>
          <w:tcPr>
            <w:tcW w:w="1316" w:type="dxa"/>
            <w:shd w:val="clear" w:color="auto" w:fill="auto"/>
          </w:tcPr>
          <w:p w14:paraId="425E6B14" w14:textId="77777777" w:rsidR="007F6101" w:rsidRPr="00B034A4" w:rsidRDefault="007F6101">
            <w:pPr>
              <w:rPr>
                <w:rFonts w:ascii="Times New Roman" w:eastAsia="Times New Roman" w:hAnsi="Times New Roman"/>
                <w:b/>
                <w:bCs/>
                <w:sz w:val="26"/>
                <w:rtl/>
              </w:rPr>
            </w:pPr>
          </w:p>
        </w:tc>
      </w:tr>
      <w:tr w:rsidR="007F6101" w:rsidRPr="00B034A4" w14:paraId="681E8180" w14:textId="77777777">
        <w:trPr>
          <w:gridAfter w:val="1"/>
          <w:wAfter w:w="106" w:type="dxa"/>
        </w:trPr>
        <w:tc>
          <w:tcPr>
            <w:tcW w:w="945" w:type="dxa"/>
            <w:shd w:val="clear" w:color="auto" w:fill="auto"/>
          </w:tcPr>
          <w:p w14:paraId="6E078E0D" w14:textId="77777777" w:rsidR="007F6101" w:rsidRPr="00B034A4" w:rsidRDefault="007F6101">
            <w:pPr>
              <w:ind w:left="26"/>
              <w:jc w:val="left"/>
              <w:rPr>
                <w:rFonts w:ascii="Times New Roman" w:eastAsia="Times New Roman" w:hAnsi="Times New Roman"/>
                <w:b/>
                <w:bCs/>
                <w:sz w:val="26"/>
                <w:rtl/>
              </w:rPr>
            </w:pPr>
          </w:p>
        </w:tc>
        <w:tc>
          <w:tcPr>
            <w:tcW w:w="6435" w:type="dxa"/>
            <w:gridSpan w:val="2"/>
            <w:shd w:val="clear" w:color="auto" w:fill="auto"/>
          </w:tcPr>
          <w:p w14:paraId="32E171D9" w14:textId="77777777" w:rsidR="007F6101" w:rsidRPr="00B034A4" w:rsidRDefault="007F6101">
            <w:pPr>
              <w:jc w:val="left"/>
              <w:rPr>
                <w:rFonts w:ascii="Times New Roman" w:eastAsia="Times New Roman" w:hAnsi="Times New Roman"/>
                <w:b/>
                <w:bCs/>
                <w:sz w:val="26"/>
                <w:rtl/>
              </w:rPr>
            </w:pPr>
          </w:p>
        </w:tc>
        <w:tc>
          <w:tcPr>
            <w:tcW w:w="1316" w:type="dxa"/>
            <w:shd w:val="clear" w:color="auto" w:fill="auto"/>
          </w:tcPr>
          <w:p w14:paraId="0DD965AE" w14:textId="77777777" w:rsidR="007F6101" w:rsidRPr="00B034A4" w:rsidRDefault="00B034A4">
            <w:pPr>
              <w:jc w:val="left"/>
              <w:rPr>
                <w:rFonts w:ascii="Times New Roman" w:eastAsia="Times New Roman" w:hAnsi="Times New Roman"/>
                <w:b/>
                <w:bCs/>
                <w:sz w:val="26"/>
                <w:rtl/>
              </w:rPr>
            </w:pPr>
            <w:r w:rsidRPr="00B034A4">
              <w:rPr>
                <w:rFonts w:ascii="Times New Roman" w:eastAsia="Times New Roman" w:hAnsi="Times New Roman" w:hint="cs"/>
                <w:b/>
                <w:bCs/>
                <w:sz w:val="26"/>
                <w:rtl/>
              </w:rPr>
              <w:t>הנאשם</w:t>
            </w:r>
          </w:p>
        </w:tc>
      </w:tr>
    </w:tbl>
    <w:p w14:paraId="755AFBAA" w14:textId="77777777" w:rsidR="007F6101" w:rsidRPr="00B034A4" w:rsidRDefault="007F6101">
      <w:pPr>
        <w:rPr>
          <w:rFonts w:ascii="Arial" w:hAnsi="Arial"/>
          <w:b/>
          <w:bCs/>
          <w:sz w:val="26"/>
          <w:rtl/>
        </w:rPr>
      </w:pPr>
    </w:p>
    <w:p w14:paraId="3E75A5BD" w14:textId="77777777" w:rsidR="007F6101" w:rsidRPr="00B034A4" w:rsidRDefault="00B034A4">
      <w:pPr>
        <w:rPr>
          <w:rFonts w:ascii="Arial" w:hAnsi="Arial"/>
          <w:b/>
          <w:bCs/>
          <w:sz w:val="26"/>
          <w:rtl/>
        </w:rPr>
      </w:pPr>
      <w:r w:rsidRPr="00B034A4">
        <w:rPr>
          <w:rFonts w:ascii="Arial" w:hAnsi="Arial" w:hint="cs"/>
          <w:b/>
          <w:bCs/>
          <w:sz w:val="26"/>
          <w:rtl/>
        </w:rPr>
        <w:t>נוכחים:</w:t>
      </w:r>
    </w:p>
    <w:p w14:paraId="42641C9A" w14:textId="77777777" w:rsidR="007F6101" w:rsidRPr="00B034A4" w:rsidRDefault="00B034A4">
      <w:pPr>
        <w:rPr>
          <w:rtl/>
        </w:rPr>
      </w:pPr>
      <w:bookmarkStart w:id="2" w:name="FirstLawyer"/>
      <w:r w:rsidRPr="00B034A4">
        <w:rPr>
          <w:rFonts w:hint="cs"/>
          <w:rtl/>
        </w:rPr>
        <w:t>ב"כ</w:t>
      </w:r>
      <w:bookmarkEnd w:id="2"/>
      <w:r w:rsidRPr="00B034A4">
        <w:rPr>
          <w:rFonts w:hint="cs"/>
          <w:rtl/>
        </w:rPr>
        <w:t xml:space="preserve"> המאשימה עו"ד </w:t>
      </w:r>
      <w:r w:rsidRPr="00B034A4">
        <w:rPr>
          <w:rtl/>
        </w:rPr>
        <w:t>–</w:t>
      </w:r>
      <w:r w:rsidRPr="00B034A4">
        <w:rPr>
          <w:rFonts w:hint="cs"/>
          <w:rtl/>
        </w:rPr>
        <w:t xml:space="preserve"> לנצט</w:t>
      </w:r>
    </w:p>
    <w:p w14:paraId="15AA0ABA" w14:textId="77777777" w:rsidR="007F6101" w:rsidRPr="00B034A4" w:rsidRDefault="00B034A4">
      <w:pPr>
        <w:rPr>
          <w:rtl/>
        </w:rPr>
      </w:pPr>
      <w:r w:rsidRPr="00B034A4">
        <w:rPr>
          <w:rFonts w:hint="cs"/>
          <w:rtl/>
        </w:rPr>
        <w:t xml:space="preserve">הנאשם -   בעצמו              ובא כוחו עו"ד </w:t>
      </w:r>
      <w:r w:rsidRPr="00B034A4">
        <w:rPr>
          <w:rtl/>
        </w:rPr>
        <w:t>–</w:t>
      </w:r>
      <w:r w:rsidRPr="00B034A4">
        <w:rPr>
          <w:rFonts w:hint="cs"/>
          <w:rtl/>
        </w:rPr>
        <w:t xml:space="preserve"> אסף דוק</w:t>
      </w:r>
    </w:p>
    <w:p w14:paraId="376A3FB0" w14:textId="77777777" w:rsidR="007F6101" w:rsidRPr="00B034A4" w:rsidRDefault="00B034A4">
      <w:pPr>
        <w:rPr>
          <w:sz w:val="6"/>
          <w:szCs w:val="6"/>
          <w:rtl/>
        </w:rPr>
      </w:pPr>
      <w:r w:rsidRPr="00B034A4">
        <w:rPr>
          <w:sz w:val="6"/>
          <w:szCs w:val="6"/>
          <w:rtl/>
        </w:rPr>
        <w:t>&lt;#1#&gt;</w:t>
      </w:r>
    </w:p>
    <w:p w14:paraId="021A0CAC" w14:textId="77777777" w:rsidR="007F6101" w:rsidRPr="00B034A4" w:rsidRDefault="007F6101">
      <w:pPr>
        <w:pStyle w:val="12"/>
        <w:rPr>
          <w:b w:val="0"/>
          <w:bCs w:val="0"/>
          <w:u w:val="none"/>
          <w:rtl/>
        </w:rPr>
      </w:pPr>
    </w:p>
    <w:p w14:paraId="3C64CBC5" w14:textId="77777777" w:rsidR="00BE1B60" w:rsidRDefault="00B034A4" w:rsidP="00BE1B60">
      <w:pPr>
        <w:jc w:val="center"/>
        <w:rPr>
          <w:rFonts w:ascii="Arial" w:hAnsi="Arial"/>
          <w:color w:val="FF0000"/>
          <w:sz w:val="28"/>
          <w:szCs w:val="24"/>
          <w:rtl/>
        </w:rPr>
      </w:pPr>
      <w:r w:rsidRPr="00B034A4">
        <w:rPr>
          <w:rFonts w:ascii="Arial" w:hAnsi="Arial"/>
          <w:b/>
          <w:color w:val="FF0000"/>
          <w:sz w:val="28"/>
          <w:szCs w:val="24"/>
          <w:rtl/>
        </w:rPr>
        <w:t>במסמך זה הושמטו פרוטוקולי</w:t>
      </w:r>
      <w:bookmarkStart w:id="3" w:name="LawTable"/>
      <w:bookmarkEnd w:id="3"/>
    </w:p>
    <w:p w14:paraId="01EA21A2" w14:textId="77777777" w:rsidR="00BE1B60" w:rsidRPr="00BE1B60" w:rsidRDefault="00BE1B60" w:rsidP="00BE1B60">
      <w:pPr>
        <w:spacing w:after="120" w:line="240" w:lineRule="exact"/>
        <w:ind w:left="283" w:hanging="283"/>
        <w:rPr>
          <w:rFonts w:ascii="FrankRuehl" w:hAnsi="FrankRuehl" w:cs="FrankRuehl"/>
          <w:color w:val="FF0000"/>
          <w:szCs w:val="24"/>
          <w:rtl/>
        </w:rPr>
      </w:pPr>
    </w:p>
    <w:p w14:paraId="0E18FEE6" w14:textId="77777777" w:rsidR="00BE1B60" w:rsidRPr="00BE1B60" w:rsidRDefault="00BE1B60" w:rsidP="00BE1B60">
      <w:pPr>
        <w:spacing w:after="120" w:line="240" w:lineRule="exact"/>
        <w:ind w:left="283" w:hanging="283"/>
        <w:rPr>
          <w:rFonts w:ascii="FrankRuehl" w:hAnsi="FrankRuehl" w:cs="FrankRuehl"/>
          <w:color w:val="FF0000"/>
          <w:szCs w:val="24"/>
          <w:rtl/>
        </w:rPr>
      </w:pPr>
      <w:r w:rsidRPr="00BE1B60">
        <w:rPr>
          <w:rFonts w:ascii="FrankRuehl" w:hAnsi="FrankRuehl" w:cs="FrankRuehl"/>
          <w:color w:val="FF0000"/>
          <w:szCs w:val="24"/>
          <w:rtl/>
        </w:rPr>
        <w:t xml:space="preserve">חקיקה שאוזכרה: </w:t>
      </w:r>
    </w:p>
    <w:p w14:paraId="6FF77620" w14:textId="77777777" w:rsidR="00BE1B60" w:rsidRPr="00BE1B60" w:rsidRDefault="00BE1B60" w:rsidP="00BE1B60">
      <w:pPr>
        <w:spacing w:after="120" w:line="240" w:lineRule="exact"/>
        <w:ind w:left="283" w:hanging="283"/>
        <w:rPr>
          <w:rFonts w:ascii="FrankRuehl" w:hAnsi="FrankRuehl" w:cs="FrankRuehl"/>
          <w:szCs w:val="24"/>
          <w:rtl/>
        </w:rPr>
      </w:pPr>
      <w:hyperlink r:id="rId6" w:history="1">
        <w:r w:rsidRPr="00BE1B60">
          <w:rPr>
            <w:rFonts w:ascii="FrankRuehl" w:hAnsi="FrankRuehl" w:cs="FrankRuehl"/>
            <w:color w:val="0000FF"/>
            <w:szCs w:val="24"/>
            <w:u w:val="single"/>
            <w:rtl/>
          </w:rPr>
          <w:t>פקודת הסמים המסוכנים [נוסח חדש], תשל"ג-1973</w:t>
        </w:r>
      </w:hyperlink>
    </w:p>
    <w:p w14:paraId="037B9FCA" w14:textId="77777777" w:rsidR="00BE1B60" w:rsidRPr="00BE1B60" w:rsidRDefault="00BE1B60" w:rsidP="00BE1B60">
      <w:pPr>
        <w:spacing w:after="120" w:line="240" w:lineRule="exact"/>
        <w:ind w:left="283" w:hanging="283"/>
        <w:rPr>
          <w:rFonts w:ascii="FrankRuehl" w:hAnsi="FrankRuehl" w:cs="FrankRuehl"/>
          <w:szCs w:val="24"/>
          <w:rtl/>
        </w:rPr>
      </w:pPr>
    </w:p>
    <w:p w14:paraId="38ADCD18" w14:textId="77777777" w:rsidR="00BE1B60" w:rsidRPr="00BE1B60" w:rsidRDefault="00BE1B60" w:rsidP="00BE1B60">
      <w:pPr>
        <w:jc w:val="center"/>
        <w:rPr>
          <w:rFonts w:ascii="Arial" w:hAnsi="Arial"/>
          <w:sz w:val="28"/>
          <w:szCs w:val="24"/>
          <w:rtl/>
        </w:rPr>
      </w:pPr>
      <w:bookmarkStart w:id="4" w:name="LawTable_End"/>
      <w:bookmarkEnd w:id="4"/>
    </w:p>
    <w:p w14:paraId="7EA1DAD8" w14:textId="77777777" w:rsidR="00BE1B60" w:rsidRPr="00BE1B60" w:rsidRDefault="00BE1B60" w:rsidP="00BE1B60">
      <w:pPr>
        <w:jc w:val="center"/>
        <w:rPr>
          <w:rFonts w:ascii="Arial" w:hAnsi="Arial"/>
          <w:b/>
          <w:color w:val="FF0000"/>
          <w:sz w:val="28"/>
          <w:szCs w:val="24"/>
          <w:rtl/>
        </w:rPr>
      </w:pPr>
    </w:p>
    <w:p w14:paraId="22559B76" w14:textId="77777777" w:rsidR="00B60425" w:rsidRPr="00B60425" w:rsidRDefault="00B034A4" w:rsidP="00BE1B60">
      <w:pPr>
        <w:jc w:val="center"/>
        <w:rPr>
          <w:rFonts w:ascii="FrankRuehl" w:hAnsi="FrankRuehl" w:cs="FrankRuehl"/>
          <w:szCs w:val="24"/>
          <w:rtl/>
        </w:rPr>
      </w:pPr>
      <w:r w:rsidRPr="00BE1B60">
        <w:rPr>
          <w:rFonts w:ascii="Arial" w:hAnsi="Arial"/>
          <w:b/>
          <w:color w:val="FF0000"/>
          <w:sz w:val="28"/>
          <w:szCs w:val="24"/>
          <w:rtl/>
        </w:rPr>
        <w:t>ם</w:t>
      </w:r>
    </w:p>
    <w:p w14:paraId="4939D59C" w14:textId="77777777" w:rsidR="00B034A4" w:rsidRPr="00B034A4" w:rsidRDefault="00B034A4" w:rsidP="00B034A4">
      <w:pPr>
        <w:jc w:val="center"/>
        <w:rPr>
          <w:rFonts w:ascii="Arial" w:hAnsi="Arial"/>
          <w:b/>
          <w:bCs/>
          <w:sz w:val="28"/>
          <w:szCs w:val="28"/>
          <w:u w:val="single"/>
          <w:rtl/>
        </w:rPr>
      </w:pPr>
      <w:bookmarkStart w:id="5" w:name="PsakDin"/>
      <w:bookmarkEnd w:id="0"/>
      <w:r w:rsidRPr="00B034A4">
        <w:rPr>
          <w:rFonts w:ascii="Arial" w:hAnsi="Arial"/>
          <w:b/>
          <w:bCs/>
          <w:sz w:val="28"/>
          <w:szCs w:val="28"/>
          <w:u w:val="single"/>
          <w:rtl/>
        </w:rPr>
        <w:t>גזר דין</w:t>
      </w:r>
    </w:p>
    <w:bookmarkEnd w:id="5"/>
    <w:p w14:paraId="4AC4900C" w14:textId="77777777" w:rsidR="007F6101" w:rsidRDefault="007F6101">
      <w:pPr>
        <w:rPr>
          <w:rFonts w:ascii="Arial" w:hAnsi="Arial"/>
        </w:rPr>
      </w:pPr>
    </w:p>
    <w:p w14:paraId="71D6F60C" w14:textId="77777777" w:rsidR="007F6101" w:rsidRDefault="00B034A4">
      <w:pPr>
        <w:rPr>
          <w:rtl/>
        </w:rPr>
      </w:pPr>
      <w:bookmarkStart w:id="6" w:name="ABSTRACT_START"/>
      <w:bookmarkEnd w:id="6"/>
      <w:r>
        <w:rPr>
          <w:rFonts w:hint="cs"/>
          <w:rtl/>
        </w:rPr>
        <w:t xml:space="preserve">הנאשם הודה והורשע במסגרת הסדר טיעון שהוצג בבית המשפט ביום 21.10.14, בכך שבתאריך 19.5.14 בשעה 9:30 לערך, בחצר ביתו, מאחורי סככה של כלי רכב, גידל 3 שתילי קנבוס במשקל 900 גרם נטו שלא כדין. על פי הסדר הטיעון נדחה לקבלת תסקיר והוסכם כי אם מהתסקיר יעלה כי לוקח אחריות, מביע חרטה,  אם קיימת נזקקות טיפולית הוא משתף פעולה בהליך הטפולי ושירות המבחן ימליצו להימנע ממאסר בכלא, תגביל התביעה עתירתה למאסר אותו ישא בעבדוות שירות עם רכיבים הרתעתים, ואם לא </w:t>
      </w:r>
      <w:r>
        <w:rPr>
          <w:rtl/>
        </w:rPr>
        <w:t>–</w:t>
      </w:r>
      <w:r>
        <w:rPr>
          <w:rFonts w:hint="cs"/>
          <w:rtl/>
        </w:rPr>
        <w:t xml:space="preserve"> תעתור התביעה למאסר בכלא. </w:t>
      </w:r>
    </w:p>
    <w:p w14:paraId="5EAA1475" w14:textId="77777777" w:rsidR="007F6101" w:rsidRDefault="007F6101">
      <w:pPr>
        <w:rPr>
          <w:rtl/>
        </w:rPr>
      </w:pPr>
      <w:bookmarkStart w:id="7" w:name="ABSTRACT_END"/>
      <w:bookmarkEnd w:id="7"/>
    </w:p>
    <w:p w14:paraId="3DDFAE23" w14:textId="77777777" w:rsidR="007F6101" w:rsidRDefault="00B034A4">
      <w:pPr>
        <w:rPr>
          <w:rtl/>
        </w:rPr>
      </w:pPr>
      <w:r>
        <w:rPr>
          <w:rFonts w:hint="cs"/>
          <w:rtl/>
        </w:rPr>
        <w:lastRenderedPageBreak/>
        <w:t xml:space="preserve">הדיון נדחה מספר פעמים לצורך קבלת תסקירים וחוות דעת ממונה. </w:t>
      </w:r>
    </w:p>
    <w:p w14:paraId="49284231" w14:textId="77777777" w:rsidR="007F6101" w:rsidRDefault="007F6101">
      <w:pPr>
        <w:rPr>
          <w:rtl/>
        </w:rPr>
      </w:pPr>
    </w:p>
    <w:p w14:paraId="28802499" w14:textId="77777777" w:rsidR="007F6101" w:rsidRDefault="00B034A4">
      <w:pPr>
        <w:rPr>
          <w:rtl/>
        </w:rPr>
      </w:pPr>
      <w:r>
        <w:rPr>
          <w:rFonts w:hint="cs"/>
          <w:rtl/>
        </w:rPr>
        <w:t>בתסקיר הראשון צוין כי הוא כבן 32, גרוש, אב לילדה בת 3, גר במושב שקף. לאחר ששוחרר ממעצר והתנאים הוקלו, החל לעבוד כמסגר בחב' הארגז. הוא השלים 11 שנות לימוד בלבד. גילה בעיות התנהגות. הוא התגייס לצבא בגיל המתאים במסגרת מק"מ ושירת כעובד מנהלה ובודק ציוד אלקטרוני, אולם התנהגותו דורגה כי אינה מניחה את הדעת, מתברר כי  ריצה עונשי מאסר בכלא הצבאי על רקע בעיות משמעת והתנהגות אלימה וכי התקשה להשתלב  ולהסתגל למסגרת. הוא גם התקשה להשתלב במקומות עבודה באופן רציף בשל התנהגויות אימפולסיביות, עימותים חברתיים וקושי בקבלת מרות. הוא התחתן בשנת 2011, מדובר בקשר זוגי שלווה  במאבקי כוחות. היא התלוננה נגדו כתוצאה הופנו לטפול זוגי, אולם האישה החליטה להיפרד. לדבריו, מקיים קשר רציף וסדיר עם בתו.</w:t>
      </w:r>
    </w:p>
    <w:p w14:paraId="5708D068" w14:textId="77777777" w:rsidR="007F6101" w:rsidRDefault="00B034A4">
      <w:pPr>
        <w:rPr>
          <w:rtl/>
        </w:rPr>
      </w:pPr>
      <w:r>
        <w:rPr>
          <w:rFonts w:hint="cs"/>
          <w:rtl/>
        </w:rPr>
        <w:t>מדובר במי שמגיל 17 החלה מעורבותו בפלילים. מגיל 16 החל לצרוך סמים מסוג קנבוס. את העבירה עבר לצורך שימוש עצמי לדבריו. טוען שכיום נמנע לחלוטין מלהשתמש בסמים. בתחילת המפגש עמם ביקש עזרה והביע נכונות להשתלב בטיפול ואף הועמד בפיקוח מעצרים כתנאי מתנאי השחרור ממעצר. אין ספק כי קיימת נזקקות טיפולית גבוהה.</w:t>
      </w:r>
    </w:p>
    <w:p w14:paraId="083002EC" w14:textId="77777777" w:rsidR="007F6101" w:rsidRDefault="00B034A4">
      <w:pPr>
        <w:rPr>
          <w:rtl/>
        </w:rPr>
      </w:pPr>
      <w:r>
        <w:rPr>
          <w:rFonts w:hint="cs"/>
          <w:rtl/>
        </w:rPr>
        <w:t>הוא הופנה ליחידה עירונית לטפול בהתמכרויות באשקלון כדי לבדוק אם מתאים לטפול במרכז יום. כמו כן, שולב בשיחות פרטניות עם קצינת המבחן, אולם התמקד בקשיים הכלכליים שלו, טען שלא נזקק לטיפול אינטנסיבי והתרשמו שהמניע שלו בעיקר להביא להקלה בגזר הדין ולא מתוך מניע פנימי. הוא אמר לעובדת הסוציאלית במרכז שהוא לא סבור שהוא מכור לסמים. וועדת האבחון התכנסה בעניינו פעמיים. בפעם הראשונה לא דנו כי מצאו שרידי דם בדגימת שתן, אך הוא המשיך לטעון שלא צורך סמים. כעבור שבועיים התכנסה שוב והחליטו שלא מתאים לטפול מאחר ולא מכיר בבעיתיות שלו בתחום ההתמכרויות.</w:t>
      </w:r>
    </w:p>
    <w:p w14:paraId="34ECC2BF" w14:textId="77777777" w:rsidR="007F6101" w:rsidRDefault="00B034A4">
      <w:pPr>
        <w:rPr>
          <w:rtl/>
        </w:rPr>
      </w:pPr>
      <w:r>
        <w:rPr>
          <w:rFonts w:hint="cs"/>
          <w:rtl/>
        </w:rPr>
        <w:t xml:space="preserve">בנסיבות אלה, נפגשו עמו כדי לבנות תוכנית להתערבות טיפולית של שירות המבחן. הוא המשיך לטעון שלא תופס את עצמו כעובר חוק והוא סבור שאין צורך במעורבות של גורמי טפול ואם צריך, הוא יפנה באופן פרטי. </w:t>
      </w:r>
    </w:p>
    <w:p w14:paraId="79F7D6E6" w14:textId="77777777" w:rsidR="007F6101" w:rsidRDefault="00B034A4">
      <w:pPr>
        <w:rPr>
          <w:rtl/>
        </w:rPr>
      </w:pPr>
      <w:r>
        <w:rPr>
          <w:rFonts w:hint="cs"/>
          <w:rtl/>
        </w:rPr>
        <w:t>לאחרונה, מסר דגימות שתן נקיות מסמים.</w:t>
      </w:r>
    </w:p>
    <w:p w14:paraId="33FC3AA1" w14:textId="77777777" w:rsidR="007F6101" w:rsidRDefault="00B034A4">
      <w:pPr>
        <w:rPr>
          <w:rtl/>
        </w:rPr>
      </w:pPr>
      <w:r>
        <w:rPr>
          <w:rFonts w:hint="cs"/>
          <w:rtl/>
        </w:rPr>
        <w:t xml:space="preserve">הם התרשמו כי מדובר במי שמתקשה לשלוט בתגובות רגשיות, אף שיש לו יכולות וירבליות קוגנטיביות תקינות. הוא מתקשה  בהתבוננות עצמית. מדובר במי שלאורך כל חייו גילה קשיים הסתגלותיים ותפקודים, קושי לקבל מרות וסמכות, קשיים בניהול מערכת יחסים עם הסביבה. מתמודד עם ההשפעות שלה לקות שבה אובחן. מתקשה להתמיד במקומות עבודה. נעדר מערכות תמיכה משמעותיות שיש בהן לסייע לו. הוא חש כי חייו בכאוס, מוצף רגשית ומתקשה להתמודד באופן אדפטיבי. הם התרשמו שימוש בסמים היווה עבורו דרך להתמודד עם קשיים באופן לא מקדם. הוא מגמיש גבולות. למרות שהוא ערך מאמצים </w:t>
      </w:r>
      <w:r>
        <w:rPr>
          <w:rFonts w:hint="cs"/>
          <w:rtl/>
        </w:rPr>
        <w:lastRenderedPageBreak/>
        <w:t>להתנהג באופן מ אופק, ניכר כי חש תסכול ולא מקבל מענה נוטה להגיב באופן לא מותאם ומתפרץ.</w:t>
      </w:r>
    </w:p>
    <w:p w14:paraId="6E61FCBD" w14:textId="77777777" w:rsidR="007F6101" w:rsidRDefault="00B034A4">
      <w:pPr>
        <w:rPr>
          <w:rtl/>
        </w:rPr>
      </w:pPr>
      <w:r>
        <w:rPr>
          <w:rFonts w:hint="cs"/>
          <w:rtl/>
        </w:rPr>
        <w:t xml:space="preserve">למרות המאפיינים האמורים מגלה רצון לקיים אורח חיים נורמטיבי ומשתדל שלא להשתמש בסמים. </w:t>
      </w:r>
    </w:p>
    <w:p w14:paraId="4029DF16" w14:textId="77777777" w:rsidR="007F6101" w:rsidRDefault="007F6101">
      <w:pPr>
        <w:rPr>
          <w:rtl/>
        </w:rPr>
      </w:pPr>
    </w:p>
    <w:p w14:paraId="216035B9" w14:textId="77777777" w:rsidR="007F6101" w:rsidRDefault="00B034A4">
      <w:pPr>
        <w:rPr>
          <w:rtl/>
        </w:rPr>
      </w:pPr>
      <w:r>
        <w:rPr>
          <w:rFonts w:hint="cs"/>
          <w:rtl/>
        </w:rPr>
        <w:t>בנסיבות אלה, למרות קיומה של נזקקות טיפולית והעדר תובנה של ממש של טיפול, סבורים כי מאסר בכלא יגרום לנסיגה ולכן סבורים שעונש של מאסר בעבודות שירות  יציב גבולות ויתן מענה ראוי.</w:t>
      </w:r>
    </w:p>
    <w:p w14:paraId="02F9AED0" w14:textId="77777777" w:rsidR="007F6101" w:rsidRDefault="00B034A4">
      <w:pPr>
        <w:rPr>
          <w:rtl/>
        </w:rPr>
      </w:pPr>
      <w:r>
        <w:rPr>
          <w:rFonts w:hint="cs"/>
          <w:rtl/>
        </w:rPr>
        <w:t>יצוין כי הפנו אותו לפסיכיאטרית ונתקבלה חוות דעת ב- 3.5.15 ממנה עולה שאין צורך בהתערבות פסיכיאטרית.</w:t>
      </w:r>
    </w:p>
    <w:p w14:paraId="3FB4024E" w14:textId="77777777" w:rsidR="007F6101" w:rsidRDefault="00B034A4">
      <w:pPr>
        <w:rPr>
          <w:rtl/>
        </w:rPr>
      </w:pPr>
      <w:r>
        <w:rPr>
          <w:rFonts w:hint="cs"/>
          <w:rtl/>
        </w:rPr>
        <w:t>בשל חוסר התובנה אין המלצה טיפולית.</w:t>
      </w:r>
    </w:p>
    <w:p w14:paraId="77C952A3" w14:textId="77777777" w:rsidR="007F6101" w:rsidRDefault="00B034A4">
      <w:pPr>
        <w:rPr>
          <w:rtl/>
        </w:rPr>
      </w:pPr>
      <w:r>
        <w:rPr>
          <w:rFonts w:hint="cs"/>
          <w:rtl/>
        </w:rPr>
        <w:t>תחילה לא נמצא כשיר לשאת מאסר בעבודות שירות, אך בהמשך מצא הממונה שהוא כשיר.</w:t>
      </w:r>
    </w:p>
    <w:p w14:paraId="01742211" w14:textId="77777777" w:rsidR="007F6101" w:rsidRDefault="007F6101">
      <w:pPr>
        <w:rPr>
          <w:rtl/>
        </w:rPr>
      </w:pPr>
    </w:p>
    <w:p w14:paraId="5F4B9A8D" w14:textId="77777777" w:rsidR="007F6101" w:rsidRDefault="00B034A4">
      <w:pPr>
        <w:rPr>
          <w:rtl/>
        </w:rPr>
      </w:pPr>
      <w:r>
        <w:rPr>
          <w:rFonts w:hint="cs"/>
          <w:rtl/>
        </w:rPr>
        <w:t xml:space="preserve">למרות האמור התובעת עומדת על עתירתה למאסר בשל העדר המלצה טפולית, למרות הנזקקות הטיפולית, דבר שמעלה את הסיכון כי ישוב ויעבור עבירות סמים בעתיד, בעוד הסניגור מבקש לאמץ את המלצת שירות המבחן והנאשם מבקש כי תקופת המאסר תהיה קצרה ותיקח בחשבון את העובדה שהיה עצור כחודשיים וחצי. </w:t>
      </w:r>
    </w:p>
    <w:p w14:paraId="7274EBC9" w14:textId="77777777" w:rsidR="007F6101" w:rsidRDefault="007F6101">
      <w:pPr>
        <w:rPr>
          <w:rtl/>
        </w:rPr>
      </w:pPr>
    </w:p>
    <w:p w14:paraId="0A867E27" w14:textId="77777777" w:rsidR="007F6101" w:rsidRDefault="00B034A4">
      <w:pPr>
        <w:rPr>
          <w:rtl/>
        </w:rPr>
      </w:pPr>
      <w:r>
        <w:rPr>
          <w:rFonts w:hint="cs"/>
          <w:rtl/>
        </w:rPr>
        <w:t>באשר למתחם העונשי, כל צד תמך טענותיו בפסיקה. מרבית פסקי הדין של בתי המשפט השלום בכמויות שונות.</w:t>
      </w:r>
    </w:p>
    <w:p w14:paraId="64A242A8" w14:textId="77777777" w:rsidR="007F6101" w:rsidRDefault="007F6101">
      <w:pPr>
        <w:rPr>
          <w:rtl/>
        </w:rPr>
      </w:pPr>
    </w:p>
    <w:p w14:paraId="3FE4127B" w14:textId="77777777" w:rsidR="007F6101" w:rsidRDefault="007F6101">
      <w:pPr>
        <w:rPr>
          <w:rtl/>
        </w:rPr>
      </w:pPr>
    </w:p>
    <w:p w14:paraId="2BA5BE4B" w14:textId="77777777" w:rsidR="007F6101" w:rsidRDefault="00B034A4">
      <w:pPr>
        <w:rPr>
          <w:rtl/>
        </w:rPr>
      </w:pPr>
      <w:r>
        <w:rPr>
          <w:rtl/>
        </w:rPr>
        <w:t>באשר למתחם העונשי   בנסיבות דומות:</w:t>
      </w:r>
    </w:p>
    <w:p w14:paraId="10821346" w14:textId="77777777" w:rsidR="007F6101" w:rsidRDefault="00B034A4">
      <w:pPr>
        <w:rPr>
          <w:rtl/>
        </w:rPr>
      </w:pPr>
      <w:r>
        <w:rPr>
          <w:rtl/>
        </w:rPr>
        <w:t xml:space="preserve"> ב</w:t>
      </w:r>
      <w:hyperlink r:id="rId7" w:history="1">
        <w:r w:rsidR="00BE1B60" w:rsidRPr="00BE1B60">
          <w:rPr>
            <w:color w:val="0000FF"/>
            <w:u w:val="single"/>
            <w:rtl/>
          </w:rPr>
          <w:t xml:space="preserve">ברע"פ 6987/13 </w:t>
        </w:r>
      </w:hyperlink>
      <w:r>
        <w:rPr>
          <w:rtl/>
        </w:rPr>
        <w:t xml:space="preserve"> אברמוב נ' מדינת ישראל, מיום 21.10.13, גידול והחזקה של 10  ק"ג, נדון ל- 12 חודשי מאסר וקנס בסך  7,500 ₪ ורכיבים הרתעתים. </w:t>
      </w:r>
    </w:p>
    <w:p w14:paraId="692A179B" w14:textId="77777777" w:rsidR="007F6101" w:rsidRDefault="00B034A4">
      <w:pPr>
        <w:rPr>
          <w:rtl/>
        </w:rPr>
      </w:pPr>
      <w:r>
        <w:rPr>
          <w:rtl/>
        </w:rPr>
        <w:t xml:space="preserve"> ב</w:t>
      </w:r>
      <w:hyperlink r:id="rId8" w:history="1">
        <w:r w:rsidR="00BE1B60" w:rsidRPr="00BE1B60">
          <w:rPr>
            <w:rStyle w:val="Hyperlink"/>
            <w:rtl/>
          </w:rPr>
          <w:t>ברע"פ 7675/13</w:t>
        </w:r>
      </w:hyperlink>
      <w:r>
        <w:rPr>
          <w:rtl/>
        </w:rPr>
        <w:t xml:space="preserve">, סאעפין נ' מדינת ישראל מיום 26.1.14,  קנבוס במשקל 11.3 קילו וכן החזקת כמויות קטנות יותר לצריכה עצמית -נדון ל- 11 חודשי מאסר וקנס בסך  8,500 ₪ ורכיבים הרתעתיים. </w:t>
      </w:r>
    </w:p>
    <w:p w14:paraId="0ED87179" w14:textId="77777777" w:rsidR="007F6101" w:rsidRDefault="00B034A4">
      <w:pPr>
        <w:rPr>
          <w:rtl/>
        </w:rPr>
      </w:pPr>
      <w:r>
        <w:rPr>
          <w:rtl/>
        </w:rPr>
        <w:t>ב</w:t>
      </w:r>
      <w:hyperlink r:id="rId9" w:history="1">
        <w:r w:rsidR="00BE1B60" w:rsidRPr="00BE1B60">
          <w:rPr>
            <w:color w:val="0000FF"/>
            <w:u w:val="single"/>
            <w:rtl/>
          </w:rPr>
          <w:t xml:space="preserve">ת.פ. 1370/05 </w:t>
        </w:r>
      </w:hyperlink>
      <w:r>
        <w:rPr>
          <w:rtl/>
        </w:rPr>
        <w:t xml:space="preserve"> מחוזי נצרת,  מיום 28.2.06, חסנום שינגאמונג נ' מדינת ישראל. המערער, אזרח תאילנדי,  הורשע בעבירה של החזקת סם מסוכן וגידולו בקיבוץ שבו עבד. שתל שתילי קנבוס ונתפס עם סם במשקל המתקרב ל- 10 ק"ג.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בצידה עונש מירבי של 20 שנות מאסר, אולם יחד עם זאת, גידל הסם והשתמש בהם לבישול, עברו נקי, הודה מיד, הביע חרטה ובתום ריצוי העונש צפוי לגרוש, ולכן מצאו לנכון להפחית מתקופת המאסר שהועמד על 12 חודשים. </w:t>
      </w:r>
    </w:p>
    <w:p w14:paraId="2085F278" w14:textId="77777777" w:rsidR="007F6101" w:rsidRDefault="007F6101">
      <w:pPr>
        <w:rPr>
          <w:rtl/>
        </w:rPr>
      </w:pPr>
    </w:p>
    <w:p w14:paraId="4DB3B252" w14:textId="77777777" w:rsidR="007F6101" w:rsidRDefault="007F6101">
      <w:pPr>
        <w:rPr>
          <w:rtl/>
        </w:rPr>
      </w:pPr>
    </w:p>
    <w:p w14:paraId="01CCCDA2" w14:textId="77777777" w:rsidR="007F6101" w:rsidRDefault="007F6101">
      <w:pPr>
        <w:rPr>
          <w:rtl/>
        </w:rPr>
      </w:pPr>
    </w:p>
    <w:p w14:paraId="28F96B29" w14:textId="77777777" w:rsidR="007F6101" w:rsidRDefault="00B034A4">
      <w:pPr>
        <w:rPr>
          <w:rtl/>
        </w:rPr>
      </w:pPr>
      <w:r>
        <w:rPr>
          <w:rtl/>
        </w:rPr>
        <w:t xml:space="preserve">בבית משפט שלום תל-אביב </w:t>
      </w:r>
      <w:hyperlink r:id="rId10" w:history="1">
        <w:r w:rsidRPr="00B034A4">
          <w:rPr>
            <w:color w:val="0000FF"/>
            <w:u w:val="single"/>
            <w:rtl/>
          </w:rPr>
          <w:t>ת.פ. 29401-11-12</w:t>
        </w:r>
      </w:hyperlink>
      <w:r>
        <w:rPr>
          <w:rtl/>
        </w:rPr>
        <w:t xml:space="preserve"> מיום 25.2.13, (כב' השופט שגיא) קבע בית המשפט מתחם עונשי הנע בין 10 חודשי מאסר ל- 24 חודשים בהתבסס על </w:t>
      </w:r>
      <w:hyperlink r:id="rId11" w:history="1">
        <w:r w:rsidRPr="00B034A4">
          <w:rPr>
            <w:color w:val="0000FF"/>
            <w:u w:val="single"/>
            <w:rtl/>
          </w:rPr>
          <w:t>עפ"ג 17155-07-10</w:t>
        </w:r>
      </w:hyperlink>
      <w:r>
        <w:rPr>
          <w:rtl/>
        </w:rPr>
        <w:t xml:space="preserve"> מדינת ישראל נ' עמר ניסים, גידול מעל 11 ק"ג קנבוס, שם  בית משפט שלום הסתפק ב- 6 חודשים עבודות שירות ובמסגרת הערעור גובשה הסכמה על פיה העונש הועמד על 9 חודשים .וכן על </w:t>
      </w:r>
      <w:hyperlink r:id="rId12" w:history="1">
        <w:r w:rsidR="00BE1B60" w:rsidRPr="00BE1B60">
          <w:rPr>
            <w:color w:val="0000FF"/>
            <w:u w:val="single"/>
            <w:rtl/>
          </w:rPr>
          <w:t xml:space="preserve">עפ"ג מרכז, 52810-07-10 </w:t>
        </w:r>
      </w:hyperlink>
      <w:r>
        <w:rPr>
          <w:rtl/>
        </w:rPr>
        <w:t xml:space="preserve"> חזי עזריה נ' מדינת ישראל, מיום 21.12.10. ניהול מעבדה ליצור קנבוס, 38 שתילים במשקל 1.180 ק"ג וכן החזקת חשיש במשקל 277 גרם נטו וחגיגת במשקל 94.96 גרם. בית משפט שלום גזר דינו ל- 9 חודשי מאסר.  בית משפט מחוזי ציין כי נוכח התפתחויות בהיבט השיקומי יש להעמיד העונש על 6 חודשים בדרך של עבודות שירות .</w:t>
      </w:r>
    </w:p>
    <w:p w14:paraId="0390DD4A" w14:textId="77777777" w:rsidR="007F6101" w:rsidRDefault="007F6101">
      <w:pPr>
        <w:rPr>
          <w:rtl/>
        </w:rPr>
      </w:pPr>
    </w:p>
    <w:p w14:paraId="67861EBF" w14:textId="77777777" w:rsidR="007F6101" w:rsidRDefault="00B034A4">
      <w:pPr>
        <w:rPr>
          <w:rtl/>
        </w:rPr>
      </w:pPr>
      <w:r>
        <w:rPr>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לעבירות  אלה,  ונובעים מהצורך להשביע הרעב הבלתי נדלה לסמים.  הסכנה הנשקפת לכן ממי שמהווה חוליה בשרשרת הפצת הסמים , ידועה, ולא בכדי קבע המחוקק בצד עבירת הסחר והגידול, מאסר לתקופה של עד 20 שנים.</w:t>
      </w:r>
    </w:p>
    <w:p w14:paraId="1F566E70" w14:textId="77777777" w:rsidR="007F6101" w:rsidRDefault="007F6101">
      <w:pPr>
        <w:rPr>
          <w:rtl/>
        </w:rPr>
      </w:pPr>
    </w:p>
    <w:p w14:paraId="51D78B7D" w14:textId="77777777" w:rsidR="007F6101" w:rsidRDefault="00B034A4">
      <w:pPr>
        <w:rPr>
          <w:rtl/>
        </w:rPr>
      </w:pPr>
      <w:r>
        <w:rPr>
          <w:rtl/>
        </w:rPr>
        <w:t>ב</w:t>
      </w:r>
      <w:hyperlink r:id="rId13" w:history="1">
        <w:r w:rsidRPr="00B034A4">
          <w:rPr>
            <w:color w:val="0000FF"/>
            <w:u w:val="single"/>
            <w:rtl/>
          </w:rPr>
          <w:t>ת.פ. 22471-01-14</w:t>
        </w:r>
      </w:hyperlink>
      <w:r>
        <w:rPr>
          <w:rtl/>
        </w:rPr>
        <w:t xml:space="preserve"> מדינת ישראל נ' אלברט פיסחוב,  שם </w:t>
      </w:r>
      <w:r>
        <w:rPr>
          <w:rFonts w:hint="cs"/>
          <w:rtl/>
        </w:rPr>
        <w:t>היה</w:t>
      </w:r>
      <w:r>
        <w:rPr>
          <w:rtl/>
        </w:rPr>
        <w:t xml:space="preserve"> מדובר בגידול של 250 שתילים, במשקל כולל של 32 קילו,  בתכנון מוקדם, שכירת קוטג', והכנת ציוד רב וכן עבירה של נטילת חשמל.  גובש הסדר טיעון על פיו הפרקליטות הגבילה עצמה ל- 26 חודשי מאסר, בעוד טיעוני הסניגור חופשיים וגזרתי דינו ל- 24 חודשי מאסר. ערעור שהוגש במסגרת </w:t>
      </w:r>
      <w:hyperlink r:id="rId14" w:history="1">
        <w:r w:rsidRPr="00B034A4">
          <w:rPr>
            <w:color w:val="0000FF"/>
            <w:u w:val="single"/>
            <w:rtl/>
          </w:rPr>
          <w:t>עפ"ג 43493-05-14</w:t>
        </w:r>
      </w:hyperlink>
      <w:r>
        <w:rPr>
          <w:rtl/>
        </w:rPr>
        <w:t xml:space="preserve"> נדחה, תוך שציין כי לא מצאו שהעונש, אשר נגזר בתוך טווח ענישה מוסכם, מחמיר עם המערער נוכח מעשיו הקשים וכי אין לומר כי בית משפט החמיר עם המערער וכפי שציין שם : "לצערינו, העבירה של גידול סמים בדרך שנעשתה על ידי המערער, הפכה לאחרונה נפוצה, ודי בכך כדי להוות עילה נוספת לאי התערבות ערכאת הערעור. יש לראות בחומרה רבה את מעשי המערער, אשר בשל שיקולים כלכלים, בשל מחסור כספי, ביצע עבירה קשה שאלמלא הפעילות המשטרתית היה עלול לפגוע באופן חמור בציבור. המערער היווה חוליה חיונית בשרשרת הפצת הסמים, ובצדק דן אותו בית משפט לעונש שנפסק". </w:t>
      </w:r>
    </w:p>
    <w:p w14:paraId="550F1B37" w14:textId="77777777" w:rsidR="007F6101" w:rsidRDefault="007F6101">
      <w:pPr>
        <w:rPr>
          <w:rtl/>
        </w:rPr>
      </w:pPr>
    </w:p>
    <w:p w14:paraId="3F9400E5" w14:textId="77777777" w:rsidR="007F6101" w:rsidRDefault="00B034A4">
      <w:pPr>
        <w:rPr>
          <w:rtl/>
        </w:rPr>
      </w:pPr>
      <w:r>
        <w:rPr>
          <w:rFonts w:hint="cs"/>
          <w:rtl/>
        </w:rPr>
        <w:t xml:space="preserve">בפסק דינו </w:t>
      </w:r>
      <w:r>
        <w:rPr>
          <w:rtl/>
        </w:rPr>
        <w:t>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w:t>
      </w:r>
    </w:p>
    <w:p w14:paraId="2BF32AF5" w14:textId="77777777" w:rsidR="007F6101" w:rsidRDefault="007F6101">
      <w:pPr>
        <w:rPr>
          <w:rtl/>
        </w:rPr>
      </w:pPr>
    </w:p>
    <w:p w14:paraId="2AC3C3B6" w14:textId="77777777" w:rsidR="007F6101" w:rsidRDefault="00B034A4">
      <w:pPr>
        <w:rPr>
          <w:rtl/>
        </w:rPr>
      </w:pPr>
      <w:r>
        <w:rPr>
          <w:rtl/>
        </w:rPr>
        <w:t>אמנם המחוקק לא הבחין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ומעשי הסחר רבים יותר.</w:t>
      </w:r>
    </w:p>
    <w:p w14:paraId="3337D444" w14:textId="77777777" w:rsidR="007F6101" w:rsidRDefault="007F6101">
      <w:pPr>
        <w:rPr>
          <w:rtl/>
        </w:rPr>
      </w:pPr>
    </w:p>
    <w:p w14:paraId="7FD7028D" w14:textId="77777777" w:rsidR="007F6101" w:rsidRDefault="00B034A4">
      <w:pPr>
        <w:rPr>
          <w:rtl/>
        </w:rPr>
      </w:pPr>
      <w:r>
        <w:rPr>
          <w:rFonts w:hint="cs"/>
          <w:rtl/>
        </w:rPr>
        <w:t>במקרה שבפני מדובר בכמות שפחותה מ- 1 ק"ג וב- 3 שתילים בלבד.</w:t>
      </w:r>
    </w:p>
    <w:p w14:paraId="7689D0DB" w14:textId="77777777" w:rsidR="007F6101" w:rsidRDefault="007F6101">
      <w:pPr>
        <w:rPr>
          <w:rtl/>
        </w:rPr>
      </w:pPr>
    </w:p>
    <w:p w14:paraId="201E68A8" w14:textId="77777777" w:rsidR="007F6101" w:rsidRDefault="00B034A4">
      <w:pPr>
        <w:rPr>
          <w:rtl/>
        </w:rPr>
      </w:pPr>
      <w:r>
        <w:rPr>
          <w:rFonts w:hint="cs"/>
          <w:rtl/>
        </w:rPr>
        <w:t>אמנם קיימת נזקקות טיפולית גבוהה ואין לי אלא להביע צער רב על כך שלמרות הזדמנויות שניתנו לו לא השכיל להפנים כי סובל מבעית התמכרות הדורשת טפול חיצוני וכי לא יוכל לעשות זאת בעצמו, אולם מאידך לא אוכל להתעלם מהנסיונות שעשה, מכך שבעת האחרונה דגימות השתן שמסר נקיות, ממצבו הנפשי המיוחד, מהטראומות שסבל בילדות, בין  בשל פטירת האח ובשל הלקות ממנו סובל (תסמונת טורט).</w:t>
      </w:r>
    </w:p>
    <w:p w14:paraId="49A1BBB0" w14:textId="77777777" w:rsidR="007F6101" w:rsidRDefault="007F6101">
      <w:pPr>
        <w:rPr>
          <w:rtl/>
        </w:rPr>
      </w:pPr>
    </w:p>
    <w:p w14:paraId="5CAA33CA" w14:textId="77777777" w:rsidR="007F6101" w:rsidRDefault="00B034A4">
      <w:pPr>
        <w:rPr>
          <w:rtl/>
        </w:rPr>
      </w:pPr>
      <w:r>
        <w:rPr>
          <w:rFonts w:hint="cs"/>
          <w:rtl/>
        </w:rPr>
        <w:t xml:space="preserve">בנסיבות אלה, מצאתי כי ניתן להסתפק ברף התחתון ולאפשר לו לשאת המאסר בעבודות שירות ואאזן זאת במאסר מותנה ממשי. </w:t>
      </w:r>
    </w:p>
    <w:p w14:paraId="0891B8F5" w14:textId="77777777" w:rsidR="007F6101" w:rsidRDefault="007F6101">
      <w:pPr>
        <w:rPr>
          <w:rtl/>
        </w:rPr>
      </w:pPr>
    </w:p>
    <w:p w14:paraId="59714A0C" w14:textId="77777777" w:rsidR="007F6101" w:rsidRDefault="00B034A4">
      <w:pPr>
        <w:rPr>
          <w:rtl/>
        </w:rPr>
      </w:pPr>
      <w:r>
        <w:rPr>
          <w:rFonts w:hint="cs"/>
          <w:rtl/>
        </w:rPr>
        <w:t>בעברו 3 הרשעות, אף שלא נמחקו, הן התיישנו, אך ביניהן עבירות של החזקת סם לצריכה עצמית.</w:t>
      </w:r>
    </w:p>
    <w:p w14:paraId="6A328D4B" w14:textId="77777777" w:rsidR="007F6101" w:rsidRDefault="00B034A4">
      <w:r>
        <w:rPr>
          <w:rFonts w:hint="cs"/>
          <w:rtl/>
        </w:rPr>
        <w:t xml:space="preserve">הנאשם ביקש שאמנע מפסילה, אך לאור העובדה שמכור לסמים אך אין המלצה טיפולית, לא ניתן לאפשר לו לאחוז בהגה, שכן הוא מסכן לא רק את עצמו אלא את יתר המשתמשים בדרך והוא אפילו לא מודע לכך. </w:t>
      </w:r>
    </w:p>
    <w:p w14:paraId="30635568" w14:textId="77777777" w:rsidR="007F6101" w:rsidRDefault="007F6101">
      <w:pPr>
        <w:rPr>
          <w:rtl/>
        </w:rPr>
      </w:pPr>
    </w:p>
    <w:p w14:paraId="6DD0447B" w14:textId="77777777" w:rsidR="007F6101" w:rsidRDefault="00B034A4">
      <w:pPr>
        <w:rPr>
          <w:rtl/>
        </w:rPr>
      </w:pPr>
      <w:r>
        <w:rPr>
          <w:rFonts w:hint="cs"/>
          <w:rtl/>
        </w:rPr>
        <w:t>אני גוזרת על הנאשם לעונשים כדלקמן:</w:t>
      </w:r>
    </w:p>
    <w:p w14:paraId="69E00A62" w14:textId="77777777" w:rsidR="007F6101" w:rsidRDefault="007F6101">
      <w:pPr>
        <w:rPr>
          <w:rtl/>
        </w:rPr>
      </w:pPr>
    </w:p>
    <w:p w14:paraId="52FB3A6D" w14:textId="77777777" w:rsidR="007F6101" w:rsidRDefault="00B034A4">
      <w:pPr>
        <w:ind w:left="720" w:hanging="720"/>
      </w:pPr>
      <w:r>
        <w:rPr>
          <w:rFonts w:hint="cs"/>
          <w:rtl/>
        </w:rPr>
        <w:t>1.</w:t>
      </w:r>
      <w:r>
        <w:rPr>
          <w:rFonts w:hint="cs"/>
          <w:rtl/>
        </w:rPr>
        <w:tab/>
        <w:t xml:space="preserve">מאסר לתקופה של  6  חודשים,  בניכוי התקופה שהיה עצור. את יתרת המאסר ישא בעבודות שירות במועצה דתית אשקלון, רח' אשתאול 1,  וזאת 5 ימים בשבוע, 8.5 שעות יומיות, בעבודות אחזקה וסיוע, מנהלה ושירותים בפיקוח ישראלי שרון. </w:t>
      </w:r>
    </w:p>
    <w:p w14:paraId="0AFD45DC" w14:textId="77777777" w:rsidR="007F6101" w:rsidRDefault="00B034A4">
      <w:pPr>
        <w:ind w:left="720"/>
      </w:pPr>
      <w:r>
        <w:rPr>
          <w:rFonts w:hint="cs"/>
          <w:rtl/>
        </w:rPr>
        <w:t>תחילת המאסר מיום  28.7.15   ועליו להתייצב בשעה 08:00 במועד זה בפני המפקח על עבודות השירות לצורך קליטה והצבה במפקדת גוש דרום ב"ש, ליד כלא ב"ש,  (אוטובוס אגד מתחנה מרכזית בב"ש קו 46).</w:t>
      </w:r>
    </w:p>
    <w:p w14:paraId="316DCFBB" w14:textId="77777777" w:rsidR="007F6101" w:rsidRDefault="00B034A4">
      <w:pPr>
        <w:ind w:left="720"/>
        <w:rPr>
          <w:rtl/>
        </w:rPr>
      </w:pPr>
      <w:r>
        <w:rPr>
          <w:rFonts w:hint="cs"/>
          <w:rtl/>
        </w:rPr>
        <w:t xml:space="preserve">על הנאשם לדווח לממונה על עבודות השירות בשב"ס אודות כל שינוי בכתובתו ובפרטיו. </w:t>
      </w:r>
    </w:p>
    <w:p w14:paraId="5CC7055C" w14:textId="77777777" w:rsidR="007F6101" w:rsidRDefault="00B034A4">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5A257EC0" w14:textId="77777777" w:rsidR="007F6101" w:rsidRDefault="007F6101">
      <w:pPr>
        <w:rPr>
          <w:rtl/>
        </w:rPr>
      </w:pPr>
    </w:p>
    <w:p w14:paraId="6B7C6DE7" w14:textId="77777777" w:rsidR="007F6101" w:rsidRDefault="00B034A4">
      <w:pPr>
        <w:ind w:left="720" w:hanging="720"/>
        <w:rPr>
          <w:rtl/>
        </w:rPr>
      </w:pPr>
      <w:r>
        <w:rPr>
          <w:rFonts w:hint="cs"/>
          <w:rtl/>
        </w:rPr>
        <w:t>2.</w:t>
      </w:r>
      <w:r>
        <w:rPr>
          <w:rFonts w:hint="cs"/>
          <w:rtl/>
        </w:rPr>
        <w:tab/>
        <w:t xml:space="preserve">אני מטילה על הנאשם   10  חודשי מאסר על תנאי למשך   3 שנים והתנאי הוא שלא יעבור עבירת פשע על </w:t>
      </w:r>
      <w:hyperlink r:id="rId15" w:history="1">
        <w:r w:rsidRPr="00B034A4">
          <w:rPr>
            <w:color w:val="0000FF"/>
            <w:u w:val="single"/>
            <w:rtl/>
          </w:rPr>
          <w:t>פקודת הסמים המסוכנים</w:t>
        </w:r>
      </w:hyperlink>
      <w:r>
        <w:rPr>
          <w:rFonts w:hint="cs"/>
          <w:rtl/>
        </w:rPr>
        <w:t>.</w:t>
      </w:r>
    </w:p>
    <w:p w14:paraId="1F91352D" w14:textId="77777777" w:rsidR="007F6101" w:rsidRDefault="007F6101">
      <w:pPr>
        <w:ind w:left="720" w:hanging="720"/>
        <w:rPr>
          <w:rtl/>
        </w:rPr>
      </w:pPr>
    </w:p>
    <w:p w14:paraId="20B1B560" w14:textId="77777777" w:rsidR="007F6101" w:rsidRDefault="00B034A4">
      <w:pPr>
        <w:ind w:left="720" w:hanging="720"/>
        <w:rPr>
          <w:rtl/>
        </w:rPr>
      </w:pPr>
      <w:r>
        <w:rPr>
          <w:rFonts w:hint="cs"/>
          <w:rtl/>
        </w:rPr>
        <w:t>3.</w:t>
      </w:r>
      <w:r>
        <w:rPr>
          <w:rFonts w:hint="cs"/>
          <w:rtl/>
        </w:rPr>
        <w:tab/>
        <w:t xml:space="preserve">אני מטילה על הנאשם 6    חודשי מאסר על תנאי למשך    שנים והתנאי הוא שלא יעבור עבירת עוון על </w:t>
      </w:r>
      <w:hyperlink r:id="rId16" w:history="1">
        <w:r w:rsidRPr="00B034A4">
          <w:rPr>
            <w:color w:val="0000FF"/>
            <w:u w:val="single"/>
            <w:rtl/>
          </w:rPr>
          <w:t>פקודת הסמים המסוכנים</w:t>
        </w:r>
      </w:hyperlink>
      <w:r>
        <w:rPr>
          <w:rFonts w:hint="cs"/>
          <w:rtl/>
        </w:rPr>
        <w:t xml:space="preserve"> וכן עבירה של נהיגה בפסילה.</w:t>
      </w:r>
    </w:p>
    <w:p w14:paraId="5C87D5ED" w14:textId="77777777" w:rsidR="007F6101" w:rsidRDefault="007F6101">
      <w:pPr>
        <w:ind w:firstLine="720"/>
        <w:rPr>
          <w:rtl/>
        </w:rPr>
      </w:pPr>
    </w:p>
    <w:p w14:paraId="6226CBD3" w14:textId="77777777" w:rsidR="007F6101" w:rsidRDefault="00B034A4">
      <w:pPr>
        <w:ind w:left="720"/>
        <w:rPr>
          <w:rtl/>
        </w:rPr>
      </w:pPr>
      <w:r>
        <w:rPr>
          <w:rFonts w:hint="cs"/>
          <w:rtl/>
        </w:rPr>
        <w:t>4</w:t>
      </w:r>
      <w:r>
        <w:rPr>
          <w:rtl/>
        </w:rPr>
        <w:t>.</w:t>
      </w:r>
      <w:r>
        <w:rPr>
          <w:rtl/>
        </w:rPr>
        <w:tab/>
      </w:r>
      <w:r>
        <w:rPr>
          <w:rFonts w:hint="cs"/>
          <w:rtl/>
        </w:rPr>
        <w:t xml:space="preserve">הנאשם יחתום על התחייבות בסך 7500  ₪ להימנע מביצוע עבירת פשע על </w:t>
      </w:r>
      <w:hyperlink r:id="rId17" w:history="1">
        <w:r w:rsidRPr="00B034A4">
          <w:rPr>
            <w:color w:val="0000FF"/>
            <w:u w:val="single"/>
            <w:rtl/>
          </w:rPr>
          <w:t xml:space="preserve">פקודת </w:t>
        </w:r>
        <w:r w:rsidRPr="00B034A4">
          <w:rPr>
            <w:color w:val="0000FF"/>
            <w:u w:val="single"/>
            <w:rtl/>
          </w:rPr>
          <w:cr/>
          <w:t>הסמים המסוכנים</w:t>
        </w:r>
      </w:hyperlink>
      <w:r>
        <w:rPr>
          <w:rFonts w:hint="cs"/>
          <w:rtl/>
        </w:rPr>
        <w:t xml:space="preserve"> במשך 3    שנים מהיום. </w:t>
      </w:r>
    </w:p>
    <w:p w14:paraId="0566389F" w14:textId="77777777" w:rsidR="007F6101" w:rsidRDefault="00B034A4">
      <w:pPr>
        <w:rPr>
          <w:rtl/>
        </w:rPr>
      </w:pPr>
      <w:r>
        <w:rPr>
          <w:rFonts w:hint="cs"/>
          <w:rtl/>
        </w:rPr>
        <w:tab/>
        <w:t xml:space="preserve">אם לא יחתום על ההתחייבות, יאסר למשך 90  ימים. </w:t>
      </w:r>
    </w:p>
    <w:p w14:paraId="3D96CC82" w14:textId="77777777" w:rsidR="007F6101" w:rsidRDefault="007F6101">
      <w:pPr>
        <w:rPr>
          <w:rtl/>
        </w:rPr>
      </w:pPr>
    </w:p>
    <w:p w14:paraId="5D305929" w14:textId="77777777" w:rsidR="007F6101" w:rsidRDefault="00B034A4">
      <w:pPr>
        <w:rPr>
          <w:rtl/>
        </w:rPr>
      </w:pPr>
      <w:r>
        <w:rPr>
          <w:rFonts w:hint="cs"/>
          <w:rtl/>
        </w:rPr>
        <w:t>5.</w:t>
      </w:r>
      <w:r>
        <w:rPr>
          <w:rFonts w:hint="cs"/>
          <w:rtl/>
        </w:rPr>
        <w:tab/>
      </w:r>
      <w:r>
        <w:rPr>
          <w:rtl/>
        </w:rPr>
        <w:t>הנני פוסלת את הנאש</w:t>
      </w:r>
      <w:r>
        <w:rPr>
          <w:rFonts w:hint="cs"/>
          <w:rtl/>
        </w:rPr>
        <w:t>ם/ת</w:t>
      </w:r>
      <w:r>
        <w:rPr>
          <w:rtl/>
        </w:rPr>
        <w:t xml:space="preserve"> מלקבל או מלהחזיק ר</w:t>
      </w:r>
      <w:r>
        <w:rPr>
          <w:rFonts w:hint="cs"/>
          <w:rtl/>
        </w:rPr>
        <w:t>י</w:t>
      </w:r>
      <w:r>
        <w:rPr>
          <w:rtl/>
        </w:rPr>
        <w:t xml:space="preserve">שיון נהיגה לתקופה של  </w:t>
      </w:r>
      <w:r>
        <w:rPr>
          <w:rFonts w:hint="cs"/>
          <w:rtl/>
        </w:rPr>
        <w:t xml:space="preserve">5 </w:t>
      </w:r>
      <w:r>
        <w:rPr>
          <w:rtl/>
        </w:rPr>
        <w:t xml:space="preserve">חודשים. </w:t>
      </w:r>
    </w:p>
    <w:p w14:paraId="22D9741B" w14:textId="77777777" w:rsidR="007F6101" w:rsidRDefault="00B034A4">
      <w:pPr>
        <w:ind w:left="720"/>
        <w:rPr>
          <w:rtl/>
        </w:rPr>
      </w:pPr>
      <w:r>
        <w:rPr>
          <w:rFonts w:hint="cs"/>
          <w:rtl/>
        </w:rPr>
        <w:t>הפסילה תחל מהיום ועליו/ה להפקיד רישיונו במזכירות ביהמ"ש לצורך  חישוב התקופה.  ומוסבר לו שגם אם לא יפקיד, נאסרת עליו הנהיגה מבלי שתוקצב התקופה</w:t>
      </w:r>
      <w:r>
        <w:rPr>
          <w:rFonts w:hint="cs"/>
        </w:rPr>
        <w:t xml:space="preserve"> </w:t>
      </w:r>
      <w:r>
        <w:rPr>
          <w:rFonts w:hint="cs"/>
          <w:rtl/>
        </w:rPr>
        <w:t>כמו כן, מוסברת לו חומרת  העבירה של נהיגה בפסילה.</w:t>
      </w:r>
    </w:p>
    <w:p w14:paraId="0B47ED1A" w14:textId="77777777" w:rsidR="007F6101" w:rsidRDefault="007F6101">
      <w:pPr>
        <w:rPr>
          <w:rtl/>
        </w:rPr>
      </w:pPr>
    </w:p>
    <w:p w14:paraId="615FC83F" w14:textId="77777777" w:rsidR="007F6101" w:rsidRDefault="00B034A4">
      <w:pPr>
        <w:rPr>
          <w:b/>
          <w:bCs/>
          <w:sz w:val="6"/>
          <w:szCs w:val="6"/>
          <w:rtl/>
        </w:rPr>
      </w:pPr>
      <w:r>
        <w:rPr>
          <w:b/>
          <w:bCs/>
          <w:rtl/>
        </w:rPr>
        <w:t xml:space="preserve">זכות ערעור תוך 45 יום מהיום. </w:t>
      </w:r>
      <w:r>
        <w:rPr>
          <w:b/>
          <w:bCs/>
          <w:sz w:val="6"/>
          <w:szCs w:val="6"/>
          <w:rtl/>
        </w:rPr>
        <w:t>&lt;#5#&gt;</w:t>
      </w:r>
    </w:p>
    <w:p w14:paraId="329215DE" w14:textId="77777777" w:rsidR="007F6101" w:rsidRDefault="007F6101">
      <w:pPr>
        <w:jc w:val="right"/>
        <w:rPr>
          <w:rtl/>
        </w:rPr>
      </w:pPr>
    </w:p>
    <w:p w14:paraId="295DBE97" w14:textId="77777777" w:rsidR="007F6101" w:rsidRDefault="00B034A4">
      <w:pPr>
        <w:rPr>
          <w:rtl/>
        </w:rPr>
      </w:pPr>
      <w:r>
        <w:rPr>
          <w:rFonts w:hint="cs"/>
          <w:b/>
          <w:bCs/>
          <w:rtl/>
        </w:rPr>
        <w:t xml:space="preserve">ניתנה והודעה היום </w:t>
      </w:r>
      <w:r>
        <w:rPr>
          <w:rFonts w:hint="cs"/>
          <w:rtl/>
        </w:rPr>
        <w:t>י' סיוון תשע"ה</w:t>
      </w:r>
      <w:r>
        <w:rPr>
          <w:rFonts w:hint="cs"/>
          <w:b/>
          <w:bCs/>
          <w:rtl/>
        </w:rPr>
        <w:t xml:space="preserve">, </w:t>
      </w:r>
      <w:r>
        <w:rPr>
          <w:rFonts w:hint="cs"/>
          <w:rtl/>
        </w:rPr>
        <w:t>28/05/2015</w:t>
      </w:r>
      <w:r>
        <w:rPr>
          <w:rFonts w:hint="cs"/>
          <w:b/>
          <w:bCs/>
          <w:rtl/>
        </w:rPr>
        <w:t xml:space="preserve"> במעמד הנוכחים.</w:t>
      </w:r>
    </w:p>
    <w:p w14:paraId="0C6571A3" w14:textId="77777777" w:rsidR="007F6101" w:rsidRDefault="007F6101">
      <w:pPr>
        <w:jc w:val="center"/>
        <w:rPr>
          <w:rtl/>
        </w:rPr>
      </w:pPr>
    </w:p>
    <w:p w14:paraId="2AC53855" w14:textId="77777777" w:rsidR="007F6101" w:rsidRDefault="007F6101">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F6101" w14:paraId="00F0E4EE" w14:textId="77777777">
        <w:trPr>
          <w:trHeight w:val="316"/>
          <w:jc w:val="right"/>
        </w:trPr>
        <w:tc>
          <w:tcPr>
            <w:tcW w:w="3936" w:type="dxa"/>
            <w:shd w:val="clear" w:color="auto" w:fill="auto"/>
          </w:tcPr>
          <w:p w14:paraId="6B0EDE9B" w14:textId="77777777" w:rsidR="007F6101" w:rsidRDefault="007F6101">
            <w:pPr>
              <w:jc w:val="center"/>
              <w:rPr>
                <w:rFonts w:ascii="Times New Roman" w:eastAsia="Times New Roman" w:hAnsi="Times New Roman" w:cs="Times New Roman"/>
              </w:rPr>
            </w:pPr>
          </w:p>
          <w:p w14:paraId="347ED652" w14:textId="77777777" w:rsidR="007F6101" w:rsidRDefault="007F6101">
            <w:pPr>
              <w:jc w:val="center"/>
              <w:rPr>
                <w:rFonts w:ascii="Times New Roman" w:eastAsia="Times New Roman" w:hAnsi="Times New Roman" w:cs="Times New Roman"/>
                <w:rtl/>
              </w:rPr>
            </w:pPr>
          </w:p>
        </w:tc>
      </w:tr>
      <w:tr w:rsidR="007F6101" w14:paraId="59C2C479" w14:textId="77777777">
        <w:trPr>
          <w:trHeight w:val="361"/>
          <w:jc w:val="right"/>
        </w:trPr>
        <w:tc>
          <w:tcPr>
            <w:tcW w:w="3936" w:type="dxa"/>
            <w:shd w:val="clear" w:color="auto" w:fill="auto"/>
          </w:tcPr>
          <w:p w14:paraId="348B2979" w14:textId="77777777" w:rsidR="007F6101" w:rsidRDefault="00B034A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FF8402C" w14:textId="77777777" w:rsidR="007F6101" w:rsidRDefault="007F6101">
      <w:pPr>
        <w:jc w:val="right"/>
        <w:rPr>
          <w:rtl/>
        </w:rPr>
      </w:pPr>
    </w:p>
    <w:p w14:paraId="11C28A7D" w14:textId="77777777" w:rsidR="007F6101" w:rsidRDefault="007F6101">
      <w:pPr>
        <w:rPr>
          <w:rtl/>
        </w:rPr>
      </w:pPr>
    </w:p>
    <w:p w14:paraId="6F47A138" w14:textId="77777777" w:rsidR="007F6101" w:rsidRDefault="00B034A4">
      <w:pPr>
        <w:rPr>
          <w:sz w:val="6"/>
          <w:szCs w:val="6"/>
          <w:rtl/>
        </w:rPr>
      </w:pPr>
      <w:r>
        <w:rPr>
          <w:sz w:val="6"/>
          <w:szCs w:val="6"/>
          <w:rtl/>
        </w:rPr>
        <w:t>&lt;#6#&gt;</w:t>
      </w:r>
    </w:p>
    <w:p w14:paraId="2A00C9F2" w14:textId="77777777" w:rsidR="007F6101" w:rsidRDefault="00B034A4">
      <w:pPr>
        <w:jc w:val="center"/>
        <w:rPr>
          <w:rFonts w:ascii="Arial" w:hAnsi="Arial"/>
          <w:b/>
          <w:bCs/>
          <w:sz w:val="28"/>
          <w:szCs w:val="28"/>
          <w:u w:val="single"/>
          <w:rtl/>
        </w:rPr>
      </w:pPr>
      <w:r>
        <w:rPr>
          <w:rFonts w:ascii="Arial" w:hAnsi="Arial"/>
          <w:b/>
          <w:bCs/>
          <w:sz w:val="28"/>
          <w:szCs w:val="28"/>
          <w:u w:val="single"/>
          <w:rtl/>
        </w:rPr>
        <w:t>החלטה</w:t>
      </w:r>
    </w:p>
    <w:p w14:paraId="7B501244" w14:textId="77777777" w:rsidR="007F6101" w:rsidRDefault="007F6101">
      <w:pPr>
        <w:rPr>
          <w:rtl/>
        </w:rPr>
      </w:pPr>
    </w:p>
    <w:p w14:paraId="49D9B43D" w14:textId="77777777" w:rsidR="007F6101" w:rsidRDefault="007F6101">
      <w:pPr>
        <w:jc w:val="center"/>
        <w:rPr>
          <w:szCs w:val="24"/>
          <w:rtl/>
        </w:rPr>
      </w:pPr>
    </w:p>
    <w:p w14:paraId="3FE4539D" w14:textId="77777777" w:rsidR="007F6101" w:rsidRDefault="00B034A4">
      <w:pPr>
        <w:rPr>
          <w:rtl/>
        </w:rPr>
      </w:pPr>
      <w:r>
        <w:rPr>
          <w:rFonts w:hint="cs"/>
          <w:rtl/>
        </w:rPr>
        <w:t>הואיל ולעת עתה דגימות שתן שמסר נקיות, אף שסביר להניח שללא טיפול עמוק יתקשה להתמיד בניקיון, לפנים משורת הדין הפסילה תחל מיום 27.7.15 . עליו להפקיד רישיונו לא יאוחר משעה  12:00 במזכירות לצורך חישוב התקופה. לא יעשה כן, כאמור יהיה פסול, מבלי שתוקצב התקופה</w:t>
      </w:r>
      <w:r>
        <w:rPr>
          <w:rFonts w:hint="cs"/>
        </w:rPr>
        <w:t xml:space="preserve"> </w:t>
      </w:r>
      <w:r>
        <w:rPr>
          <w:rFonts w:hint="cs"/>
          <w:rtl/>
        </w:rPr>
        <w:t>.</w:t>
      </w:r>
    </w:p>
    <w:p w14:paraId="35688481" w14:textId="77777777" w:rsidR="007F6101" w:rsidRDefault="007F6101">
      <w:pPr>
        <w:rPr>
          <w:szCs w:val="24"/>
          <w:rtl/>
        </w:rPr>
      </w:pPr>
    </w:p>
    <w:p w14:paraId="05B013DF" w14:textId="77777777" w:rsidR="007F6101" w:rsidRDefault="00B034A4">
      <w:pPr>
        <w:rPr>
          <w:sz w:val="6"/>
          <w:szCs w:val="6"/>
          <w:rtl/>
        </w:rPr>
      </w:pPr>
      <w:r>
        <w:rPr>
          <w:sz w:val="6"/>
          <w:szCs w:val="6"/>
          <w:rtl/>
        </w:rPr>
        <w:t>&lt;#7#&gt;</w:t>
      </w:r>
    </w:p>
    <w:p w14:paraId="4EF6FEAB" w14:textId="77777777" w:rsidR="007F6101" w:rsidRDefault="007F6101">
      <w:pPr>
        <w:jc w:val="right"/>
        <w:rPr>
          <w:rtl/>
        </w:rPr>
      </w:pPr>
    </w:p>
    <w:p w14:paraId="7494C9D9" w14:textId="77777777" w:rsidR="007F6101" w:rsidRDefault="00B034A4">
      <w:pPr>
        <w:rPr>
          <w:rtl/>
        </w:rPr>
      </w:pPr>
      <w:r>
        <w:rPr>
          <w:rFonts w:hint="cs"/>
          <w:b/>
          <w:bCs/>
          <w:rtl/>
        </w:rPr>
        <w:t xml:space="preserve">ניתנה והודעה היום </w:t>
      </w:r>
      <w:r>
        <w:rPr>
          <w:rFonts w:hint="cs"/>
          <w:rtl/>
        </w:rPr>
        <w:t>י' סיוון תשע"ה</w:t>
      </w:r>
      <w:r>
        <w:rPr>
          <w:rFonts w:hint="cs"/>
          <w:b/>
          <w:bCs/>
          <w:rtl/>
        </w:rPr>
        <w:t xml:space="preserve">, </w:t>
      </w:r>
      <w:r>
        <w:rPr>
          <w:rFonts w:hint="cs"/>
          <w:rtl/>
        </w:rPr>
        <w:t>28/05/2015</w:t>
      </w:r>
      <w:r>
        <w:rPr>
          <w:rFonts w:hint="cs"/>
          <w:b/>
          <w:bCs/>
          <w:rtl/>
        </w:rPr>
        <w:t xml:space="preserve"> במעמד הנוכחים.</w:t>
      </w:r>
    </w:p>
    <w:p w14:paraId="0B1080F9" w14:textId="77777777" w:rsidR="007F6101" w:rsidRDefault="007F610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F6101" w14:paraId="783CE105" w14:textId="77777777">
        <w:trPr>
          <w:trHeight w:val="316"/>
          <w:jc w:val="right"/>
        </w:trPr>
        <w:tc>
          <w:tcPr>
            <w:tcW w:w="3936" w:type="dxa"/>
            <w:shd w:val="clear" w:color="auto" w:fill="auto"/>
          </w:tcPr>
          <w:p w14:paraId="13307CBE" w14:textId="77777777" w:rsidR="007F6101" w:rsidRDefault="007F6101">
            <w:pPr>
              <w:jc w:val="center"/>
              <w:rPr>
                <w:rFonts w:ascii="Times New Roman" w:eastAsia="Times New Roman" w:hAnsi="Times New Roman" w:cs="Times New Roman"/>
              </w:rPr>
            </w:pPr>
          </w:p>
          <w:p w14:paraId="462E45E9" w14:textId="77777777" w:rsidR="007F6101" w:rsidRDefault="007F6101">
            <w:pPr>
              <w:jc w:val="center"/>
              <w:rPr>
                <w:rFonts w:ascii="Times New Roman" w:eastAsia="Times New Roman" w:hAnsi="Times New Roman" w:cs="Times New Roman"/>
                <w:rtl/>
              </w:rPr>
            </w:pPr>
          </w:p>
        </w:tc>
      </w:tr>
      <w:tr w:rsidR="007F6101" w14:paraId="31146A66" w14:textId="77777777">
        <w:trPr>
          <w:trHeight w:val="361"/>
          <w:jc w:val="right"/>
        </w:trPr>
        <w:tc>
          <w:tcPr>
            <w:tcW w:w="3936" w:type="dxa"/>
            <w:shd w:val="clear" w:color="auto" w:fill="auto"/>
          </w:tcPr>
          <w:p w14:paraId="529173CD" w14:textId="77777777" w:rsidR="007F6101" w:rsidRDefault="00B034A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742863F" w14:textId="77777777" w:rsidR="007F6101" w:rsidRDefault="007F6101">
      <w:pPr>
        <w:jc w:val="right"/>
        <w:rPr>
          <w:rtl/>
        </w:rPr>
      </w:pPr>
    </w:p>
    <w:p w14:paraId="4E250BC2" w14:textId="77777777" w:rsidR="007F6101" w:rsidRDefault="007F6101">
      <w:pPr>
        <w:rPr>
          <w:rtl/>
        </w:rPr>
      </w:pPr>
    </w:p>
    <w:p w14:paraId="7E40E877" w14:textId="77777777" w:rsidR="007F6101" w:rsidRDefault="00B034A4">
      <w:pPr>
        <w:rPr>
          <w:sz w:val="6"/>
          <w:szCs w:val="6"/>
        </w:rPr>
      </w:pPr>
      <w:r>
        <w:rPr>
          <w:sz w:val="6"/>
          <w:szCs w:val="6"/>
          <w:rtl/>
        </w:rPr>
        <w:t>#3#&gt;</w:t>
      </w:r>
    </w:p>
    <w:p w14:paraId="1B231904" w14:textId="77777777" w:rsidR="007F6101" w:rsidRDefault="00B034A4">
      <w:pPr>
        <w:jc w:val="center"/>
        <w:rPr>
          <w:rFonts w:ascii="Arial" w:hAnsi="Arial"/>
          <w:b/>
          <w:bCs/>
          <w:sz w:val="28"/>
          <w:szCs w:val="28"/>
          <w:u w:val="single"/>
          <w:rtl/>
        </w:rPr>
      </w:pPr>
      <w:r>
        <w:rPr>
          <w:rFonts w:ascii="Arial" w:hAnsi="Arial"/>
          <w:b/>
          <w:bCs/>
          <w:sz w:val="28"/>
          <w:szCs w:val="28"/>
          <w:u w:val="single"/>
          <w:rtl/>
        </w:rPr>
        <w:t>החלטה</w:t>
      </w:r>
    </w:p>
    <w:p w14:paraId="2C8364A1" w14:textId="77777777" w:rsidR="007F6101" w:rsidRDefault="007F6101">
      <w:pPr>
        <w:rPr>
          <w:rtl/>
        </w:rPr>
      </w:pPr>
    </w:p>
    <w:p w14:paraId="47B8347A" w14:textId="77777777" w:rsidR="007F6101" w:rsidRDefault="00B034A4">
      <w:pPr>
        <w:rPr>
          <w:szCs w:val="24"/>
          <w:rtl/>
        </w:rPr>
      </w:pPr>
      <w:r>
        <w:rPr>
          <w:rFonts w:hint="cs"/>
          <w:rtl/>
        </w:rPr>
        <w:t>הסמים יושמדו.</w:t>
      </w:r>
    </w:p>
    <w:p w14:paraId="00C20ACF" w14:textId="77777777" w:rsidR="007F6101" w:rsidRDefault="00B034A4">
      <w:pPr>
        <w:rPr>
          <w:sz w:val="6"/>
          <w:szCs w:val="6"/>
        </w:rPr>
      </w:pPr>
      <w:r>
        <w:rPr>
          <w:sz w:val="6"/>
          <w:szCs w:val="6"/>
          <w:rtl/>
        </w:rPr>
        <w:t>&lt;#4#&gt;</w:t>
      </w:r>
    </w:p>
    <w:p w14:paraId="2F255C8D" w14:textId="77777777" w:rsidR="007F6101" w:rsidRDefault="007F6101">
      <w:pPr>
        <w:jc w:val="right"/>
        <w:rPr>
          <w:rtl/>
        </w:rPr>
      </w:pPr>
    </w:p>
    <w:p w14:paraId="475C4D4A" w14:textId="77777777" w:rsidR="007F6101" w:rsidRDefault="00B034A4">
      <w:pPr>
        <w:jc w:val="center"/>
        <w:rPr>
          <w:rtl/>
        </w:rPr>
      </w:pPr>
      <w:r w:rsidRPr="00B034A4">
        <w:rPr>
          <w:b/>
          <w:bCs/>
          <w:color w:val="FFFFFF"/>
          <w:sz w:val="2"/>
          <w:szCs w:val="2"/>
          <w:rtl/>
        </w:rPr>
        <w:t>5129371</w:t>
      </w:r>
      <w:r>
        <w:rPr>
          <w:b/>
          <w:bCs/>
          <w:rtl/>
        </w:rPr>
        <w:t xml:space="preserve">ניתנה והודעה היום י' סיוון תשע"ה, 28/05/2015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F6101" w14:paraId="4E5B0771" w14:textId="77777777">
        <w:trPr>
          <w:trHeight w:val="316"/>
          <w:jc w:val="right"/>
        </w:trPr>
        <w:tc>
          <w:tcPr>
            <w:tcW w:w="3936" w:type="dxa"/>
            <w:shd w:val="clear" w:color="auto" w:fill="auto"/>
          </w:tcPr>
          <w:p w14:paraId="3B0DDA79" w14:textId="77777777" w:rsidR="007F6101" w:rsidRPr="00B034A4" w:rsidRDefault="00B034A4">
            <w:pPr>
              <w:jc w:val="center"/>
              <w:rPr>
                <w:rFonts w:ascii="Times New Roman" w:eastAsia="Times New Roman" w:hAnsi="Times New Roman" w:cs="Times New Roman"/>
                <w:color w:val="FFFFFF"/>
                <w:sz w:val="2"/>
                <w:szCs w:val="2"/>
              </w:rPr>
            </w:pPr>
            <w:r w:rsidRPr="00B034A4">
              <w:rPr>
                <w:rFonts w:ascii="Times New Roman" w:eastAsia="Times New Roman" w:hAnsi="Times New Roman" w:cs="Times New Roman"/>
                <w:color w:val="FFFFFF"/>
                <w:sz w:val="2"/>
                <w:szCs w:val="2"/>
                <w:rtl/>
              </w:rPr>
              <w:t>54678313</w:t>
            </w:r>
          </w:p>
          <w:p w14:paraId="1D833A29" w14:textId="77777777" w:rsidR="007F6101" w:rsidRDefault="007F6101">
            <w:pPr>
              <w:jc w:val="center"/>
              <w:rPr>
                <w:rFonts w:ascii="Times New Roman" w:eastAsia="Times New Roman" w:hAnsi="Times New Roman" w:cs="Times New Roman"/>
                <w:rtl/>
              </w:rPr>
            </w:pPr>
          </w:p>
        </w:tc>
      </w:tr>
      <w:tr w:rsidR="007F6101" w14:paraId="54D8320A" w14:textId="77777777">
        <w:trPr>
          <w:trHeight w:val="361"/>
          <w:jc w:val="right"/>
        </w:trPr>
        <w:tc>
          <w:tcPr>
            <w:tcW w:w="3936" w:type="dxa"/>
            <w:shd w:val="clear" w:color="auto" w:fill="auto"/>
          </w:tcPr>
          <w:p w14:paraId="15395E02" w14:textId="77777777" w:rsidR="007F6101" w:rsidRDefault="00B034A4">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5049622" w14:textId="77777777" w:rsidR="007F6101" w:rsidRDefault="007F6101">
      <w:pPr>
        <w:jc w:val="right"/>
        <w:rPr>
          <w:rtl/>
        </w:rPr>
      </w:pPr>
    </w:p>
    <w:p w14:paraId="1C004A6E" w14:textId="77777777" w:rsidR="007F6101" w:rsidRDefault="00B034A4">
      <w:pPr>
        <w:rPr>
          <w:szCs w:val="24"/>
          <w:rtl/>
        </w:rPr>
      </w:pPr>
      <w:r>
        <w:rPr>
          <w:szCs w:val="24"/>
          <w:rtl/>
        </w:rPr>
        <w:t xml:space="preserve"> </w:t>
      </w:r>
    </w:p>
    <w:p w14:paraId="52341AA7" w14:textId="77777777" w:rsidR="00B034A4" w:rsidRPr="00B034A4" w:rsidRDefault="00B034A4" w:rsidP="00B034A4">
      <w:pPr>
        <w:keepNext/>
        <w:jc w:val="left"/>
        <w:rPr>
          <w:color w:val="000000"/>
          <w:sz w:val="22"/>
          <w:szCs w:val="22"/>
          <w:rtl/>
        </w:rPr>
      </w:pPr>
    </w:p>
    <w:p w14:paraId="33EF5774" w14:textId="77777777" w:rsidR="00B034A4" w:rsidRPr="00B034A4" w:rsidRDefault="00B034A4" w:rsidP="00B034A4">
      <w:pPr>
        <w:keepNext/>
        <w:jc w:val="left"/>
        <w:rPr>
          <w:color w:val="000000"/>
          <w:sz w:val="22"/>
          <w:szCs w:val="22"/>
          <w:rtl/>
        </w:rPr>
      </w:pPr>
      <w:r w:rsidRPr="00B034A4">
        <w:rPr>
          <w:color w:val="000000"/>
          <w:sz w:val="22"/>
          <w:szCs w:val="22"/>
          <w:rtl/>
        </w:rPr>
        <w:t>רובין לביא 54678313</w:t>
      </w:r>
    </w:p>
    <w:p w14:paraId="7FFACE5C" w14:textId="77777777" w:rsidR="00B034A4" w:rsidRDefault="00B034A4" w:rsidP="00B034A4">
      <w:pPr>
        <w:jc w:val="left"/>
      </w:pPr>
      <w:r w:rsidRPr="00B034A4">
        <w:rPr>
          <w:color w:val="000000"/>
          <w:rtl/>
        </w:rPr>
        <w:t>נוסח מסמך זה כפוף לשינויי ניסוח ועריכה</w:t>
      </w:r>
    </w:p>
    <w:p w14:paraId="53CB9BBA" w14:textId="77777777" w:rsidR="00B034A4" w:rsidRDefault="00B034A4" w:rsidP="00B034A4">
      <w:pPr>
        <w:jc w:val="left"/>
        <w:rPr>
          <w:rtl/>
        </w:rPr>
      </w:pPr>
    </w:p>
    <w:p w14:paraId="45221599" w14:textId="77777777" w:rsidR="00B034A4" w:rsidRDefault="00B034A4" w:rsidP="00B034A4">
      <w:pPr>
        <w:jc w:val="center"/>
        <w:rPr>
          <w:color w:val="0000FF"/>
          <w:szCs w:val="24"/>
          <w:u w:val="single"/>
        </w:rPr>
      </w:pPr>
      <w:hyperlink r:id="rId18" w:history="1">
        <w:r>
          <w:rPr>
            <w:color w:val="0000FF"/>
            <w:szCs w:val="24"/>
            <w:u w:val="single"/>
            <w:rtl/>
          </w:rPr>
          <w:t>בעניין עריכה ושינויים במסמכי פסיקה, חקיקה ועוד באתר נבו – הקש כאן</w:t>
        </w:r>
      </w:hyperlink>
      <w:r w:rsidR="00BE1B60">
        <w:rPr>
          <w:rFonts w:hint="cs"/>
          <w:color w:val="0000FF"/>
          <w:szCs w:val="24"/>
          <w:u w:val="single"/>
          <w:rtl/>
        </w:rPr>
        <w:t xml:space="preserve"> </w:t>
      </w:r>
    </w:p>
    <w:p w14:paraId="47A35F0E" w14:textId="77777777" w:rsidR="007F6101" w:rsidRPr="00B034A4" w:rsidRDefault="007F6101" w:rsidP="00B034A4">
      <w:pPr>
        <w:jc w:val="center"/>
        <w:rPr>
          <w:color w:val="0000FF"/>
          <w:szCs w:val="24"/>
          <w:u w:val="single"/>
        </w:rPr>
      </w:pPr>
    </w:p>
    <w:sectPr w:rsidR="007F6101" w:rsidRPr="00B034A4" w:rsidSect="00B034A4">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A277D" w14:textId="77777777" w:rsidR="00CB6A7E" w:rsidRDefault="00CB6A7E">
      <w:r>
        <w:separator/>
      </w:r>
    </w:p>
  </w:endnote>
  <w:endnote w:type="continuationSeparator" w:id="0">
    <w:p w14:paraId="5B8CD3EA" w14:textId="77777777" w:rsidR="00CB6A7E" w:rsidRDefault="00CB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E8E7A" w14:textId="77777777" w:rsidR="004E4EF3" w:rsidRDefault="004E4EF3" w:rsidP="00B034A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20</w:t>
    </w:r>
    <w:r>
      <w:rPr>
        <w:rFonts w:ascii="FrankRuehl" w:hAnsi="FrankRuehl" w:cs="FrankRuehl"/>
        <w:szCs w:val="24"/>
        <w:rtl/>
      </w:rPr>
      <w:fldChar w:fldCharType="end"/>
    </w:r>
  </w:p>
  <w:p w14:paraId="4F4C9C23" w14:textId="77777777" w:rsidR="004E4EF3" w:rsidRPr="00B034A4" w:rsidRDefault="004E4EF3" w:rsidP="00B034A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034A4">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FB6F5" w14:textId="77777777" w:rsidR="004E4EF3" w:rsidRDefault="004E4EF3" w:rsidP="00B034A4">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3C3A27">
      <w:rPr>
        <w:rFonts w:ascii="FrankRuehl" w:hAnsi="FrankRuehl" w:cs="FrankRuehl"/>
        <w:noProof/>
        <w:szCs w:val="24"/>
        <w:rtl/>
      </w:rPr>
      <w:t>1</w:t>
    </w:r>
    <w:r>
      <w:rPr>
        <w:rFonts w:ascii="FrankRuehl" w:hAnsi="FrankRuehl" w:cs="FrankRuehl"/>
        <w:szCs w:val="24"/>
        <w:rtl/>
      </w:rPr>
      <w:fldChar w:fldCharType="end"/>
    </w:r>
  </w:p>
  <w:p w14:paraId="36DAB091" w14:textId="77777777" w:rsidR="004E4EF3" w:rsidRPr="00B034A4" w:rsidRDefault="004E4EF3" w:rsidP="00B034A4">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B034A4">
      <w:rPr>
        <w:rFonts w:ascii="FrankRuehl" w:hAnsi="FrankRuehl" w:cs="FrankRuehl"/>
        <w:color w:val="000000"/>
        <w:szCs w:val="24"/>
      </w:rPr>
      <w:pict w14:anchorId="48EE9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B9156" w14:textId="77777777" w:rsidR="00CB6A7E" w:rsidRDefault="00CB6A7E">
      <w:r>
        <w:separator/>
      </w:r>
    </w:p>
  </w:footnote>
  <w:footnote w:type="continuationSeparator" w:id="0">
    <w:p w14:paraId="02B6D9C0" w14:textId="77777777" w:rsidR="00CB6A7E" w:rsidRDefault="00CB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729E" w14:textId="77777777" w:rsidR="004E4EF3" w:rsidRPr="00B034A4" w:rsidRDefault="004E4EF3" w:rsidP="00B034A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35940-05-14</w:t>
    </w:r>
    <w:r>
      <w:rPr>
        <w:color w:val="000000"/>
        <w:sz w:val="22"/>
        <w:szCs w:val="22"/>
        <w:rtl/>
      </w:rPr>
      <w:tab/>
      <w:t xml:space="preserve"> מדינת ישראל נ' שחר חזיזה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B5A4" w14:textId="77777777" w:rsidR="004E4EF3" w:rsidRPr="00B034A4" w:rsidRDefault="004E4EF3" w:rsidP="00B034A4">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35940-05-14</w:t>
    </w:r>
    <w:r>
      <w:rPr>
        <w:color w:val="000000"/>
        <w:sz w:val="22"/>
        <w:szCs w:val="22"/>
        <w:rtl/>
      </w:rPr>
      <w:tab/>
      <w:t xml:space="preserve"> מדינת ישראל נ' שחר חזיזה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6101"/>
    <w:rsid w:val="003C3A27"/>
    <w:rsid w:val="004E4EF3"/>
    <w:rsid w:val="0058279A"/>
    <w:rsid w:val="007F6101"/>
    <w:rsid w:val="0086523F"/>
    <w:rsid w:val="00A10FE8"/>
    <w:rsid w:val="00B034A4"/>
    <w:rsid w:val="00B60425"/>
    <w:rsid w:val="00BB17CD"/>
    <w:rsid w:val="00BE1B60"/>
    <w:rsid w:val="00CB6A7E"/>
    <w:rsid w:val="00D23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3955B1"/>
  <w15:chartTrackingRefBased/>
  <w15:docId w15:val="{0E2A6C84-1558-4286-8949-992E6DD8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6101"/>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F6101"/>
  </w:style>
  <w:style w:type="paragraph" w:styleId="a4">
    <w:name w:val="header"/>
    <w:basedOn w:val="a"/>
    <w:rsid w:val="007F6101"/>
    <w:pPr>
      <w:tabs>
        <w:tab w:val="center" w:pos="4153"/>
        <w:tab w:val="right" w:pos="8306"/>
      </w:tabs>
    </w:pPr>
  </w:style>
  <w:style w:type="paragraph" w:styleId="a5">
    <w:name w:val="footer"/>
    <w:basedOn w:val="a"/>
    <w:rsid w:val="007F6101"/>
    <w:pPr>
      <w:tabs>
        <w:tab w:val="center" w:pos="4153"/>
        <w:tab w:val="right" w:pos="8306"/>
      </w:tabs>
    </w:pPr>
  </w:style>
  <w:style w:type="character" w:styleId="a6">
    <w:name w:val="page number"/>
    <w:basedOn w:val="a0"/>
    <w:rsid w:val="007F6101"/>
  </w:style>
  <w:style w:type="paragraph" w:customStyle="1" w:styleId="12">
    <w:name w:val="רגיל + ‏12 נק'"/>
    <w:aliases w:val="מיושר לשני הצדדים,מרווח בין שורות:  שורה וחצי"/>
    <w:basedOn w:val="a"/>
    <w:rsid w:val="007F6101"/>
    <w:pPr>
      <w:spacing w:line="240" w:lineRule="auto"/>
      <w:jc w:val="left"/>
    </w:pPr>
    <w:rPr>
      <w:rFonts w:ascii="Times New Roman" w:eastAsia="Times New Roman" w:hAnsi="Times New Roman"/>
      <w:b/>
      <w:bCs/>
      <w:szCs w:val="24"/>
      <w:u w:val="single"/>
    </w:rPr>
  </w:style>
  <w:style w:type="character" w:styleId="Hyperlink">
    <w:name w:val="Hyperlink"/>
    <w:rsid w:val="00B03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0459111" TargetMode="External"/><Relationship Id="rId13" Type="http://schemas.openxmlformats.org/officeDocument/2006/relationships/hyperlink" Target="http://www.nevo.co.il/case/11242383"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case/%208291661" TargetMode="External"/><Relationship Id="rId12" Type="http://schemas.openxmlformats.org/officeDocument/2006/relationships/hyperlink" Target="http://www.nevo.co.il/case/5079155"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773189"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case/4044896"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419951" TargetMode="External"/><Relationship Id="rId14" Type="http://schemas.openxmlformats.org/officeDocument/2006/relationships/hyperlink" Target="http://www.nevo.co.il/case/1695272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1835</Words>
  <Characters>9179</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10993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3670128</vt:i4>
      </vt:variant>
      <vt:variant>
        <vt:i4>24</vt:i4>
      </vt:variant>
      <vt:variant>
        <vt:i4>0</vt:i4>
      </vt:variant>
      <vt:variant>
        <vt:i4>5</vt:i4>
      </vt:variant>
      <vt:variant>
        <vt:lpwstr>http://www.nevo.co.il/case/16952729</vt:lpwstr>
      </vt:variant>
      <vt:variant>
        <vt:lpwstr/>
      </vt:variant>
      <vt:variant>
        <vt:i4>3735666</vt:i4>
      </vt:variant>
      <vt:variant>
        <vt:i4>21</vt:i4>
      </vt:variant>
      <vt:variant>
        <vt:i4>0</vt:i4>
      </vt:variant>
      <vt:variant>
        <vt:i4>5</vt:i4>
      </vt:variant>
      <vt:variant>
        <vt:lpwstr>http://www.nevo.co.il/case/11242383</vt:lpwstr>
      </vt:variant>
      <vt:variant>
        <vt:lpwstr/>
      </vt:variant>
      <vt:variant>
        <vt:i4>3539064</vt:i4>
      </vt:variant>
      <vt:variant>
        <vt:i4>18</vt:i4>
      </vt:variant>
      <vt:variant>
        <vt:i4>0</vt:i4>
      </vt:variant>
      <vt:variant>
        <vt:i4>5</vt:i4>
      </vt:variant>
      <vt:variant>
        <vt:lpwstr>http://www.nevo.co.il/case/5079155</vt:lpwstr>
      </vt:variant>
      <vt:variant>
        <vt:lpwstr/>
      </vt:variant>
      <vt:variant>
        <vt:i4>3866744</vt:i4>
      </vt:variant>
      <vt:variant>
        <vt:i4>15</vt:i4>
      </vt:variant>
      <vt:variant>
        <vt:i4>0</vt:i4>
      </vt:variant>
      <vt:variant>
        <vt:i4>5</vt:i4>
      </vt:variant>
      <vt:variant>
        <vt:lpwstr>http://www.nevo.co.il/case/4773189</vt:lpwstr>
      </vt:variant>
      <vt:variant>
        <vt:lpwstr/>
      </vt:variant>
      <vt:variant>
        <vt:i4>4063353</vt:i4>
      </vt:variant>
      <vt:variant>
        <vt:i4>12</vt:i4>
      </vt:variant>
      <vt:variant>
        <vt:i4>0</vt:i4>
      </vt:variant>
      <vt:variant>
        <vt:i4>5</vt:i4>
      </vt:variant>
      <vt:variant>
        <vt:lpwstr>http://www.nevo.co.il/case/4044896</vt:lpwstr>
      </vt:variant>
      <vt:variant>
        <vt:lpwstr/>
      </vt:variant>
      <vt:variant>
        <vt:i4>524364</vt:i4>
      </vt:variant>
      <vt:variant>
        <vt:i4>9</vt:i4>
      </vt:variant>
      <vt:variant>
        <vt:i4>0</vt:i4>
      </vt:variant>
      <vt:variant>
        <vt:i4>5</vt:i4>
      </vt:variant>
      <vt:variant>
        <vt:lpwstr>http://www.nevo.co.il/case/419951</vt:lpwstr>
      </vt:variant>
      <vt:variant>
        <vt:lpwstr/>
      </vt:variant>
      <vt:variant>
        <vt:i4>3997808</vt:i4>
      </vt:variant>
      <vt:variant>
        <vt:i4>6</vt:i4>
      </vt:variant>
      <vt:variant>
        <vt:i4>0</vt:i4>
      </vt:variant>
      <vt:variant>
        <vt:i4>5</vt:i4>
      </vt:variant>
      <vt:variant>
        <vt:lpwstr>http://www.nevo.co.il/case/10459111</vt:lpwstr>
      </vt:variant>
      <vt:variant>
        <vt:lpwstr/>
      </vt:variant>
      <vt:variant>
        <vt:i4>2424947</vt:i4>
      </vt:variant>
      <vt:variant>
        <vt:i4>3</vt:i4>
      </vt:variant>
      <vt:variant>
        <vt:i4>0</vt:i4>
      </vt:variant>
      <vt:variant>
        <vt:i4>5</vt:i4>
      </vt:variant>
      <vt:variant>
        <vt:lpwstr>http://www.nevo.co.il/case/ 8291661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35940</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שחר חזיזה משה</vt:lpwstr>
  </property>
  <property fmtid="{D5CDD505-2E9C-101B-9397-08002B2CF9AE}" pid="10" name="LAWYER">
    <vt:lpwstr>לנצט</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20150528</vt:lpwstr>
  </property>
  <property fmtid="{D5CDD505-2E9C-101B-9397-08002B2CF9AE}" pid="14" name="TYPE_N_DATE">
    <vt:lpwstr>38020150528</vt:lpwstr>
  </property>
  <property fmtid="{D5CDD505-2E9C-101B-9397-08002B2CF9AE}" pid="15" name="WORDNUMPAGES">
    <vt:lpwstr>7</vt:lpwstr>
  </property>
  <property fmtid="{D5CDD505-2E9C-101B-9397-08002B2CF9AE}" pid="16" name="TYPE_ABS_DATE">
    <vt:lpwstr>380020150528</vt:lpwstr>
  </property>
  <property fmtid="{D5CDD505-2E9C-101B-9397-08002B2CF9AE}" pid="17" name="ISABSTRACT">
    <vt:lpwstr>Y</vt:lpwstr>
  </property>
  <property fmtid="{D5CDD505-2E9C-101B-9397-08002B2CF9AE}" pid="18" name="CASESLISTTMP1">
    <vt:lpwstr>8291661;10459111;419951;4044896;4773189;5079155;11242383;16952729</vt:lpwstr>
  </property>
  <property fmtid="{D5CDD505-2E9C-101B-9397-08002B2CF9AE}" pid="19" name="LAWLISTTMP1">
    <vt:lpwstr>4216:3</vt:lpwstr>
  </property>
</Properties>
</file>