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46CCE" w:rsidRPr="006E3201" w14:paraId="79899536" w14:textId="77777777">
        <w:trPr>
          <w:trHeight w:hRule="exact" w:val="418"/>
          <w:jc w:val="center"/>
        </w:trPr>
        <w:tc>
          <w:tcPr>
            <w:tcW w:w="8720" w:type="dxa"/>
            <w:gridSpan w:val="3"/>
          </w:tcPr>
          <w:p w14:paraId="701BE769" w14:textId="77777777" w:rsidR="00846CCE" w:rsidRPr="006E3201" w:rsidRDefault="006E3201">
            <w:pPr>
              <w:pStyle w:val="a4"/>
              <w:tabs>
                <w:tab w:val="clear" w:pos="8306"/>
              </w:tabs>
              <w:jc w:val="center"/>
              <w:rPr>
                <w:rFonts w:ascii="Tahoma" w:hAnsi="Tahoma" w:cs="Tahoma"/>
                <w:b/>
                <w:bCs/>
                <w:color w:val="000080"/>
                <w:sz w:val="20"/>
                <w:szCs w:val="20"/>
                <w:rtl/>
              </w:rPr>
            </w:pPr>
            <w:bookmarkStart w:id="0" w:name="LastJudge"/>
            <w:r w:rsidRPr="006E3201">
              <w:rPr>
                <w:rFonts w:ascii="Tahoma" w:hAnsi="Tahoma" w:cs="Tahoma"/>
                <w:b/>
                <w:bCs/>
                <w:color w:val="000080"/>
                <w:sz w:val="20"/>
                <w:szCs w:val="20"/>
                <w:rtl/>
              </w:rPr>
              <w:t>בית משפט השלום בבאר שבע</w:t>
            </w:r>
          </w:p>
        </w:tc>
      </w:tr>
      <w:tr w:rsidR="00846CCE" w:rsidRPr="006E3201" w14:paraId="6971269C" w14:textId="77777777">
        <w:trPr>
          <w:trHeight w:val="337"/>
          <w:jc w:val="center"/>
        </w:trPr>
        <w:tc>
          <w:tcPr>
            <w:tcW w:w="6396" w:type="dxa"/>
          </w:tcPr>
          <w:p w14:paraId="2E2E3261" w14:textId="77777777" w:rsidR="00846CCE" w:rsidRPr="006E3201" w:rsidRDefault="006E3201">
            <w:pPr>
              <w:rPr>
                <w:b/>
                <w:bCs/>
                <w:sz w:val="26"/>
                <w:szCs w:val="26"/>
                <w:rtl/>
              </w:rPr>
            </w:pPr>
            <w:r w:rsidRPr="006E3201">
              <w:rPr>
                <w:b/>
                <w:bCs/>
                <w:sz w:val="26"/>
                <w:szCs w:val="26"/>
                <w:rtl/>
              </w:rPr>
              <w:t>ת"פ</w:t>
            </w:r>
            <w:r w:rsidRPr="006E3201">
              <w:rPr>
                <w:rFonts w:hint="cs"/>
                <w:b/>
                <w:bCs/>
                <w:sz w:val="26"/>
                <w:szCs w:val="26"/>
                <w:rtl/>
              </w:rPr>
              <w:t xml:space="preserve"> </w:t>
            </w:r>
            <w:r w:rsidRPr="006E3201">
              <w:rPr>
                <w:b/>
                <w:bCs/>
                <w:sz w:val="26"/>
                <w:szCs w:val="26"/>
                <w:rtl/>
              </w:rPr>
              <w:t>42458-05-14</w:t>
            </w:r>
            <w:r w:rsidRPr="006E3201">
              <w:rPr>
                <w:rFonts w:hint="cs"/>
                <w:b/>
                <w:bCs/>
                <w:sz w:val="26"/>
                <w:szCs w:val="26"/>
                <w:rtl/>
              </w:rPr>
              <w:t xml:space="preserve"> </w:t>
            </w:r>
            <w:r w:rsidRPr="006E3201">
              <w:rPr>
                <w:b/>
                <w:bCs/>
                <w:sz w:val="26"/>
                <w:szCs w:val="26"/>
                <w:rtl/>
              </w:rPr>
              <w:t>מדינת ישראל נ' אלחסבאווי</w:t>
            </w:r>
          </w:p>
          <w:p w14:paraId="3D4F6D29" w14:textId="77777777" w:rsidR="00846CCE" w:rsidRPr="006E3201" w:rsidRDefault="00846CCE">
            <w:pPr>
              <w:rPr>
                <w:b/>
                <w:bCs/>
                <w:sz w:val="26"/>
                <w:szCs w:val="26"/>
                <w:rtl/>
              </w:rPr>
            </w:pPr>
          </w:p>
        </w:tc>
        <w:tc>
          <w:tcPr>
            <w:tcW w:w="236" w:type="dxa"/>
          </w:tcPr>
          <w:p w14:paraId="2B1B8108" w14:textId="77777777" w:rsidR="00846CCE" w:rsidRPr="006E3201" w:rsidRDefault="00846CCE">
            <w:pPr>
              <w:pStyle w:val="a4"/>
              <w:jc w:val="right"/>
              <w:rPr>
                <w:b/>
                <w:bCs/>
                <w:sz w:val="26"/>
                <w:szCs w:val="26"/>
                <w:rtl/>
              </w:rPr>
            </w:pPr>
          </w:p>
        </w:tc>
        <w:tc>
          <w:tcPr>
            <w:tcW w:w="2088" w:type="dxa"/>
          </w:tcPr>
          <w:p w14:paraId="5931E027" w14:textId="77777777" w:rsidR="00846CCE" w:rsidRPr="006E3201" w:rsidRDefault="006E3201">
            <w:pPr>
              <w:pStyle w:val="a4"/>
              <w:tabs>
                <w:tab w:val="clear" w:pos="4153"/>
              </w:tabs>
              <w:jc w:val="right"/>
              <w:rPr>
                <w:b/>
                <w:bCs/>
                <w:sz w:val="26"/>
                <w:szCs w:val="26"/>
                <w:rtl/>
              </w:rPr>
            </w:pPr>
            <w:r w:rsidRPr="006E3201">
              <w:rPr>
                <w:b/>
                <w:bCs/>
                <w:sz w:val="26"/>
                <w:szCs w:val="26"/>
                <w:rtl/>
              </w:rPr>
              <w:t>17 ינואר 2016</w:t>
            </w:r>
          </w:p>
        </w:tc>
      </w:tr>
    </w:tbl>
    <w:p w14:paraId="34E324D6" w14:textId="77777777" w:rsidR="00846CCE" w:rsidRPr="006E3201" w:rsidRDefault="00846CCE">
      <w:pPr>
        <w:pStyle w:val="a4"/>
        <w:jc w:val="center"/>
        <w:rPr>
          <w:rFonts w:ascii="Tahoma" w:hAnsi="Tahoma" w:cs="Tahoma"/>
          <w:b/>
          <w:bCs/>
          <w:color w:val="000080"/>
          <w:sz w:val="20"/>
          <w:szCs w:val="20"/>
          <w:rtl/>
        </w:rPr>
      </w:pPr>
    </w:p>
    <w:p w14:paraId="0908EA61" w14:textId="77777777" w:rsidR="00846CCE" w:rsidRPr="006E3201" w:rsidRDefault="00846CCE">
      <w:pPr>
        <w:rPr>
          <w:rFonts w:ascii="Arial" w:hAnsi="Arial"/>
          <w:rtl/>
        </w:rPr>
      </w:pPr>
    </w:p>
    <w:tbl>
      <w:tblPr>
        <w:bidiVisual/>
        <w:tblW w:w="0" w:type="auto"/>
        <w:jc w:val="center"/>
        <w:tblLook w:val="0000" w:firstRow="0" w:lastRow="0" w:firstColumn="0" w:lastColumn="0" w:noHBand="0" w:noVBand="0"/>
      </w:tblPr>
      <w:tblGrid>
        <w:gridCol w:w="1592"/>
        <w:gridCol w:w="7128"/>
      </w:tblGrid>
      <w:tr w:rsidR="00846CCE" w:rsidRPr="006E3201" w14:paraId="0978F822" w14:textId="77777777">
        <w:trPr>
          <w:trHeight w:val="337"/>
          <w:jc w:val="center"/>
        </w:trPr>
        <w:tc>
          <w:tcPr>
            <w:tcW w:w="1592" w:type="dxa"/>
          </w:tcPr>
          <w:p w14:paraId="36144D67" w14:textId="77777777" w:rsidR="00846CCE" w:rsidRPr="006E3201" w:rsidRDefault="006E3201">
            <w:pPr>
              <w:pStyle w:val="a4"/>
              <w:bidi w:val="0"/>
              <w:spacing w:line="360" w:lineRule="auto"/>
              <w:jc w:val="both"/>
              <w:rPr>
                <w:rFonts w:ascii="Times New Roman" w:hAnsi="Times New Roman"/>
              </w:rPr>
            </w:pPr>
            <w:r w:rsidRPr="006E3201">
              <w:rPr>
                <w:rFonts w:ascii="Times New Roman" w:hAnsi="Times New Roman"/>
              </w:rPr>
              <w:t xml:space="preserve">  </w:t>
            </w:r>
          </w:p>
        </w:tc>
        <w:tc>
          <w:tcPr>
            <w:tcW w:w="7128" w:type="dxa"/>
          </w:tcPr>
          <w:p w14:paraId="43EA2ACE" w14:textId="77777777" w:rsidR="00846CCE" w:rsidRPr="006E3201" w:rsidRDefault="006E3201">
            <w:pPr>
              <w:pStyle w:val="a4"/>
              <w:jc w:val="right"/>
              <w:rPr>
                <w:b/>
                <w:bCs/>
                <w:sz w:val="26"/>
                <w:szCs w:val="26"/>
                <w:rtl/>
              </w:rPr>
            </w:pPr>
            <w:r w:rsidRPr="006E3201">
              <w:rPr>
                <w:rFonts w:hint="cs"/>
                <w:rtl/>
              </w:rPr>
              <w:t xml:space="preserve"> 42453-05-14</w:t>
            </w:r>
          </w:p>
        </w:tc>
      </w:tr>
    </w:tbl>
    <w:p w14:paraId="00D3D4EC" w14:textId="77777777" w:rsidR="00846CCE" w:rsidRPr="006E3201" w:rsidRDefault="00846CCE">
      <w:pPr>
        <w:rPr>
          <w:rFonts w:ascii="Arial" w:hAnsi="Arial"/>
          <w:rtl/>
        </w:rPr>
      </w:pPr>
    </w:p>
    <w:p w14:paraId="599C076C" w14:textId="77777777" w:rsidR="00846CCE" w:rsidRPr="006E3201" w:rsidRDefault="00846CC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846CCE" w:rsidRPr="006E3201" w14:paraId="0BB801DC" w14:textId="77777777">
        <w:trPr>
          <w:gridAfter w:val="1"/>
          <w:wAfter w:w="56" w:type="dxa"/>
        </w:trPr>
        <w:tc>
          <w:tcPr>
            <w:tcW w:w="8718" w:type="dxa"/>
            <w:gridSpan w:val="2"/>
            <w:shd w:val="clear" w:color="auto" w:fill="auto"/>
          </w:tcPr>
          <w:p w14:paraId="51D5A216" w14:textId="77777777" w:rsidR="00846CCE" w:rsidRPr="006E3201" w:rsidRDefault="006E3201">
            <w:pPr>
              <w:rPr>
                <w:rFonts w:ascii="Times New Roman" w:eastAsia="Times New Roman" w:hAnsi="Times New Roman"/>
                <w:b/>
                <w:bCs/>
                <w:sz w:val="26"/>
                <w:szCs w:val="26"/>
                <w:rtl/>
              </w:rPr>
            </w:pPr>
            <w:r w:rsidRPr="006E3201">
              <w:rPr>
                <w:rFonts w:ascii="Times New Roman" w:eastAsia="Times New Roman" w:hAnsi="Times New Roman" w:hint="cs"/>
                <w:b/>
                <w:bCs/>
                <w:sz w:val="26"/>
                <w:szCs w:val="26"/>
                <w:rtl/>
              </w:rPr>
              <w:t>לפני כבוד ה</w:t>
            </w:r>
            <w:r w:rsidRPr="006E3201">
              <w:rPr>
                <w:rFonts w:ascii="Times New Roman" w:eastAsia="Times New Roman" w:hAnsi="Times New Roman" w:hint="cs"/>
                <w:rtl/>
              </w:rPr>
              <w:t>שופט יואב עטר</w:t>
            </w:r>
            <w:r w:rsidRPr="006E3201">
              <w:rPr>
                <w:rStyle w:val="TimesNewRomanTimesNewRoman"/>
                <w:rFonts w:eastAsia="Times New Roman"/>
                <w:rtl/>
              </w:rPr>
              <w:t xml:space="preserve"> </w:t>
            </w:r>
          </w:p>
        </w:tc>
      </w:tr>
      <w:tr w:rsidR="00846CCE" w:rsidRPr="006E3201" w14:paraId="4991958E" w14:textId="77777777">
        <w:trPr>
          <w:cantSplit/>
          <w:trHeight w:val="724"/>
        </w:trPr>
        <w:tc>
          <w:tcPr>
            <w:tcW w:w="2880" w:type="dxa"/>
            <w:shd w:val="clear" w:color="auto" w:fill="auto"/>
          </w:tcPr>
          <w:p w14:paraId="2D2BFC8F" w14:textId="77777777" w:rsidR="00846CCE" w:rsidRPr="006E3201" w:rsidRDefault="006E3201">
            <w:pPr>
              <w:ind w:left="26"/>
              <w:rPr>
                <w:rFonts w:ascii="Times New Roman" w:eastAsia="Times New Roman" w:hAnsi="Times New Roman"/>
                <w:b/>
                <w:bCs/>
                <w:sz w:val="26"/>
                <w:szCs w:val="26"/>
                <w:rtl/>
              </w:rPr>
            </w:pPr>
            <w:bookmarkStart w:id="1" w:name="FirstAppellant"/>
            <w:bookmarkStart w:id="2" w:name="FirstLawyer"/>
            <w:r w:rsidRPr="006E3201">
              <w:rPr>
                <w:rFonts w:ascii="Times New Roman" w:eastAsia="Times New Roman" w:hAnsi="Times New Roman" w:hint="cs"/>
                <w:b/>
                <w:bCs/>
                <w:sz w:val="26"/>
                <w:szCs w:val="26"/>
                <w:rtl/>
              </w:rPr>
              <w:t>המאשימה</w:t>
            </w:r>
          </w:p>
        </w:tc>
        <w:tc>
          <w:tcPr>
            <w:tcW w:w="5922" w:type="dxa"/>
            <w:gridSpan w:val="2"/>
            <w:shd w:val="clear" w:color="auto" w:fill="auto"/>
          </w:tcPr>
          <w:p w14:paraId="0B84D72A" w14:textId="77777777" w:rsidR="00846CCE" w:rsidRPr="006E3201" w:rsidRDefault="006E3201">
            <w:pPr>
              <w:rPr>
                <w:rFonts w:ascii="Times New Roman" w:eastAsia="Times New Roman" w:hAnsi="Times New Roman"/>
                <w:b/>
                <w:bCs/>
                <w:sz w:val="26"/>
                <w:szCs w:val="26"/>
                <w:rtl/>
              </w:rPr>
            </w:pPr>
            <w:r w:rsidRPr="006E3201">
              <w:rPr>
                <w:rFonts w:ascii="Times New Roman" w:eastAsia="Times New Roman" w:hAnsi="Times New Roman" w:cs="Times New Roman" w:hint="cs"/>
                <w:rtl/>
              </w:rPr>
              <w:t xml:space="preserve"> </w:t>
            </w:r>
            <w:r w:rsidRPr="006E3201">
              <w:rPr>
                <w:rFonts w:ascii="Times New Roman" w:eastAsia="Times New Roman" w:hAnsi="Times New Roman" w:hint="cs"/>
                <w:rtl/>
              </w:rPr>
              <w:t>מדינת ישראל</w:t>
            </w:r>
          </w:p>
          <w:p w14:paraId="023F183D" w14:textId="77777777" w:rsidR="00846CCE" w:rsidRPr="006E3201" w:rsidRDefault="006E3201">
            <w:pPr>
              <w:rPr>
                <w:rFonts w:ascii="Times New Roman" w:eastAsia="Times New Roman" w:hAnsi="Times New Roman"/>
                <w:b/>
                <w:bCs/>
                <w:sz w:val="26"/>
                <w:szCs w:val="26"/>
                <w:rtl/>
              </w:rPr>
            </w:pPr>
            <w:r w:rsidRPr="006E3201">
              <w:rPr>
                <w:rFonts w:ascii="Times New Roman" w:eastAsia="Times New Roman" w:hAnsi="Times New Roman" w:hint="cs"/>
                <w:b/>
                <w:bCs/>
                <w:sz w:val="26"/>
                <w:szCs w:val="26"/>
                <w:rtl/>
              </w:rPr>
              <w:t>ע"י ב"כ עו"ד מזור טפירו</w:t>
            </w:r>
          </w:p>
        </w:tc>
      </w:tr>
      <w:bookmarkEnd w:id="1"/>
      <w:bookmarkEnd w:id="2"/>
      <w:tr w:rsidR="00846CCE" w:rsidRPr="006E3201" w14:paraId="18EB7A4E" w14:textId="77777777">
        <w:tc>
          <w:tcPr>
            <w:tcW w:w="8802" w:type="dxa"/>
            <w:gridSpan w:val="3"/>
            <w:shd w:val="clear" w:color="auto" w:fill="auto"/>
            <w:vAlign w:val="center"/>
          </w:tcPr>
          <w:p w14:paraId="712347AB" w14:textId="77777777" w:rsidR="00846CCE" w:rsidRPr="006E3201" w:rsidRDefault="00846CCE">
            <w:pPr>
              <w:jc w:val="center"/>
              <w:rPr>
                <w:rFonts w:ascii="Arial" w:eastAsia="Times New Roman" w:hAnsi="Arial"/>
                <w:b/>
                <w:bCs/>
                <w:sz w:val="26"/>
                <w:szCs w:val="26"/>
                <w:rtl/>
              </w:rPr>
            </w:pPr>
          </w:p>
          <w:p w14:paraId="71816F38" w14:textId="77777777" w:rsidR="00846CCE" w:rsidRPr="006E3201" w:rsidRDefault="006E3201">
            <w:pPr>
              <w:jc w:val="center"/>
              <w:rPr>
                <w:rFonts w:ascii="Arial" w:eastAsia="Times New Roman" w:hAnsi="Arial"/>
                <w:b/>
                <w:bCs/>
                <w:sz w:val="26"/>
                <w:szCs w:val="26"/>
                <w:rtl/>
              </w:rPr>
            </w:pPr>
            <w:r w:rsidRPr="006E3201">
              <w:rPr>
                <w:rFonts w:ascii="Arial" w:eastAsia="Times New Roman" w:hAnsi="Arial"/>
                <w:b/>
                <w:bCs/>
                <w:sz w:val="26"/>
                <w:szCs w:val="26"/>
                <w:rtl/>
              </w:rPr>
              <w:t>נגד</w:t>
            </w:r>
          </w:p>
          <w:p w14:paraId="0D949A2D" w14:textId="77777777" w:rsidR="00846CCE" w:rsidRPr="006E3201" w:rsidRDefault="00846CCE">
            <w:pPr>
              <w:rPr>
                <w:rFonts w:ascii="Arial" w:eastAsia="Times New Roman" w:hAnsi="Arial"/>
                <w:b/>
                <w:bCs/>
                <w:sz w:val="26"/>
                <w:szCs w:val="26"/>
              </w:rPr>
            </w:pPr>
          </w:p>
        </w:tc>
      </w:tr>
      <w:tr w:rsidR="00846CCE" w:rsidRPr="006E3201" w14:paraId="10D6D248" w14:textId="77777777">
        <w:tc>
          <w:tcPr>
            <w:tcW w:w="2880" w:type="dxa"/>
            <w:shd w:val="clear" w:color="auto" w:fill="auto"/>
          </w:tcPr>
          <w:p w14:paraId="1CBFC087" w14:textId="77777777" w:rsidR="00846CCE" w:rsidRPr="006E3201" w:rsidRDefault="006E3201">
            <w:pPr>
              <w:ind w:left="26"/>
              <w:rPr>
                <w:rFonts w:ascii="Times New Roman" w:eastAsia="Times New Roman" w:hAnsi="Times New Roman"/>
                <w:b/>
                <w:bCs/>
                <w:sz w:val="26"/>
                <w:szCs w:val="26"/>
                <w:rtl/>
              </w:rPr>
            </w:pPr>
            <w:r w:rsidRPr="006E3201">
              <w:rPr>
                <w:rFonts w:ascii="Times New Roman" w:eastAsia="Times New Roman" w:hAnsi="Times New Roman" w:hint="cs"/>
                <w:b/>
                <w:bCs/>
                <w:sz w:val="26"/>
                <w:szCs w:val="26"/>
                <w:rtl/>
              </w:rPr>
              <w:t>הנאשם</w:t>
            </w:r>
          </w:p>
        </w:tc>
        <w:tc>
          <w:tcPr>
            <w:tcW w:w="5922" w:type="dxa"/>
            <w:gridSpan w:val="2"/>
            <w:shd w:val="clear" w:color="auto" w:fill="auto"/>
          </w:tcPr>
          <w:p w14:paraId="0349CBBF" w14:textId="77777777" w:rsidR="00846CCE" w:rsidRPr="006E3201" w:rsidRDefault="006E3201">
            <w:pPr>
              <w:rPr>
                <w:rFonts w:ascii="Times New Roman" w:eastAsia="Times New Roman" w:hAnsi="Times New Roman" w:cs="Times New Roman"/>
                <w:rtl/>
              </w:rPr>
            </w:pPr>
            <w:r w:rsidRPr="006E3201">
              <w:rPr>
                <w:rFonts w:ascii="Times New Roman" w:eastAsia="Times New Roman" w:hAnsi="Times New Roman" w:cs="Times New Roman" w:hint="cs"/>
                <w:rtl/>
              </w:rPr>
              <w:t xml:space="preserve"> </w:t>
            </w:r>
            <w:r w:rsidRPr="006E3201">
              <w:rPr>
                <w:rFonts w:ascii="Times New Roman" w:eastAsia="Times New Roman" w:hAnsi="Times New Roman" w:hint="cs"/>
                <w:rtl/>
              </w:rPr>
              <w:t xml:space="preserve">ליאור אלחסבאווי – בעצמו </w:t>
            </w:r>
          </w:p>
          <w:p w14:paraId="411A038D" w14:textId="77777777" w:rsidR="00846CCE" w:rsidRPr="006E3201" w:rsidRDefault="006E3201">
            <w:pPr>
              <w:rPr>
                <w:rFonts w:ascii="Times New Roman" w:eastAsia="Times New Roman" w:hAnsi="Times New Roman"/>
                <w:b/>
                <w:bCs/>
                <w:sz w:val="26"/>
                <w:szCs w:val="26"/>
                <w:rtl/>
              </w:rPr>
            </w:pPr>
            <w:r w:rsidRPr="006E3201">
              <w:rPr>
                <w:rFonts w:ascii="Times New Roman" w:eastAsia="Times New Roman" w:hAnsi="Times New Roman" w:cs="Times New Roman" w:hint="cs"/>
                <w:b/>
                <w:bCs/>
                <w:rtl/>
              </w:rPr>
              <w:t xml:space="preserve">ע"י ב"כ עו"ד ליסטר </w:t>
            </w:r>
            <w:r w:rsidRPr="006E3201">
              <w:rPr>
                <w:rFonts w:ascii="Times New Roman" w:eastAsia="Times New Roman" w:hAnsi="Times New Roman" w:hint="cs"/>
                <w:b/>
                <w:bCs/>
                <w:sz w:val="26"/>
                <w:szCs w:val="26"/>
                <w:rtl/>
              </w:rPr>
              <w:t xml:space="preserve"> ניר</w:t>
            </w:r>
          </w:p>
          <w:p w14:paraId="1E0715AA" w14:textId="77777777" w:rsidR="00846CCE" w:rsidRPr="006E3201" w:rsidRDefault="00846CCE">
            <w:pPr>
              <w:rPr>
                <w:rFonts w:ascii="Times New Roman" w:eastAsia="Times New Roman" w:hAnsi="Times New Roman"/>
                <w:b/>
                <w:bCs/>
                <w:sz w:val="26"/>
                <w:szCs w:val="26"/>
                <w:rtl/>
              </w:rPr>
            </w:pPr>
          </w:p>
        </w:tc>
      </w:tr>
    </w:tbl>
    <w:p w14:paraId="1C4DDE7D" w14:textId="77777777" w:rsidR="00846CCE" w:rsidRPr="006E3201" w:rsidRDefault="006E3201">
      <w:pPr>
        <w:spacing w:line="360" w:lineRule="auto"/>
        <w:jc w:val="both"/>
        <w:rPr>
          <w:sz w:val="6"/>
          <w:szCs w:val="6"/>
          <w:rtl/>
        </w:rPr>
      </w:pPr>
      <w:r w:rsidRPr="006E3201">
        <w:rPr>
          <w:sz w:val="6"/>
          <w:szCs w:val="6"/>
          <w:rtl/>
        </w:rPr>
        <w:t>&lt;#1#&gt;</w:t>
      </w:r>
    </w:p>
    <w:p w14:paraId="725D1C14" w14:textId="77777777" w:rsidR="00846CCE" w:rsidRPr="006E3201" w:rsidRDefault="00846CCE">
      <w:pPr>
        <w:pStyle w:val="12"/>
        <w:rPr>
          <w:b w:val="0"/>
          <w:bCs w:val="0"/>
          <w:u w:val="none"/>
          <w:rtl/>
        </w:rPr>
      </w:pPr>
    </w:p>
    <w:p w14:paraId="790B0DB8" w14:textId="77777777" w:rsidR="00EB1D00" w:rsidRDefault="006E3201">
      <w:pPr>
        <w:spacing w:line="360" w:lineRule="auto"/>
        <w:jc w:val="center"/>
        <w:rPr>
          <w:rFonts w:ascii="Arial" w:hAnsi="Arial"/>
          <w:b/>
          <w:color w:val="FF0000"/>
          <w:sz w:val="28"/>
          <w:rtl/>
        </w:rPr>
      </w:pPr>
      <w:r w:rsidRPr="006E3201">
        <w:rPr>
          <w:rFonts w:ascii="Arial" w:hAnsi="Arial"/>
          <w:b/>
          <w:color w:val="FF0000"/>
          <w:sz w:val="28"/>
          <w:rtl/>
        </w:rPr>
        <w:t>במסמך זה הושמטו פרוטוקולים</w:t>
      </w:r>
      <w:bookmarkStart w:id="3" w:name="LawTable"/>
      <w:bookmarkEnd w:id="3"/>
    </w:p>
    <w:p w14:paraId="381A3FC2" w14:textId="77777777" w:rsidR="00EB1D00" w:rsidRPr="00EB1D00" w:rsidRDefault="00EB1D00" w:rsidP="00EB1D00">
      <w:pPr>
        <w:spacing w:after="120" w:line="240" w:lineRule="exact"/>
        <w:ind w:left="283" w:hanging="283"/>
        <w:jc w:val="both"/>
        <w:rPr>
          <w:rFonts w:ascii="FrankRuehl" w:hAnsi="FrankRuehl" w:cs="FrankRuehl"/>
          <w:color w:val="FF0000"/>
          <w:rtl/>
        </w:rPr>
      </w:pPr>
    </w:p>
    <w:p w14:paraId="620CCF50" w14:textId="77777777" w:rsidR="00EB1D00" w:rsidRPr="00EB1D00" w:rsidRDefault="00EB1D00" w:rsidP="00EB1D00">
      <w:pPr>
        <w:spacing w:after="120" w:line="240" w:lineRule="exact"/>
        <w:ind w:left="283" w:hanging="283"/>
        <w:jc w:val="both"/>
        <w:rPr>
          <w:rFonts w:ascii="FrankRuehl" w:hAnsi="FrankRuehl" w:cs="FrankRuehl"/>
          <w:rtl/>
        </w:rPr>
      </w:pPr>
      <w:r w:rsidRPr="00EB1D00">
        <w:rPr>
          <w:rFonts w:ascii="FrankRuehl" w:hAnsi="FrankRuehl" w:cs="FrankRuehl"/>
          <w:rtl/>
        </w:rPr>
        <w:t xml:space="preserve">חקיקה שאוזכרה: </w:t>
      </w:r>
    </w:p>
    <w:p w14:paraId="207A281A" w14:textId="77777777" w:rsidR="00EB1D00" w:rsidRPr="00EB1D00" w:rsidRDefault="00EB1D00" w:rsidP="00EB1D00">
      <w:pPr>
        <w:spacing w:after="120" w:line="240" w:lineRule="exact"/>
        <w:ind w:left="283" w:hanging="283"/>
        <w:jc w:val="both"/>
        <w:rPr>
          <w:rFonts w:ascii="FrankRuehl" w:hAnsi="FrankRuehl" w:cs="FrankRuehl"/>
          <w:color w:val="0000FF"/>
          <w:u w:val="single"/>
          <w:rtl/>
        </w:rPr>
      </w:pPr>
      <w:hyperlink r:id="rId6" w:history="1">
        <w:r w:rsidRPr="00EB1D00">
          <w:rPr>
            <w:rStyle w:val="Hyperlink"/>
            <w:rFonts w:ascii="FrankRuehl" w:hAnsi="FrankRuehl" w:cs="FrankRuehl"/>
            <w:rtl/>
          </w:rPr>
          <w:t>פקודת הסמים המסוכנים [נוסח חדש], תשל"ג-1973</w:t>
        </w:r>
      </w:hyperlink>
      <w:r w:rsidRPr="00EB1D00">
        <w:rPr>
          <w:rFonts w:ascii="FrankRuehl" w:hAnsi="FrankRuehl" w:cs="FrankRuehl"/>
          <w:color w:val="0000FF"/>
          <w:u w:val="single"/>
          <w:rtl/>
        </w:rPr>
        <w:t xml:space="preserve">: סע'  </w:t>
      </w:r>
      <w:hyperlink r:id="rId7" w:history="1">
        <w:r w:rsidRPr="00EB1D00">
          <w:rPr>
            <w:rStyle w:val="Hyperlink"/>
            <w:rFonts w:ascii="FrankRuehl" w:hAnsi="FrankRuehl" w:cs="FrankRuehl"/>
          </w:rPr>
          <w:t>7(</w:t>
        </w:r>
        <w:r w:rsidRPr="00EB1D00">
          <w:rPr>
            <w:rStyle w:val="Hyperlink"/>
            <w:rFonts w:ascii="FrankRuehl" w:hAnsi="FrankRuehl" w:cs="FrankRuehl"/>
            <w:rtl/>
          </w:rPr>
          <w:t>א</w:t>
        </w:r>
        <w:r w:rsidRPr="00EB1D00">
          <w:rPr>
            <w:rStyle w:val="Hyperlink"/>
            <w:rFonts w:ascii="FrankRuehl" w:hAnsi="FrankRuehl" w:cs="FrankRuehl"/>
          </w:rPr>
          <w:t>)</w:t>
        </w:r>
      </w:hyperlink>
      <w:r w:rsidRPr="00EB1D00">
        <w:rPr>
          <w:rFonts w:ascii="FrankRuehl" w:hAnsi="FrankRuehl" w:cs="FrankRuehl"/>
          <w:color w:val="0000FF"/>
          <w:u w:val="single"/>
          <w:rtl/>
        </w:rPr>
        <w:t xml:space="preserve">, </w:t>
      </w:r>
      <w:hyperlink r:id="rId8" w:history="1">
        <w:r w:rsidRPr="00EB1D00">
          <w:rPr>
            <w:rStyle w:val="Hyperlink"/>
            <w:rFonts w:ascii="FrankRuehl" w:hAnsi="FrankRuehl" w:cs="FrankRuehl"/>
          </w:rPr>
          <w:t>+  7 (</w:t>
        </w:r>
        <w:r w:rsidRPr="00EB1D00">
          <w:rPr>
            <w:rStyle w:val="Hyperlink"/>
            <w:rFonts w:ascii="FrankRuehl" w:hAnsi="FrankRuehl" w:cs="FrankRuehl"/>
            <w:rtl/>
          </w:rPr>
          <w:t>ג</w:t>
        </w:r>
        <w:r w:rsidRPr="00EB1D00">
          <w:rPr>
            <w:rStyle w:val="Hyperlink"/>
            <w:rFonts w:ascii="FrankRuehl" w:hAnsi="FrankRuehl" w:cs="FrankRuehl"/>
          </w:rPr>
          <w:t>)</w:t>
        </w:r>
      </w:hyperlink>
      <w:r w:rsidRPr="00EB1D00">
        <w:rPr>
          <w:rFonts w:ascii="FrankRuehl" w:hAnsi="FrankRuehl" w:cs="FrankRuehl"/>
          <w:color w:val="0000FF"/>
          <w:u w:val="single"/>
          <w:rtl/>
        </w:rPr>
        <w:t xml:space="preserve">, </w:t>
      </w:r>
      <w:hyperlink r:id="rId9" w:history="1">
        <w:r w:rsidRPr="00EB1D00">
          <w:rPr>
            <w:rStyle w:val="Hyperlink"/>
            <w:rFonts w:ascii="FrankRuehl" w:hAnsi="FrankRuehl" w:cs="FrankRuehl"/>
          </w:rPr>
          <w:t>10</w:t>
        </w:r>
      </w:hyperlink>
    </w:p>
    <w:p w14:paraId="0961207A" w14:textId="77777777" w:rsidR="00846CCE" w:rsidRPr="00EB1D00" w:rsidRDefault="00846CCE">
      <w:pPr>
        <w:spacing w:line="360" w:lineRule="auto"/>
        <w:jc w:val="center"/>
        <w:rPr>
          <w:rFonts w:ascii="Arial" w:hAnsi="Arial"/>
          <w:b/>
          <w:bCs/>
          <w:sz w:val="28"/>
          <w:szCs w:val="28"/>
          <w:rtl/>
        </w:rPr>
      </w:pPr>
    </w:p>
    <w:p w14:paraId="6E27902E" w14:textId="77777777" w:rsidR="006E3201" w:rsidRPr="006E3201" w:rsidRDefault="006E3201">
      <w:pPr>
        <w:spacing w:line="360" w:lineRule="auto"/>
        <w:jc w:val="center"/>
        <w:rPr>
          <w:rFonts w:ascii="Arial" w:hAnsi="Arial"/>
          <w:b/>
          <w:bCs/>
          <w:sz w:val="28"/>
          <w:szCs w:val="28"/>
          <w:rtl/>
        </w:rPr>
      </w:pPr>
    </w:p>
    <w:p w14:paraId="7ED326D3" w14:textId="77777777" w:rsidR="006E3201" w:rsidRPr="006E3201" w:rsidRDefault="006E3201" w:rsidP="006E3201">
      <w:pPr>
        <w:spacing w:line="360" w:lineRule="auto"/>
        <w:jc w:val="center"/>
        <w:rPr>
          <w:rFonts w:ascii="Arial" w:hAnsi="Arial"/>
          <w:b/>
          <w:bCs/>
          <w:sz w:val="28"/>
          <w:szCs w:val="28"/>
          <w:u w:val="single"/>
          <w:rtl/>
        </w:rPr>
      </w:pPr>
      <w:bookmarkStart w:id="4" w:name="PsakDin"/>
      <w:bookmarkEnd w:id="0"/>
      <w:r w:rsidRPr="006E3201">
        <w:rPr>
          <w:rFonts w:ascii="Arial" w:hAnsi="Arial"/>
          <w:b/>
          <w:bCs/>
          <w:sz w:val="28"/>
          <w:szCs w:val="28"/>
          <w:u w:val="single"/>
          <w:rtl/>
        </w:rPr>
        <w:t>גזר דין</w:t>
      </w:r>
    </w:p>
    <w:bookmarkEnd w:id="4"/>
    <w:p w14:paraId="05855F12" w14:textId="77777777" w:rsidR="00846CCE" w:rsidRDefault="00846CCE">
      <w:pPr>
        <w:spacing w:line="360" w:lineRule="auto"/>
        <w:jc w:val="center"/>
        <w:rPr>
          <w:rtl/>
        </w:rPr>
      </w:pPr>
    </w:p>
    <w:p w14:paraId="689CF719" w14:textId="77777777" w:rsidR="00846CCE" w:rsidRDefault="006E3201">
      <w:pPr>
        <w:spacing w:line="360" w:lineRule="auto"/>
        <w:jc w:val="both"/>
        <w:rPr>
          <w:rtl/>
        </w:rPr>
      </w:pPr>
      <w:bookmarkStart w:id="5" w:name="ABSTRACT_START"/>
      <w:bookmarkEnd w:id="5"/>
      <w:r>
        <w:rPr>
          <w:rFonts w:hint="cs"/>
          <w:rtl/>
        </w:rPr>
        <w:t xml:space="preserve">הנאשם הורשע על פי הודאתו בעבירות של החזקת סם מסוכן לצריכה עצמית </w:t>
      </w:r>
      <w:bookmarkStart w:id="6" w:name="ABSTRACT_END"/>
      <w:bookmarkEnd w:id="6"/>
      <w:r>
        <w:rPr>
          <w:rFonts w:hint="cs"/>
          <w:rtl/>
        </w:rPr>
        <w:t xml:space="preserve">(לפי </w:t>
      </w:r>
      <w:hyperlink r:id="rId10" w:history="1">
        <w:r w:rsidR="00EB1D00" w:rsidRPr="00EB1D00">
          <w:rPr>
            <w:rStyle w:val="Hyperlink"/>
            <w:rFonts w:hint="eastAsia"/>
            <w:rtl/>
          </w:rPr>
          <w:t>סעיף</w:t>
        </w:r>
        <w:r w:rsidR="00EB1D00" w:rsidRPr="00EB1D00">
          <w:rPr>
            <w:rStyle w:val="Hyperlink"/>
            <w:rtl/>
          </w:rPr>
          <w:t xml:space="preserve"> 7(א)</w:t>
        </w:r>
      </w:hyperlink>
      <w:r>
        <w:rPr>
          <w:rFonts w:hint="cs"/>
          <w:rtl/>
        </w:rPr>
        <w:t xml:space="preserve"> </w:t>
      </w:r>
      <w:hyperlink r:id="rId11" w:history="1">
        <w:r w:rsidR="00EB1D00" w:rsidRPr="00EB1D00">
          <w:rPr>
            <w:rStyle w:val="Hyperlink"/>
            <w:rtl/>
          </w:rPr>
          <w:t>+  7 (ג)</w:t>
        </w:r>
      </w:hyperlink>
      <w:r>
        <w:rPr>
          <w:rFonts w:hint="cs"/>
          <w:rtl/>
        </w:rPr>
        <w:t xml:space="preserve"> ל</w:t>
      </w:r>
      <w:hyperlink r:id="rId12" w:history="1">
        <w:r w:rsidRPr="006E3201">
          <w:rPr>
            <w:rStyle w:val="Hyperlink"/>
            <w:rFonts w:hint="eastAsia"/>
            <w:rtl/>
          </w:rPr>
          <w:t>פקודת</w:t>
        </w:r>
        <w:r w:rsidRPr="006E3201">
          <w:rPr>
            <w:rStyle w:val="Hyperlink"/>
            <w:rtl/>
          </w:rPr>
          <w:t xml:space="preserve"> הסמים המסוכנים</w:t>
        </w:r>
      </w:hyperlink>
      <w:r>
        <w:rPr>
          <w:rFonts w:hint="cs"/>
          <w:rtl/>
        </w:rPr>
        <w:t xml:space="preserve"> [נוסח חדש] תשל"ג </w:t>
      </w:r>
      <w:r>
        <w:rPr>
          <w:rtl/>
        </w:rPr>
        <w:t>–</w:t>
      </w:r>
      <w:r>
        <w:rPr>
          <w:rFonts w:hint="cs"/>
          <w:rtl/>
        </w:rPr>
        <w:t xml:space="preserve"> 1973) והחזקת כלים להכנת סם (עבירה לפי </w:t>
      </w:r>
      <w:hyperlink r:id="rId13" w:history="1">
        <w:r w:rsidR="00EB1D00" w:rsidRPr="00EB1D00">
          <w:rPr>
            <w:rStyle w:val="Hyperlink"/>
            <w:rFonts w:hint="eastAsia"/>
            <w:rtl/>
          </w:rPr>
          <w:t>סעיף</w:t>
        </w:r>
        <w:r w:rsidR="00EB1D00" w:rsidRPr="00EB1D00">
          <w:rPr>
            <w:rStyle w:val="Hyperlink"/>
            <w:rtl/>
          </w:rPr>
          <w:t xml:space="preserve"> 10</w:t>
        </w:r>
      </w:hyperlink>
      <w:r>
        <w:rPr>
          <w:rFonts w:hint="cs"/>
          <w:rtl/>
        </w:rPr>
        <w:t xml:space="preserve"> לפקודה הנ"ל).</w:t>
      </w:r>
    </w:p>
    <w:p w14:paraId="68C077CF" w14:textId="77777777" w:rsidR="00846CCE" w:rsidRDefault="00846CCE">
      <w:pPr>
        <w:spacing w:line="360" w:lineRule="auto"/>
        <w:jc w:val="both"/>
        <w:rPr>
          <w:rtl/>
        </w:rPr>
      </w:pPr>
    </w:p>
    <w:p w14:paraId="3AC13876" w14:textId="77777777" w:rsidR="00846CCE" w:rsidRDefault="006E3201">
      <w:pPr>
        <w:spacing w:line="360" w:lineRule="auto"/>
        <w:jc w:val="both"/>
        <w:rPr>
          <w:rtl/>
        </w:rPr>
      </w:pPr>
      <w:r>
        <w:rPr>
          <w:rFonts w:hint="cs"/>
          <w:rtl/>
        </w:rPr>
        <w:t xml:space="preserve">כעולה מכתב האישום המתוקן בו הודה הנאשם, הנאשם החזיק בביתו סמים מסוכנים משני סוגים שונים, בכמות כוללת של כ </w:t>
      </w:r>
      <w:r>
        <w:rPr>
          <w:rtl/>
        </w:rPr>
        <w:t>–</w:t>
      </w:r>
      <w:r>
        <w:rPr>
          <w:rFonts w:hint="cs"/>
          <w:rtl/>
        </w:rPr>
        <w:t xml:space="preserve"> 7.5 גרם, וכן החזיק בכלי המשמש לצריכת הסמים הנ"ל.</w:t>
      </w:r>
    </w:p>
    <w:p w14:paraId="219FCECD" w14:textId="77777777" w:rsidR="00846CCE" w:rsidRDefault="00846CCE">
      <w:pPr>
        <w:spacing w:line="360" w:lineRule="auto"/>
        <w:jc w:val="both"/>
        <w:rPr>
          <w:rtl/>
        </w:rPr>
      </w:pPr>
    </w:p>
    <w:p w14:paraId="0ACD5057" w14:textId="77777777" w:rsidR="00846CCE" w:rsidRDefault="006E3201">
      <w:pPr>
        <w:spacing w:line="360" w:lineRule="auto"/>
        <w:jc w:val="both"/>
        <w:rPr>
          <w:rtl/>
        </w:rPr>
      </w:pPr>
      <w:r>
        <w:rPr>
          <w:rFonts w:hint="cs"/>
          <w:rtl/>
        </w:rPr>
        <w:t>הצדדים הגיעו להסדר טיעון.</w:t>
      </w:r>
    </w:p>
    <w:p w14:paraId="018FC01F" w14:textId="77777777" w:rsidR="00846CCE" w:rsidRDefault="00846CCE">
      <w:pPr>
        <w:spacing w:line="360" w:lineRule="auto"/>
        <w:jc w:val="both"/>
        <w:rPr>
          <w:rtl/>
        </w:rPr>
      </w:pPr>
    </w:p>
    <w:p w14:paraId="02CA26AE" w14:textId="77777777" w:rsidR="00846CCE" w:rsidRDefault="006E3201">
      <w:pPr>
        <w:spacing w:line="360" w:lineRule="auto"/>
        <w:jc w:val="both"/>
        <w:rPr>
          <w:rtl/>
        </w:rPr>
      </w:pPr>
      <w:r>
        <w:rPr>
          <w:rFonts w:hint="cs"/>
          <w:rtl/>
        </w:rPr>
        <w:t>הסדר הטיעון הינו סביר, ועומד במתחם העונש ההולם.</w:t>
      </w:r>
    </w:p>
    <w:p w14:paraId="203A8448" w14:textId="77777777" w:rsidR="00846CCE" w:rsidRDefault="00846CCE">
      <w:pPr>
        <w:spacing w:line="360" w:lineRule="auto"/>
        <w:jc w:val="both"/>
        <w:rPr>
          <w:rtl/>
        </w:rPr>
      </w:pPr>
    </w:p>
    <w:p w14:paraId="7FF17D6D" w14:textId="77777777" w:rsidR="00846CCE" w:rsidRDefault="006E3201">
      <w:pPr>
        <w:spacing w:line="360" w:lineRule="auto"/>
        <w:jc w:val="both"/>
        <w:rPr>
          <w:rtl/>
        </w:rPr>
      </w:pPr>
      <w:r>
        <w:rPr>
          <w:rFonts w:hint="cs"/>
          <w:rtl/>
        </w:rPr>
        <w:t>לאור האמור לעיל ובאמצי את הסדר הטיעון, אני דן את הנאשם לעונשים הבאים:</w:t>
      </w:r>
    </w:p>
    <w:p w14:paraId="6E65CA26" w14:textId="77777777" w:rsidR="00846CCE" w:rsidRDefault="00846CCE">
      <w:pPr>
        <w:spacing w:line="360" w:lineRule="auto"/>
        <w:jc w:val="both"/>
        <w:rPr>
          <w:rtl/>
        </w:rPr>
      </w:pPr>
    </w:p>
    <w:p w14:paraId="52090CAA" w14:textId="77777777" w:rsidR="00846CCE" w:rsidRDefault="006E3201">
      <w:pPr>
        <w:spacing w:line="360" w:lineRule="auto"/>
        <w:ind w:left="720" w:hanging="720"/>
        <w:jc w:val="both"/>
        <w:rPr>
          <w:rtl/>
        </w:rPr>
      </w:pPr>
      <w:r>
        <w:rPr>
          <w:rFonts w:hint="cs"/>
          <w:rtl/>
        </w:rPr>
        <w:t>א.</w:t>
      </w:r>
      <w:r>
        <w:rPr>
          <w:rFonts w:hint="cs"/>
          <w:rtl/>
        </w:rPr>
        <w:tab/>
        <w:t xml:space="preserve">4 חודשי מאסר, וזאת על תנאי, שלא יעבור כל עבירה על </w:t>
      </w:r>
      <w:hyperlink r:id="rId14" w:history="1">
        <w:r w:rsidRPr="006E3201">
          <w:rPr>
            <w:rStyle w:val="Hyperlink"/>
            <w:rFonts w:hint="eastAsia"/>
            <w:rtl/>
          </w:rPr>
          <w:t>פקודת</w:t>
        </w:r>
        <w:r w:rsidRPr="006E3201">
          <w:rPr>
            <w:rStyle w:val="Hyperlink"/>
            <w:rtl/>
          </w:rPr>
          <w:t xml:space="preserve"> הסמים המסוכנים</w:t>
        </w:r>
      </w:hyperlink>
      <w:r>
        <w:rPr>
          <w:rFonts w:hint="cs"/>
          <w:rtl/>
        </w:rPr>
        <w:t xml:space="preserve"> משך שלוש שנים מהיום.</w:t>
      </w:r>
    </w:p>
    <w:p w14:paraId="4037AF26" w14:textId="77777777" w:rsidR="00846CCE" w:rsidRDefault="00846CCE">
      <w:pPr>
        <w:spacing w:line="360" w:lineRule="auto"/>
        <w:ind w:left="720" w:hanging="720"/>
        <w:jc w:val="both"/>
        <w:rPr>
          <w:rtl/>
        </w:rPr>
      </w:pPr>
    </w:p>
    <w:p w14:paraId="33471308" w14:textId="77777777" w:rsidR="00846CCE" w:rsidRDefault="006E3201">
      <w:pPr>
        <w:spacing w:line="360" w:lineRule="auto"/>
        <w:ind w:left="720" w:hanging="720"/>
        <w:jc w:val="both"/>
        <w:rPr>
          <w:rtl/>
        </w:rPr>
      </w:pPr>
      <w:r>
        <w:rPr>
          <w:rFonts w:hint="cs"/>
          <w:rtl/>
        </w:rPr>
        <w:t>ב.</w:t>
      </w:r>
      <w:r>
        <w:rPr>
          <w:rFonts w:hint="cs"/>
          <w:rtl/>
        </w:rPr>
        <w:tab/>
        <w:t>פסילה מלקבל או מלהחזיק רישיון נהיגה משך 30 ימים מהיום. משהוברר שהנאשם אינו אוחז ברישיון נהיגה, ועל כן אינו יכול להפקיד את רישיון הנהיגה, תמנה הפסילה החל מהיום כאילו הופקד הרישיון.</w:t>
      </w:r>
    </w:p>
    <w:p w14:paraId="48B1E5A9" w14:textId="77777777" w:rsidR="00846CCE" w:rsidRDefault="00846CCE">
      <w:pPr>
        <w:spacing w:line="360" w:lineRule="auto"/>
        <w:ind w:left="720" w:hanging="720"/>
        <w:jc w:val="both"/>
        <w:rPr>
          <w:rtl/>
        </w:rPr>
      </w:pPr>
    </w:p>
    <w:p w14:paraId="6BC4505F" w14:textId="77777777" w:rsidR="00846CCE" w:rsidRDefault="006E3201">
      <w:pPr>
        <w:spacing w:line="360" w:lineRule="auto"/>
        <w:ind w:left="720" w:hanging="720"/>
        <w:jc w:val="both"/>
        <w:rPr>
          <w:rtl/>
        </w:rPr>
      </w:pPr>
      <w:r>
        <w:rPr>
          <w:rFonts w:hint="cs"/>
          <w:rtl/>
        </w:rPr>
        <w:t>ג.</w:t>
      </w:r>
      <w:r>
        <w:rPr>
          <w:rFonts w:hint="cs"/>
          <w:rtl/>
        </w:rPr>
        <w:tab/>
        <w:t xml:space="preserve">קנס על  סך 2,000 ₪ או 20 ימי מאסר תמורתו. לאור הסכמת הצדדים יקוזז הקנס מהפיקדון שהופקד במסגרת תיק </w:t>
      </w:r>
      <w:hyperlink r:id="rId15" w:history="1">
        <w:r w:rsidRPr="006E3201">
          <w:rPr>
            <w:rStyle w:val="Hyperlink"/>
            <w:rFonts w:hint="eastAsia"/>
            <w:rtl/>
          </w:rPr>
          <w:t>מ</w:t>
        </w:r>
        <w:r w:rsidRPr="006E3201">
          <w:rPr>
            <w:rStyle w:val="Hyperlink"/>
            <w:rtl/>
          </w:rPr>
          <w:t>"ת 42453-05-14</w:t>
        </w:r>
      </w:hyperlink>
      <w:r>
        <w:rPr>
          <w:rFonts w:hint="cs"/>
          <w:rtl/>
        </w:rPr>
        <w:t>.</w:t>
      </w:r>
    </w:p>
    <w:p w14:paraId="654C2D64" w14:textId="77777777" w:rsidR="00846CCE" w:rsidRDefault="00846CCE">
      <w:pPr>
        <w:spacing w:line="360" w:lineRule="auto"/>
        <w:ind w:left="720" w:hanging="720"/>
        <w:jc w:val="both"/>
        <w:rPr>
          <w:rtl/>
        </w:rPr>
      </w:pPr>
    </w:p>
    <w:p w14:paraId="36765049" w14:textId="77777777" w:rsidR="00846CCE" w:rsidRDefault="006E3201">
      <w:pPr>
        <w:spacing w:line="360" w:lineRule="auto"/>
        <w:ind w:left="720" w:hanging="720"/>
        <w:jc w:val="both"/>
        <w:rPr>
          <w:rtl/>
        </w:rPr>
      </w:pPr>
      <w:r>
        <w:rPr>
          <w:rFonts w:hint="cs"/>
          <w:rtl/>
        </w:rPr>
        <w:t>ד.</w:t>
      </w:r>
      <w:r>
        <w:rPr>
          <w:rFonts w:hint="cs"/>
          <w:rtl/>
        </w:rPr>
        <w:tab/>
        <w:t xml:space="preserve">3 חודשי פסילה מלקבל או מלהחזיק רישיון נהיגה, וזאת על תנאי, שלא יעבור משך שלוש שנים מהיום כל עבירה על </w:t>
      </w:r>
      <w:hyperlink r:id="rId16" w:history="1">
        <w:r w:rsidRPr="006E3201">
          <w:rPr>
            <w:rStyle w:val="Hyperlink"/>
            <w:rFonts w:hint="eastAsia"/>
            <w:rtl/>
          </w:rPr>
          <w:t>פקודת</w:t>
        </w:r>
        <w:r w:rsidRPr="006E3201">
          <w:rPr>
            <w:rStyle w:val="Hyperlink"/>
            <w:rtl/>
          </w:rPr>
          <w:t xml:space="preserve"> הסמים המסוכנים</w:t>
        </w:r>
      </w:hyperlink>
      <w:r>
        <w:rPr>
          <w:rFonts w:hint="cs"/>
          <w:rtl/>
        </w:rPr>
        <w:t>.</w:t>
      </w:r>
    </w:p>
    <w:p w14:paraId="73F2DD21" w14:textId="77777777" w:rsidR="00846CCE" w:rsidRDefault="00846CCE">
      <w:pPr>
        <w:spacing w:line="360" w:lineRule="auto"/>
        <w:ind w:left="720" w:hanging="720"/>
        <w:jc w:val="both"/>
        <w:rPr>
          <w:rtl/>
        </w:rPr>
      </w:pPr>
    </w:p>
    <w:p w14:paraId="471A284F" w14:textId="77777777" w:rsidR="00846CCE" w:rsidRDefault="006E3201">
      <w:pPr>
        <w:spacing w:line="360" w:lineRule="auto"/>
        <w:ind w:left="720"/>
        <w:jc w:val="both"/>
        <w:rPr>
          <w:rtl/>
        </w:rPr>
      </w:pPr>
      <w:r>
        <w:rPr>
          <w:rFonts w:hint="cs"/>
          <w:rtl/>
        </w:rPr>
        <w:t>הסם שנתפס יושמד.</w:t>
      </w:r>
    </w:p>
    <w:p w14:paraId="51893923" w14:textId="77777777" w:rsidR="00846CCE" w:rsidRDefault="00846CCE">
      <w:pPr>
        <w:spacing w:line="360" w:lineRule="auto"/>
        <w:ind w:left="720" w:hanging="720"/>
        <w:jc w:val="both"/>
        <w:rPr>
          <w:rtl/>
        </w:rPr>
      </w:pPr>
    </w:p>
    <w:p w14:paraId="1861D6C6" w14:textId="77777777" w:rsidR="00846CCE" w:rsidRDefault="006E3201">
      <w:pPr>
        <w:spacing w:line="360" w:lineRule="auto"/>
        <w:ind w:left="720"/>
        <w:jc w:val="both"/>
        <w:rPr>
          <w:b/>
          <w:bCs/>
          <w:rtl/>
        </w:rPr>
      </w:pPr>
      <w:r>
        <w:rPr>
          <w:rFonts w:hint="cs"/>
          <w:b/>
          <w:bCs/>
          <w:rtl/>
        </w:rPr>
        <w:t>זכות ערעור תוך 45 ימים מהיום לבית המשפט המחוזי בבאר-שבע.</w:t>
      </w:r>
    </w:p>
    <w:p w14:paraId="7C792259" w14:textId="77777777" w:rsidR="00846CCE" w:rsidRDefault="00846CCE">
      <w:pPr>
        <w:spacing w:line="360" w:lineRule="auto"/>
        <w:ind w:left="720" w:hanging="720"/>
        <w:jc w:val="both"/>
        <w:rPr>
          <w:b/>
          <w:bCs/>
          <w:rtl/>
        </w:rPr>
      </w:pPr>
    </w:p>
    <w:p w14:paraId="4E27A7EB" w14:textId="77777777" w:rsidR="00846CCE" w:rsidRDefault="006E3201">
      <w:pPr>
        <w:spacing w:line="360" w:lineRule="auto"/>
        <w:ind w:left="720"/>
        <w:jc w:val="both"/>
        <w:rPr>
          <w:rtl/>
        </w:rPr>
      </w:pPr>
      <w:r>
        <w:rPr>
          <w:rFonts w:hint="cs"/>
          <w:rtl/>
        </w:rPr>
        <w:t>בכפוף להעדר עיקולים ו/או כל מניעה אחרת, לרבות קיומו של כל חוב פסוק, הידוע למזכירות בית המשפט, תוחזר יתרת הפיקדון על פירותיו, לאחר קיזוז הקנס לידי הנאשם.</w:t>
      </w:r>
    </w:p>
    <w:p w14:paraId="6261B850" w14:textId="77777777" w:rsidR="00846CCE" w:rsidRDefault="006E3201">
      <w:pPr>
        <w:spacing w:line="360" w:lineRule="auto"/>
        <w:ind w:left="720" w:hanging="720"/>
        <w:jc w:val="both"/>
        <w:rPr>
          <w:sz w:val="6"/>
          <w:szCs w:val="6"/>
          <w:rtl/>
        </w:rPr>
      </w:pPr>
      <w:r>
        <w:rPr>
          <w:sz w:val="6"/>
          <w:szCs w:val="6"/>
          <w:rtl/>
        </w:rPr>
        <w:t>&lt;#3#&gt;</w:t>
      </w:r>
    </w:p>
    <w:p w14:paraId="59E8BC03" w14:textId="77777777" w:rsidR="00846CCE" w:rsidRDefault="00846CCE">
      <w:pPr>
        <w:jc w:val="right"/>
        <w:rPr>
          <w:rtl/>
        </w:rPr>
      </w:pPr>
    </w:p>
    <w:p w14:paraId="5081AEF5" w14:textId="77777777" w:rsidR="00846CCE" w:rsidRDefault="006E3201">
      <w:pPr>
        <w:jc w:val="center"/>
        <w:rPr>
          <w:rtl/>
        </w:rPr>
      </w:pPr>
      <w:r w:rsidRPr="006E3201">
        <w:rPr>
          <w:b/>
          <w:bCs/>
          <w:color w:val="FFFFFF"/>
          <w:sz w:val="2"/>
          <w:szCs w:val="2"/>
          <w:rtl/>
        </w:rPr>
        <w:t>5129371</w:t>
      </w:r>
      <w:r>
        <w:rPr>
          <w:b/>
          <w:bCs/>
          <w:rtl/>
        </w:rPr>
        <w:t xml:space="preserve">ניתנה והודעה היום ז' שבט תשע"ו, 17/01/2016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6CCE" w14:paraId="25FD43DD" w14:textId="77777777">
        <w:trPr>
          <w:trHeight w:val="316"/>
          <w:jc w:val="right"/>
        </w:trPr>
        <w:tc>
          <w:tcPr>
            <w:tcW w:w="3936" w:type="dxa"/>
            <w:shd w:val="clear" w:color="auto" w:fill="auto"/>
          </w:tcPr>
          <w:p w14:paraId="1A21CE1D" w14:textId="77777777" w:rsidR="00846CCE" w:rsidRPr="006E3201" w:rsidRDefault="006E3201">
            <w:pPr>
              <w:jc w:val="center"/>
              <w:rPr>
                <w:rFonts w:ascii="Times New Roman" w:eastAsia="Times New Roman" w:hAnsi="Times New Roman" w:cs="Times New Roman"/>
                <w:color w:val="FFFFFF"/>
                <w:sz w:val="2"/>
                <w:szCs w:val="2"/>
              </w:rPr>
            </w:pPr>
            <w:r w:rsidRPr="006E3201">
              <w:rPr>
                <w:rFonts w:ascii="Times New Roman" w:eastAsia="Times New Roman" w:hAnsi="Times New Roman" w:cs="Times New Roman"/>
                <w:color w:val="FFFFFF"/>
                <w:sz w:val="2"/>
                <w:szCs w:val="2"/>
                <w:rtl/>
              </w:rPr>
              <w:t>54678313</w:t>
            </w:r>
          </w:p>
          <w:p w14:paraId="1DECF199" w14:textId="77777777" w:rsidR="00846CCE" w:rsidRDefault="00846CCE">
            <w:pPr>
              <w:jc w:val="center"/>
              <w:rPr>
                <w:rFonts w:ascii="Times New Roman" w:eastAsia="Times New Roman" w:hAnsi="Times New Roman" w:cs="Times New Roman"/>
                <w:rtl/>
              </w:rPr>
            </w:pPr>
          </w:p>
        </w:tc>
      </w:tr>
      <w:tr w:rsidR="00846CCE" w14:paraId="16DA27D6" w14:textId="77777777">
        <w:trPr>
          <w:trHeight w:val="361"/>
          <w:jc w:val="right"/>
        </w:trPr>
        <w:tc>
          <w:tcPr>
            <w:tcW w:w="3936" w:type="dxa"/>
            <w:shd w:val="clear" w:color="auto" w:fill="auto"/>
          </w:tcPr>
          <w:p w14:paraId="0021417E" w14:textId="77777777" w:rsidR="00846CCE" w:rsidRDefault="006E3201">
            <w:pPr>
              <w:jc w:val="center"/>
              <w:rPr>
                <w:rFonts w:ascii="Times New Roman" w:eastAsia="Times New Roman" w:hAnsi="Times New Roman"/>
                <w:b/>
                <w:bCs/>
                <w:rtl/>
              </w:rPr>
            </w:pPr>
            <w:r>
              <w:rPr>
                <w:rFonts w:ascii="Times New Roman" w:eastAsia="Times New Roman" w:hAnsi="Times New Roman" w:hint="cs"/>
                <w:b/>
                <w:bCs/>
                <w:rtl/>
              </w:rPr>
              <w:t>יואב עטר</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A3704E6" w14:textId="77777777" w:rsidR="00846CCE" w:rsidRDefault="00846CCE">
      <w:pPr>
        <w:jc w:val="right"/>
        <w:rPr>
          <w:rtl/>
        </w:rPr>
      </w:pPr>
    </w:p>
    <w:p w14:paraId="3BC3D0B1" w14:textId="77777777" w:rsidR="00846CCE" w:rsidRDefault="00846CCE">
      <w:pPr>
        <w:spacing w:line="360" w:lineRule="auto"/>
        <w:jc w:val="both"/>
        <w:rPr>
          <w:rtl/>
        </w:rPr>
      </w:pPr>
    </w:p>
    <w:p w14:paraId="6229D9E2" w14:textId="77777777" w:rsidR="00846CCE" w:rsidRDefault="006E3201">
      <w:r>
        <w:rPr>
          <w:rtl/>
        </w:rPr>
        <w:t>הוקלד</w:t>
      </w:r>
      <w:r>
        <w:t xml:space="preserve"> </w:t>
      </w:r>
      <w:r>
        <w:rPr>
          <w:rtl/>
        </w:rPr>
        <w:t>על</w:t>
      </w:r>
      <w:r>
        <w:t xml:space="preserve"> </w:t>
      </w:r>
      <w:r>
        <w:rPr>
          <w:rtl/>
        </w:rPr>
        <w:t>ידי</w:t>
      </w:r>
      <w:r>
        <w:t xml:space="preserve"> </w:t>
      </w:r>
      <w:r>
        <w:rPr>
          <w:rtl/>
        </w:rPr>
        <w:t>נורית</w:t>
      </w:r>
      <w:r>
        <w:t xml:space="preserve"> </w:t>
      </w:r>
      <w:r>
        <w:rPr>
          <w:rtl/>
        </w:rPr>
        <w:t>ג</w:t>
      </w:r>
      <w:r>
        <w:t>'</w:t>
      </w:r>
      <w:r>
        <w:rPr>
          <w:rtl/>
        </w:rPr>
        <w:t>רנו</w:t>
      </w:r>
    </w:p>
    <w:p w14:paraId="7A98AD28" w14:textId="77777777" w:rsidR="006E3201" w:rsidRPr="006E3201" w:rsidRDefault="006E3201" w:rsidP="006E3201">
      <w:pPr>
        <w:keepNext/>
        <w:rPr>
          <w:color w:val="000000"/>
          <w:sz w:val="22"/>
          <w:szCs w:val="22"/>
          <w:rtl/>
        </w:rPr>
      </w:pPr>
    </w:p>
    <w:p w14:paraId="4E37D39D" w14:textId="77777777" w:rsidR="006E3201" w:rsidRPr="006E3201" w:rsidRDefault="006E3201" w:rsidP="006E3201">
      <w:pPr>
        <w:keepNext/>
        <w:rPr>
          <w:color w:val="000000"/>
          <w:sz w:val="22"/>
          <w:szCs w:val="22"/>
          <w:rtl/>
        </w:rPr>
      </w:pPr>
      <w:r w:rsidRPr="006E3201">
        <w:rPr>
          <w:color w:val="000000"/>
          <w:sz w:val="22"/>
          <w:szCs w:val="22"/>
          <w:rtl/>
        </w:rPr>
        <w:t>יואב עטר 54678313</w:t>
      </w:r>
    </w:p>
    <w:p w14:paraId="4EBE0015" w14:textId="77777777" w:rsidR="006E3201" w:rsidRDefault="006E3201" w:rsidP="006E3201">
      <w:r w:rsidRPr="006E3201">
        <w:rPr>
          <w:color w:val="000000"/>
          <w:rtl/>
        </w:rPr>
        <w:t>נוסח מסמך זה כפוף לשינויי ניסוח ועריכה</w:t>
      </w:r>
    </w:p>
    <w:p w14:paraId="6A15FB7F" w14:textId="77777777" w:rsidR="006E3201" w:rsidRDefault="006E3201" w:rsidP="006E3201">
      <w:pPr>
        <w:rPr>
          <w:rtl/>
        </w:rPr>
      </w:pPr>
    </w:p>
    <w:p w14:paraId="685E171E" w14:textId="77777777" w:rsidR="006E3201" w:rsidRDefault="006E3201" w:rsidP="006E3201">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7CA9CDE2" w14:textId="77777777" w:rsidR="00846CCE" w:rsidRPr="006E3201" w:rsidRDefault="00846CCE" w:rsidP="006E3201">
      <w:pPr>
        <w:jc w:val="center"/>
        <w:rPr>
          <w:color w:val="0000FF"/>
          <w:u w:val="single"/>
        </w:rPr>
      </w:pPr>
    </w:p>
    <w:sectPr w:rsidR="00846CCE" w:rsidRPr="006E3201" w:rsidSect="006E3201">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AF2FB" w14:textId="77777777" w:rsidR="003F0364" w:rsidRDefault="003F0364">
      <w:r>
        <w:separator/>
      </w:r>
    </w:p>
  </w:endnote>
  <w:endnote w:type="continuationSeparator" w:id="0">
    <w:p w14:paraId="15DB4DE3" w14:textId="77777777" w:rsidR="003F0364" w:rsidRDefault="003F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CED98" w14:textId="77777777" w:rsidR="003F0364" w:rsidRDefault="003F0364" w:rsidP="006E32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55639CC3" w14:textId="77777777" w:rsidR="003F0364" w:rsidRPr="006E3201" w:rsidRDefault="003F0364" w:rsidP="006E3201">
    <w:pPr>
      <w:pStyle w:val="a5"/>
      <w:pBdr>
        <w:top w:val="single" w:sz="4" w:space="1" w:color="auto"/>
        <w:between w:val="single" w:sz="4" w:space="0" w:color="auto"/>
      </w:pBdr>
      <w:spacing w:after="60"/>
      <w:jc w:val="center"/>
      <w:rPr>
        <w:rFonts w:ascii="FrankRuehl" w:hAnsi="FrankRuehl" w:cs="FrankRuehl"/>
        <w:color w:val="000000"/>
      </w:rPr>
    </w:pPr>
    <w:r w:rsidRPr="006E32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3FA67" w14:textId="77777777" w:rsidR="003F0364" w:rsidRDefault="003F0364" w:rsidP="006E32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6C99">
      <w:rPr>
        <w:rFonts w:ascii="FrankRuehl" w:hAnsi="FrankRuehl" w:cs="FrankRuehl"/>
        <w:noProof/>
        <w:rtl/>
      </w:rPr>
      <w:t>1</w:t>
    </w:r>
    <w:r>
      <w:rPr>
        <w:rFonts w:ascii="FrankRuehl" w:hAnsi="FrankRuehl" w:cs="FrankRuehl"/>
        <w:rtl/>
      </w:rPr>
      <w:fldChar w:fldCharType="end"/>
    </w:r>
  </w:p>
  <w:p w14:paraId="6F4A169C" w14:textId="77777777" w:rsidR="003F0364" w:rsidRPr="006E3201" w:rsidRDefault="003F0364" w:rsidP="006E3201">
    <w:pPr>
      <w:pStyle w:val="a5"/>
      <w:pBdr>
        <w:top w:val="single" w:sz="4" w:space="1" w:color="auto"/>
        <w:between w:val="single" w:sz="4" w:space="0" w:color="auto"/>
      </w:pBdr>
      <w:spacing w:after="60"/>
      <w:jc w:val="center"/>
      <w:rPr>
        <w:rFonts w:ascii="FrankRuehl" w:hAnsi="FrankRuehl" w:cs="FrankRuehl"/>
        <w:color w:val="000000"/>
      </w:rPr>
    </w:pPr>
    <w:r w:rsidRPr="006E3201">
      <w:rPr>
        <w:rFonts w:ascii="FrankRuehl" w:hAnsi="FrankRuehl" w:cs="FrankRuehl"/>
        <w:color w:val="000000"/>
      </w:rPr>
      <w:pict w14:anchorId="2AD5E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69130" w14:textId="77777777" w:rsidR="003F0364" w:rsidRDefault="003F0364">
      <w:r>
        <w:separator/>
      </w:r>
    </w:p>
  </w:footnote>
  <w:footnote w:type="continuationSeparator" w:id="0">
    <w:p w14:paraId="33DD1CAB" w14:textId="77777777" w:rsidR="003F0364" w:rsidRDefault="003F0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FA74B" w14:textId="77777777" w:rsidR="003F0364" w:rsidRPr="006E3201" w:rsidRDefault="003F0364" w:rsidP="006E320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42458-05-14</w:t>
    </w:r>
    <w:r>
      <w:rPr>
        <w:color w:val="000000"/>
        <w:sz w:val="22"/>
        <w:szCs w:val="22"/>
        <w:rtl/>
      </w:rPr>
      <w:tab/>
      <w:t xml:space="preserve"> מדינת ישראל נ' ליאור אלחסבאווי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8EDF8" w14:textId="77777777" w:rsidR="003F0364" w:rsidRPr="006E3201" w:rsidRDefault="003F0364" w:rsidP="006E320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42458-05-14</w:t>
    </w:r>
    <w:r>
      <w:rPr>
        <w:color w:val="000000"/>
        <w:sz w:val="22"/>
        <w:szCs w:val="22"/>
        <w:rtl/>
      </w:rPr>
      <w:tab/>
      <w:t xml:space="preserve"> מדינת ישראל נ' ליאור אלחסבאווי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6CCE"/>
    <w:rsid w:val="001E6C99"/>
    <w:rsid w:val="0030263B"/>
    <w:rsid w:val="003C6E25"/>
    <w:rsid w:val="003F0364"/>
    <w:rsid w:val="003F615F"/>
    <w:rsid w:val="006E3201"/>
    <w:rsid w:val="00846CCE"/>
    <w:rsid w:val="00B31D66"/>
    <w:rsid w:val="00EB1D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1374E9"/>
  <w15:chartTrackingRefBased/>
  <w15:docId w15:val="{11159820-061D-468E-9D3A-52B4A8AC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6CC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46CCE"/>
  </w:style>
  <w:style w:type="paragraph" w:styleId="a4">
    <w:name w:val="header"/>
    <w:basedOn w:val="a"/>
    <w:rsid w:val="00846CCE"/>
    <w:pPr>
      <w:tabs>
        <w:tab w:val="center" w:pos="4153"/>
        <w:tab w:val="right" w:pos="8306"/>
      </w:tabs>
    </w:pPr>
  </w:style>
  <w:style w:type="paragraph" w:styleId="a5">
    <w:name w:val="footer"/>
    <w:basedOn w:val="a"/>
    <w:rsid w:val="00846CCE"/>
    <w:pPr>
      <w:tabs>
        <w:tab w:val="center" w:pos="4153"/>
        <w:tab w:val="right" w:pos="8306"/>
      </w:tabs>
    </w:pPr>
  </w:style>
  <w:style w:type="character" w:styleId="a6">
    <w:name w:val="page number"/>
    <w:basedOn w:val="a0"/>
    <w:rsid w:val="00846CCE"/>
  </w:style>
  <w:style w:type="character" w:customStyle="1" w:styleId="TimesNewRomanTimesNewRoman">
    <w:name w:val="סגנון (לטיני) Times New Roman (עברית ושפות אחרות) Times New Roman..."/>
    <w:rsid w:val="00846CC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46CCE"/>
    <w:rPr>
      <w:rFonts w:ascii="Times New Roman" w:eastAsia="Times New Roman" w:hAnsi="Times New Roman"/>
      <w:b/>
      <w:bCs/>
      <w:u w:val="single"/>
    </w:rPr>
  </w:style>
  <w:style w:type="character" w:styleId="Hyperlink">
    <w:name w:val="Hyperlink"/>
    <w:basedOn w:val="a0"/>
    <w:rsid w:val="006E3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10"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c" TargetMode="External"/><Relationship Id="rId5" Type="http://schemas.openxmlformats.org/officeDocument/2006/relationships/endnotes" Target="endnotes.xml"/><Relationship Id="rId15" Type="http://schemas.openxmlformats.org/officeDocument/2006/relationships/hyperlink" Target="http://www.nevo.co.il/case/16951297" TargetMode="External"/><Relationship Id="rId23"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3145845</vt:i4>
      </vt:variant>
      <vt:variant>
        <vt:i4>27</vt:i4>
      </vt:variant>
      <vt:variant>
        <vt:i4>0</vt:i4>
      </vt:variant>
      <vt:variant>
        <vt:i4>5</vt:i4>
      </vt:variant>
      <vt:variant>
        <vt:lpwstr>http://www.nevo.co.il/case/16951297</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42458</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ליאור אלחסבאווי</vt:lpwstr>
  </property>
  <property fmtid="{D5CDD505-2E9C-101B-9397-08002B2CF9AE}" pid="10" name="LAWYER">
    <vt:lpwstr>מזור טפירו;ליסטר ניר</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20160117</vt:lpwstr>
  </property>
  <property fmtid="{D5CDD505-2E9C-101B-9397-08002B2CF9AE}" pid="14" name="TYPE_N_DATE">
    <vt:lpwstr>38020160117</vt:lpwstr>
  </property>
  <property fmtid="{D5CDD505-2E9C-101B-9397-08002B2CF9AE}" pid="15" name="CASESLISTTMP1">
    <vt:lpwstr>16951297</vt:lpwstr>
  </property>
  <property fmtid="{D5CDD505-2E9C-101B-9397-08002B2CF9AE}" pid="16" name="WORDNUMPAGES">
    <vt:lpwstr>2</vt:lpwstr>
  </property>
  <property fmtid="{D5CDD505-2E9C-101B-9397-08002B2CF9AE}" pid="17" name="TYPE_ABS_DATE">
    <vt:lpwstr>380020160117</vt:lpwstr>
  </property>
  <property fmtid="{D5CDD505-2E9C-101B-9397-08002B2CF9AE}" pid="18" name="ISABSTRACT">
    <vt:lpwstr>Y</vt:lpwstr>
  </property>
  <property fmtid="{D5CDD505-2E9C-101B-9397-08002B2CF9AE}" pid="19" name="LAWLISTTMP1">
    <vt:lpwstr>4216/007.a;007.c;010</vt:lpwstr>
  </property>
</Properties>
</file>