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62"/>
        <w:gridCol w:w="3659"/>
      </w:tblGrid>
      <w:tr w:rsidR="001D5653" w:rsidRPr="00310D45" w14:paraId="5E83569A" w14:textId="77777777">
        <w:trPr>
          <w:trHeight w:hRule="exact" w:val="418"/>
          <w:jc w:val="center"/>
        </w:trPr>
        <w:tc>
          <w:tcPr>
            <w:tcW w:w="8721" w:type="dxa"/>
            <w:gridSpan w:val="2"/>
          </w:tcPr>
          <w:p w14:paraId="4CA7DAD7" w14:textId="77777777" w:rsidR="001D5653" w:rsidRPr="00310D45" w:rsidRDefault="00310D45">
            <w:pPr>
              <w:pStyle w:val="a3"/>
              <w:jc w:val="center"/>
              <w:rPr>
                <w:rFonts w:ascii="Tahoma" w:hAnsi="Tahoma" w:cs="Tahoma"/>
                <w:color w:val="000080"/>
                <w:rtl/>
              </w:rPr>
            </w:pPr>
            <w:bookmarkStart w:id="0" w:name="LastJudge"/>
            <w:r w:rsidRPr="00310D45">
              <w:rPr>
                <w:rFonts w:ascii="Tahoma" w:hAnsi="Tahoma" w:cs="Tahoma"/>
                <w:b/>
                <w:bCs/>
                <w:color w:val="000080"/>
                <w:rtl/>
              </w:rPr>
              <w:t>בית משפט השלום בירושלים</w:t>
            </w:r>
          </w:p>
        </w:tc>
      </w:tr>
      <w:tr w:rsidR="001D5653" w:rsidRPr="00310D45" w14:paraId="338C5FE4" w14:textId="77777777">
        <w:trPr>
          <w:trHeight w:val="337"/>
          <w:jc w:val="center"/>
        </w:trPr>
        <w:tc>
          <w:tcPr>
            <w:tcW w:w="5062" w:type="dxa"/>
          </w:tcPr>
          <w:p w14:paraId="6F9E2C62" w14:textId="77777777" w:rsidR="001D5653" w:rsidRPr="00310D45" w:rsidRDefault="00310D45">
            <w:pPr>
              <w:rPr>
                <w:b/>
                <w:bCs/>
                <w:sz w:val="28"/>
                <w:szCs w:val="28"/>
                <w:rtl/>
              </w:rPr>
            </w:pPr>
            <w:r w:rsidRPr="00310D45">
              <w:rPr>
                <w:b/>
                <w:bCs/>
                <w:sz w:val="28"/>
                <w:szCs w:val="28"/>
                <w:rtl/>
              </w:rPr>
              <w:t>ת"פ</w:t>
            </w:r>
            <w:r w:rsidRPr="00310D45">
              <w:rPr>
                <w:rFonts w:hint="cs"/>
                <w:b/>
                <w:bCs/>
                <w:sz w:val="28"/>
                <w:szCs w:val="28"/>
                <w:rtl/>
              </w:rPr>
              <w:t xml:space="preserve"> </w:t>
            </w:r>
            <w:r w:rsidRPr="00310D45">
              <w:rPr>
                <w:b/>
                <w:bCs/>
                <w:sz w:val="28"/>
                <w:szCs w:val="28"/>
                <w:rtl/>
              </w:rPr>
              <w:t>520-05-14</w:t>
            </w:r>
            <w:r w:rsidRPr="00310D45">
              <w:rPr>
                <w:rFonts w:hint="cs"/>
                <w:b/>
                <w:bCs/>
                <w:sz w:val="28"/>
                <w:szCs w:val="28"/>
                <w:rtl/>
              </w:rPr>
              <w:t xml:space="preserve"> </w:t>
            </w:r>
            <w:r w:rsidRPr="00310D45">
              <w:rPr>
                <w:b/>
                <w:bCs/>
                <w:sz w:val="28"/>
                <w:szCs w:val="28"/>
                <w:rtl/>
              </w:rPr>
              <w:t>מדינת ישראל נ' אמברבר(עציר) ואח'</w:t>
            </w:r>
          </w:p>
          <w:p w14:paraId="22198EA9" w14:textId="77777777" w:rsidR="001D5653" w:rsidRPr="00310D45" w:rsidRDefault="001D5653">
            <w:pPr>
              <w:pStyle w:val="a3"/>
              <w:rPr>
                <w:b/>
                <w:bCs/>
                <w:sz w:val="28"/>
                <w:szCs w:val="28"/>
                <w:rtl/>
              </w:rPr>
            </w:pPr>
          </w:p>
        </w:tc>
        <w:tc>
          <w:tcPr>
            <w:tcW w:w="3659" w:type="dxa"/>
          </w:tcPr>
          <w:p w14:paraId="4982A1F7" w14:textId="77777777" w:rsidR="001D5653" w:rsidRPr="00310D45" w:rsidRDefault="001D5653">
            <w:pPr>
              <w:pStyle w:val="a3"/>
              <w:jc w:val="right"/>
              <w:rPr>
                <w:b/>
                <w:bCs/>
                <w:sz w:val="28"/>
                <w:szCs w:val="28"/>
                <w:rtl/>
              </w:rPr>
            </w:pPr>
          </w:p>
        </w:tc>
      </w:tr>
    </w:tbl>
    <w:p w14:paraId="2B477B88" w14:textId="77777777" w:rsidR="001D5653" w:rsidRPr="00310D45" w:rsidRDefault="00310D45">
      <w:pPr>
        <w:pStyle w:val="a3"/>
        <w:rPr>
          <w:rtl/>
        </w:rPr>
      </w:pPr>
      <w:r w:rsidRPr="00310D45">
        <w:rPr>
          <w:rFonts w:hint="cs"/>
          <w:rtl/>
        </w:rPr>
        <w:t xml:space="preserve"> </w:t>
      </w:r>
    </w:p>
    <w:p w14:paraId="705AD1BE" w14:textId="77777777" w:rsidR="001D5653" w:rsidRPr="00310D45" w:rsidRDefault="001D5653">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49"/>
        <w:gridCol w:w="4056"/>
        <w:gridCol w:w="3715"/>
      </w:tblGrid>
      <w:tr w:rsidR="001D5653" w:rsidRPr="00310D45" w14:paraId="640BEF20" w14:textId="77777777">
        <w:trPr>
          <w:trHeight w:val="295"/>
          <w:jc w:val="center"/>
        </w:trPr>
        <w:tc>
          <w:tcPr>
            <w:tcW w:w="923" w:type="dxa"/>
            <w:tcBorders>
              <w:top w:val="nil"/>
              <w:left w:val="nil"/>
              <w:bottom w:val="nil"/>
              <w:right w:val="nil"/>
            </w:tcBorders>
          </w:tcPr>
          <w:p w14:paraId="672D4ED9" w14:textId="77777777" w:rsidR="001D5653" w:rsidRPr="00310D45" w:rsidRDefault="00310D45">
            <w:pPr>
              <w:jc w:val="both"/>
              <w:rPr>
                <w:rFonts w:ascii="Arial" w:hAnsi="Arial"/>
                <w:b/>
                <w:bCs/>
                <w:sz w:val="32"/>
                <w:szCs w:val="32"/>
              </w:rPr>
            </w:pPr>
            <w:r w:rsidRPr="00310D45">
              <w:rPr>
                <w:rFonts w:ascii="Arial" w:hAnsi="Arial" w:hint="cs"/>
                <w:b/>
                <w:bCs/>
                <w:sz w:val="32"/>
                <w:szCs w:val="32"/>
                <w:rtl/>
              </w:rPr>
              <w:t>ב</w:t>
            </w:r>
            <w:r w:rsidRPr="00310D45">
              <w:rPr>
                <w:rFonts w:ascii="Arial" w:hAnsi="Arial"/>
                <w:b/>
                <w:bCs/>
                <w:sz w:val="32"/>
                <w:szCs w:val="32"/>
                <w:rtl/>
              </w:rPr>
              <w:t xml:space="preserve">פני </w:t>
            </w:r>
          </w:p>
        </w:tc>
        <w:tc>
          <w:tcPr>
            <w:tcW w:w="7897" w:type="dxa"/>
            <w:gridSpan w:val="2"/>
            <w:tcBorders>
              <w:top w:val="nil"/>
              <w:left w:val="nil"/>
              <w:bottom w:val="nil"/>
              <w:right w:val="nil"/>
            </w:tcBorders>
          </w:tcPr>
          <w:p w14:paraId="5036B92B" w14:textId="77777777" w:rsidR="001D5653" w:rsidRPr="00310D45" w:rsidRDefault="00310D45">
            <w:pPr>
              <w:rPr>
                <w:rFonts w:ascii="Arial" w:hAnsi="Arial"/>
                <w:b/>
                <w:bCs/>
                <w:sz w:val="28"/>
                <w:szCs w:val="28"/>
                <w:rtl/>
              </w:rPr>
            </w:pPr>
            <w:r w:rsidRPr="00310D45">
              <w:rPr>
                <w:rFonts w:ascii="Arial" w:hAnsi="Arial" w:hint="cs"/>
                <w:b/>
                <w:bCs/>
                <w:sz w:val="28"/>
                <w:szCs w:val="28"/>
                <w:rtl/>
              </w:rPr>
              <w:t>כב' ה</w:t>
            </w:r>
            <w:r w:rsidRPr="00310D45">
              <w:rPr>
                <w:rFonts w:hint="cs"/>
                <w:b/>
                <w:bCs/>
                <w:sz w:val="28"/>
                <w:szCs w:val="28"/>
                <w:rtl/>
              </w:rPr>
              <w:t>שופט</w:t>
            </w:r>
            <w:r w:rsidRPr="00310D45">
              <w:rPr>
                <w:rFonts w:ascii="Arial" w:hAnsi="Arial" w:hint="cs"/>
                <w:b/>
                <w:bCs/>
                <w:sz w:val="28"/>
                <w:szCs w:val="28"/>
                <w:rtl/>
              </w:rPr>
              <w:t xml:space="preserve">  </w:t>
            </w:r>
            <w:r w:rsidRPr="00310D45">
              <w:rPr>
                <w:rFonts w:hint="cs"/>
                <w:b/>
                <w:bCs/>
                <w:sz w:val="28"/>
                <w:szCs w:val="28"/>
                <w:rtl/>
              </w:rPr>
              <w:t>אביטל חן</w:t>
            </w:r>
          </w:p>
          <w:p w14:paraId="5E6A7465" w14:textId="77777777" w:rsidR="001D5653" w:rsidRPr="00310D45" w:rsidRDefault="001D5653">
            <w:pPr>
              <w:rPr>
                <w:b/>
                <w:bCs/>
                <w:sz w:val="28"/>
                <w:szCs w:val="28"/>
                <w:rtl/>
              </w:rPr>
            </w:pPr>
          </w:p>
          <w:p w14:paraId="3500355D" w14:textId="77777777" w:rsidR="001D5653" w:rsidRPr="00310D45" w:rsidRDefault="001D5653">
            <w:pPr>
              <w:jc w:val="both"/>
              <w:rPr>
                <w:rFonts w:ascii="Arial" w:hAnsi="Arial"/>
                <w:b/>
                <w:bCs/>
                <w:sz w:val="32"/>
                <w:szCs w:val="32"/>
              </w:rPr>
            </w:pPr>
          </w:p>
        </w:tc>
      </w:tr>
      <w:tr w:rsidR="001D5653" w:rsidRPr="00310D45" w14:paraId="49DA9AE7" w14:textId="77777777">
        <w:trPr>
          <w:trHeight w:val="355"/>
          <w:jc w:val="center"/>
        </w:trPr>
        <w:tc>
          <w:tcPr>
            <w:tcW w:w="923" w:type="dxa"/>
            <w:tcBorders>
              <w:top w:val="nil"/>
              <w:left w:val="nil"/>
              <w:bottom w:val="nil"/>
              <w:right w:val="nil"/>
            </w:tcBorders>
          </w:tcPr>
          <w:p w14:paraId="38E17D43" w14:textId="77777777" w:rsidR="001D5653" w:rsidRPr="00310D45" w:rsidRDefault="00310D45">
            <w:pPr>
              <w:jc w:val="both"/>
              <w:rPr>
                <w:rFonts w:ascii="Arial" w:hAnsi="Arial"/>
                <w:b/>
                <w:bCs/>
                <w:sz w:val="32"/>
                <w:szCs w:val="32"/>
              </w:rPr>
            </w:pPr>
            <w:bookmarkStart w:id="1" w:name="FirstAppellant"/>
            <w:r w:rsidRPr="00310D45">
              <w:rPr>
                <w:rFonts w:ascii="Arial" w:hAnsi="Arial" w:hint="cs"/>
                <w:b/>
                <w:bCs/>
                <w:sz w:val="32"/>
                <w:szCs w:val="32"/>
                <w:rtl/>
              </w:rPr>
              <w:t>בעניין:</w:t>
            </w:r>
          </w:p>
        </w:tc>
        <w:tc>
          <w:tcPr>
            <w:tcW w:w="4126" w:type="dxa"/>
            <w:tcBorders>
              <w:top w:val="nil"/>
              <w:left w:val="nil"/>
              <w:bottom w:val="nil"/>
              <w:right w:val="nil"/>
            </w:tcBorders>
          </w:tcPr>
          <w:p w14:paraId="3D8F36A0" w14:textId="77777777" w:rsidR="001D5653" w:rsidRPr="00310D45" w:rsidRDefault="00310D45">
            <w:pPr>
              <w:rPr>
                <w:b/>
                <w:bCs/>
                <w:sz w:val="28"/>
                <w:szCs w:val="28"/>
              </w:rPr>
            </w:pPr>
            <w:r w:rsidRPr="00310D45">
              <w:rPr>
                <w:rFonts w:hint="cs"/>
                <w:b/>
                <w:bCs/>
                <w:sz w:val="28"/>
                <w:szCs w:val="28"/>
                <w:rtl/>
              </w:rPr>
              <w:t>מדינת ישראל</w:t>
            </w:r>
          </w:p>
        </w:tc>
        <w:tc>
          <w:tcPr>
            <w:tcW w:w="3771" w:type="dxa"/>
            <w:tcBorders>
              <w:top w:val="nil"/>
              <w:left w:val="nil"/>
              <w:bottom w:val="nil"/>
              <w:right w:val="nil"/>
            </w:tcBorders>
          </w:tcPr>
          <w:p w14:paraId="3A2F764F" w14:textId="77777777" w:rsidR="001D5653" w:rsidRPr="00310D45" w:rsidRDefault="001D5653">
            <w:pPr>
              <w:jc w:val="both"/>
              <w:rPr>
                <w:rFonts w:ascii="Arial" w:hAnsi="Arial"/>
                <w:b/>
                <w:bCs/>
                <w:sz w:val="32"/>
                <w:szCs w:val="32"/>
              </w:rPr>
            </w:pPr>
          </w:p>
        </w:tc>
      </w:tr>
      <w:bookmarkEnd w:id="1"/>
      <w:tr w:rsidR="001D5653" w:rsidRPr="00310D45" w14:paraId="2707033F" w14:textId="77777777">
        <w:trPr>
          <w:trHeight w:val="355"/>
          <w:jc w:val="center"/>
        </w:trPr>
        <w:tc>
          <w:tcPr>
            <w:tcW w:w="923" w:type="dxa"/>
            <w:tcBorders>
              <w:top w:val="nil"/>
              <w:left w:val="nil"/>
              <w:bottom w:val="nil"/>
              <w:right w:val="nil"/>
            </w:tcBorders>
          </w:tcPr>
          <w:p w14:paraId="62756077" w14:textId="77777777" w:rsidR="001D5653" w:rsidRPr="00310D45" w:rsidRDefault="001D5653">
            <w:pPr>
              <w:jc w:val="both"/>
              <w:rPr>
                <w:rFonts w:ascii="Arial" w:hAnsi="Arial"/>
                <w:b/>
                <w:bCs/>
                <w:sz w:val="32"/>
                <w:szCs w:val="32"/>
                <w:rtl/>
              </w:rPr>
            </w:pPr>
          </w:p>
        </w:tc>
        <w:tc>
          <w:tcPr>
            <w:tcW w:w="4126" w:type="dxa"/>
            <w:tcBorders>
              <w:top w:val="nil"/>
              <w:left w:val="nil"/>
              <w:bottom w:val="nil"/>
              <w:right w:val="nil"/>
            </w:tcBorders>
          </w:tcPr>
          <w:p w14:paraId="4C02992F" w14:textId="77777777" w:rsidR="001D5653" w:rsidRPr="00310D45" w:rsidRDefault="001D5653">
            <w:pPr>
              <w:jc w:val="both"/>
              <w:rPr>
                <w:b/>
                <w:bCs/>
                <w:sz w:val="28"/>
                <w:szCs w:val="28"/>
                <w:rtl/>
              </w:rPr>
            </w:pPr>
          </w:p>
        </w:tc>
        <w:tc>
          <w:tcPr>
            <w:tcW w:w="3771" w:type="dxa"/>
            <w:tcBorders>
              <w:top w:val="nil"/>
              <w:left w:val="nil"/>
              <w:bottom w:val="nil"/>
              <w:right w:val="nil"/>
            </w:tcBorders>
          </w:tcPr>
          <w:p w14:paraId="1ABB85C1" w14:textId="77777777" w:rsidR="001D5653" w:rsidRPr="00310D45" w:rsidRDefault="00310D45">
            <w:pPr>
              <w:jc w:val="right"/>
              <w:rPr>
                <w:rFonts w:ascii="Arial" w:hAnsi="Arial"/>
                <w:b/>
                <w:bCs/>
                <w:sz w:val="32"/>
                <w:szCs w:val="32"/>
                <w:rtl/>
              </w:rPr>
            </w:pPr>
            <w:r w:rsidRPr="00310D45">
              <w:rPr>
                <w:rFonts w:ascii="Arial" w:hAnsi="Arial" w:hint="cs"/>
                <w:b/>
                <w:bCs/>
                <w:sz w:val="32"/>
                <w:szCs w:val="32"/>
                <w:rtl/>
              </w:rPr>
              <w:t>ה</w:t>
            </w:r>
            <w:r w:rsidRPr="00310D45">
              <w:rPr>
                <w:rFonts w:hint="cs"/>
                <w:b/>
                <w:bCs/>
                <w:sz w:val="28"/>
                <w:szCs w:val="28"/>
                <w:rtl/>
              </w:rPr>
              <w:t>מאשימה</w:t>
            </w:r>
          </w:p>
        </w:tc>
      </w:tr>
      <w:tr w:rsidR="001D5653" w:rsidRPr="00310D45" w14:paraId="6090A880" w14:textId="77777777">
        <w:trPr>
          <w:trHeight w:val="355"/>
          <w:jc w:val="center"/>
        </w:trPr>
        <w:tc>
          <w:tcPr>
            <w:tcW w:w="923" w:type="dxa"/>
            <w:tcBorders>
              <w:top w:val="nil"/>
              <w:left w:val="nil"/>
              <w:bottom w:val="nil"/>
              <w:right w:val="nil"/>
            </w:tcBorders>
          </w:tcPr>
          <w:p w14:paraId="53146253" w14:textId="77777777" w:rsidR="001D5653" w:rsidRPr="00310D45" w:rsidRDefault="001D5653">
            <w:pPr>
              <w:jc w:val="both"/>
              <w:rPr>
                <w:rFonts w:ascii="Arial" w:hAnsi="Arial"/>
                <w:b/>
                <w:bCs/>
                <w:sz w:val="32"/>
                <w:szCs w:val="32"/>
                <w:rtl/>
              </w:rPr>
            </w:pPr>
          </w:p>
        </w:tc>
        <w:tc>
          <w:tcPr>
            <w:tcW w:w="7897" w:type="dxa"/>
            <w:gridSpan w:val="2"/>
            <w:tcBorders>
              <w:top w:val="nil"/>
              <w:left w:val="nil"/>
              <w:bottom w:val="nil"/>
              <w:right w:val="nil"/>
            </w:tcBorders>
          </w:tcPr>
          <w:p w14:paraId="500CED35" w14:textId="77777777" w:rsidR="001D5653" w:rsidRPr="00310D45" w:rsidRDefault="001D5653">
            <w:pPr>
              <w:jc w:val="center"/>
              <w:rPr>
                <w:rFonts w:ascii="Arial" w:hAnsi="Arial"/>
                <w:b/>
                <w:bCs/>
                <w:sz w:val="32"/>
                <w:szCs w:val="32"/>
                <w:rtl/>
              </w:rPr>
            </w:pPr>
          </w:p>
          <w:p w14:paraId="1AF4E90A" w14:textId="77777777" w:rsidR="001D5653" w:rsidRPr="00310D45" w:rsidRDefault="00310D45">
            <w:pPr>
              <w:jc w:val="center"/>
              <w:rPr>
                <w:rFonts w:ascii="Arial" w:hAnsi="Arial"/>
                <w:b/>
                <w:bCs/>
                <w:sz w:val="32"/>
                <w:szCs w:val="32"/>
                <w:rtl/>
              </w:rPr>
            </w:pPr>
            <w:r w:rsidRPr="00310D45">
              <w:rPr>
                <w:rFonts w:ascii="Arial" w:hAnsi="Arial"/>
                <w:b/>
                <w:bCs/>
                <w:sz w:val="32"/>
                <w:szCs w:val="32"/>
                <w:rtl/>
              </w:rPr>
              <w:t>נגד</w:t>
            </w:r>
          </w:p>
          <w:p w14:paraId="409CF5DB" w14:textId="77777777" w:rsidR="001D5653" w:rsidRPr="00310D45" w:rsidRDefault="001D5653">
            <w:pPr>
              <w:jc w:val="both"/>
              <w:rPr>
                <w:rFonts w:ascii="Arial" w:hAnsi="Arial"/>
                <w:b/>
                <w:bCs/>
                <w:sz w:val="32"/>
                <w:szCs w:val="32"/>
              </w:rPr>
            </w:pPr>
          </w:p>
        </w:tc>
      </w:tr>
      <w:tr w:rsidR="001D5653" w:rsidRPr="00310D45" w14:paraId="6074E05F" w14:textId="77777777">
        <w:trPr>
          <w:trHeight w:val="355"/>
          <w:jc w:val="center"/>
        </w:trPr>
        <w:tc>
          <w:tcPr>
            <w:tcW w:w="923" w:type="dxa"/>
            <w:tcBorders>
              <w:top w:val="nil"/>
              <w:left w:val="nil"/>
              <w:bottom w:val="nil"/>
              <w:right w:val="nil"/>
            </w:tcBorders>
          </w:tcPr>
          <w:p w14:paraId="289D1D74" w14:textId="77777777" w:rsidR="001D5653" w:rsidRPr="00310D45" w:rsidRDefault="001D5653">
            <w:pPr>
              <w:rPr>
                <w:rFonts w:ascii="Arial" w:hAnsi="Arial"/>
                <w:b/>
                <w:bCs/>
                <w:sz w:val="32"/>
                <w:szCs w:val="32"/>
                <w:rtl/>
              </w:rPr>
            </w:pPr>
          </w:p>
        </w:tc>
        <w:tc>
          <w:tcPr>
            <w:tcW w:w="4126" w:type="dxa"/>
            <w:tcBorders>
              <w:top w:val="nil"/>
              <w:left w:val="nil"/>
              <w:bottom w:val="nil"/>
              <w:right w:val="nil"/>
            </w:tcBorders>
          </w:tcPr>
          <w:p w14:paraId="2E7FB4A6" w14:textId="77777777" w:rsidR="001D5653" w:rsidRPr="00310D45" w:rsidRDefault="00310D45">
            <w:pPr>
              <w:rPr>
                <w:b/>
                <w:bCs/>
                <w:sz w:val="28"/>
                <w:szCs w:val="28"/>
                <w:rtl/>
              </w:rPr>
            </w:pPr>
            <w:bookmarkStart w:id="2" w:name="_GoBack"/>
            <w:bookmarkEnd w:id="2"/>
            <w:r w:rsidRPr="00310D45">
              <w:rPr>
                <w:rFonts w:hint="cs"/>
                <w:b/>
                <w:bCs/>
                <w:sz w:val="28"/>
                <w:szCs w:val="28"/>
                <w:rtl/>
              </w:rPr>
              <w:t>שמוליק (שמואל )  מולונה אמברבר (עציר)</w:t>
            </w:r>
          </w:p>
          <w:p w14:paraId="7441FF0C" w14:textId="77777777" w:rsidR="001D5653" w:rsidRPr="00310D45" w:rsidRDefault="00310D45">
            <w:pPr>
              <w:rPr>
                <w:b/>
                <w:bCs/>
                <w:sz w:val="28"/>
                <w:szCs w:val="28"/>
                <w:rtl/>
              </w:rPr>
            </w:pPr>
            <w:r w:rsidRPr="00310D45">
              <w:rPr>
                <w:b/>
                <w:bCs/>
                <w:sz w:val="28"/>
                <w:szCs w:val="28"/>
                <w:rtl/>
              </w:rPr>
              <w:t xml:space="preserve">     </w:t>
            </w:r>
          </w:p>
        </w:tc>
        <w:tc>
          <w:tcPr>
            <w:tcW w:w="3771" w:type="dxa"/>
            <w:tcBorders>
              <w:top w:val="nil"/>
              <w:left w:val="nil"/>
              <w:bottom w:val="nil"/>
              <w:right w:val="nil"/>
            </w:tcBorders>
          </w:tcPr>
          <w:p w14:paraId="22E258C9" w14:textId="77777777" w:rsidR="001D5653" w:rsidRPr="00310D45" w:rsidRDefault="001D5653">
            <w:pPr>
              <w:jc w:val="right"/>
              <w:rPr>
                <w:rFonts w:ascii="Arial" w:hAnsi="Arial"/>
                <w:b/>
                <w:bCs/>
                <w:sz w:val="32"/>
                <w:szCs w:val="32"/>
              </w:rPr>
            </w:pPr>
          </w:p>
        </w:tc>
      </w:tr>
      <w:tr w:rsidR="001D5653" w:rsidRPr="00310D45" w14:paraId="63FF40FF" w14:textId="77777777">
        <w:trPr>
          <w:trHeight w:val="355"/>
          <w:jc w:val="center"/>
        </w:trPr>
        <w:tc>
          <w:tcPr>
            <w:tcW w:w="923" w:type="dxa"/>
            <w:tcBorders>
              <w:top w:val="nil"/>
              <w:left w:val="nil"/>
              <w:bottom w:val="nil"/>
              <w:right w:val="nil"/>
            </w:tcBorders>
          </w:tcPr>
          <w:p w14:paraId="7ED0960B" w14:textId="77777777" w:rsidR="001D5653" w:rsidRPr="00310D45" w:rsidRDefault="001D5653">
            <w:pPr>
              <w:jc w:val="both"/>
              <w:rPr>
                <w:rFonts w:ascii="Arial" w:hAnsi="Arial"/>
                <w:b/>
                <w:bCs/>
                <w:sz w:val="32"/>
                <w:szCs w:val="32"/>
                <w:rtl/>
              </w:rPr>
            </w:pPr>
          </w:p>
        </w:tc>
        <w:tc>
          <w:tcPr>
            <w:tcW w:w="4126" w:type="dxa"/>
            <w:tcBorders>
              <w:top w:val="nil"/>
              <w:left w:val="nil"/>
              <w:bottom w:val="nil"/>
              <w:right w:val="nil"/>
            </w:tcBorders>
          </w:tcPr>
          <w:p w14:paraId="231915AA" w14:textId="77777777" w:rsidR="001D5653" w:rsidRPr="00310D45" w:rsidRDefault="001D5653">
            <w:pPr>
              <w:jc w:val="both"/>
              <w:rPr>
                <w:b/>
                <w:bCs/>
                <w:sz w:val="28"/>
                <w:szCs w:val="28"/>
                <w:rtl/>
              </w:rPr>
            </w:pPr>
          </w:p>
        </w:tc>
        <w:tc>
          <w:tcPr>
            <w:tcW w:w="3771" w:type="dxa"/>
            <w:tcBorders>
              <w:top w:val="nil"/>
              <w:left w:val="nil"/>
              <w:bottom w:val="nil"/>
              <w:right w:val="nil"/>
            </w:tcBorders>
          </w:tcPr>
          <w:p w14:paraId="1460E35E" w14:textId="77777777" w:rsidR="001D5653" w:rsidRPr="00310D45" w:rsidRDefault="00310D45">
            <w:pPr>
              <w:jc w:val="right"/>
              <w:rPr>
                <w:rFonts w:ascii="Arial" w:hAnsi="Arial"/>
                <w:b/>
                <w:bCs/>
                <w:sz w:val="32"/>
                <w:szCs w:val="32"/>
              </w:rPr>
            </w:pPr>
            <w:r w:rsidRPr="00310D45">
              <w:rPr>
                <w:rFonts w:ascii="Arial" w:hAnsi="Arial" w:hint="cs"/>
                <w:b/>
                <w:bCs/>
                <w:sz w:val="32"/>
                <w:szCs w:val="32"/>
                <w:rtl/>
              </w:rPr>
              <w:t>ה</w:t>
            </w:r>
            <w:r w:rsidRPr="00310D45">
              <w:rPr>
                <w:rFonts w:hint="cs"/>
                <w:b/>
                <w:bCs/>
                <w:sz w:val="28"/>
                <w:szCs w:val="28"/>
                <w:rtl/>
              </w:rPr>
              <w:t>נאשמים</w:t>
            </w:r>
          </w:p>
        </w:tc>
      </w:tr>
    </w:tbl>
    <w:p w14:paraId="526D6B26" w14:textId="77777777" w:rsidR="00B836DC" w:rsidRDefault="00B836DC">
      <w:pPr>
        <w:rPr>
          <w:sz w:val="28"/>
          <w:szCs w:val="28"/>
          <w:rtl/>
        </w:rPr>
      </w:pPr>
      <w:bookmarkStart w:id="3" w:name="LawTable"/>
      <w:bookmarkEnd w:id="3"/>
    </w:p>
    <w:p w14:paraId="4AB47BF4" w14:textId="77777777" w:rsidR="00B836DC" w:rsidRPr="00B836DC" w:rsidRDefault="00B836DC" w:rsidP="00B836DC">
      <w:pPr>
        <w:spacing w:after="120" w:line="240" w:lineRule="exact"/>
        <w:ind w:left="283" w:hanging="283"/>
        <w:jc w:val="both"/>
        <w:rPr>
          <w:rFonts w:ascii="FrankRuehl" w:hAnsi="FrankRuehl" w:cs="FrankRuehl"/>
          <w:rtl/>
        </w:rPr>
      </w:pPr>
    </w:p>
    <w:p w14:paraId="09040FBE" w14:textId="77777777" w:rsidR="00B836DC" w:rsidRPr="00B836DC" w:rsidRDefault="00B836DC" w:rsidP="00B836DC">
      <w:pPr>
        <w:spacing w:after="120" w:line="240" w:lineRule="exact"/>
        <w:ind w:left="283" w:hanging="283"/>
        <w:jc w:val="both"/>
        <w:rPr>
          <w:rFonts w:ascii="FrankRuehl" w:hAnsi="FrankRuehl" w:cs="FrankRuehl"/>
          <w:rtl/>
        </w:rPr>
      </w:pPr>
      <w:r w:rsidRPr="00B836DC">
        <w:rPr>
          <w:rFonts w:ascii="FrankRuehl" w:hAnsi="FrankRuehl" w:cs="FrankRuehl"/>
          <w:rtl/>
        </w:rPr>
        <w:t xml:space="preserve">חקיקה שאוזכרה: </w:t>
      </w:r>
    </w:p>
    <w:p w14:paraId="7BDCA62A" w14:textId="77777777" w:rsidR="00B836DC" w:rsidRPr="00B836DC" w:rsidRDefault="00B836DC" w:rsidP="00B836DC">
      <w:pPr>
        <w:spacing w:after="120" w:line="240" w:lineRule="exact"/>
        <w:ind w:left="283" w:hanging="283"/>
        <w:jc w:val="both"/>
        <w:rPr>
          <w:rFonts w:ascii="FrankRuehl" w:hAnsi="FrankRuehl" w:cs="FrankRuehl"/>
          <w:rtl/>
        </w:rPr>
      </w:pPr>
      <w:hyperlink r:id="rId6" w:history="1">
        <w:r w:rsidRPr="00B836DC">
          <w:rPr>
            <w:rFonts w:ascii="FrankRuehl" w:hAnsi="FrankRuehl" w:cs="FrankRuehl"/>
            <w:color w:val="0000FF"/>
            <w:u w:val="single"/>
            <w:rtl/>
          </w:rPr>
          <w:t>חוק העונשין, תשל"ז-1977</w:t>
        </w:r>
      </w:hyperlink>
      <w:r w:rsidRPr="00B836DC">
        <w:rPr>
          <w:rFonts w:ascii="FrankRuehl" w:hAnsi="FrankRuehl" w:cs="FrankRuehl"/>
          <w:rtl/>
        </w:rPr>
        <w:t xml:space="preserve">: סע'  </w:t>
      </w:r>
      <w:hyperlink r:id="rId7" w:history="1">
        <w:r w:rsidRPr="00B836DC">
          <w:rPr>
            <w:rFonts w:ascii="FrankRuehl" w:hAnsi="FrankRuehl" w:cs="FrankRuehl"/>
            <w:color w:val="0000FF"/>
            <w:u w:val="single"/>
            <w:rtl/>
          </w:rPr>
          <w:t>40 ג(א)</w:t>
        </w:r>
      </w:hyperlink>
      <w:r w:rsidRPr="00B836DC">
        <w:rPr>
          <w:rFonts w:ascii="FrankRuehl" w:hAnsi="FrankRuehl" w:cs="FrankRuehl"/>
          <w:rtl/>
        </w:rPr>
        <w:t xml:space="preserve">, </w:t>
      </w:r>
      <w:hyperlink r:id="rId8" w:history="1">
        <w:r w:rsidRPr="00B836DC">
          <w:rPr>
            <w:rFonts w:ascii="FrankRuehl" w:hAnsi="FrankRuehl" w:cs="FrankRuehl"/>
            <w:color w:val="0000FF"/>
            <w:u w:val="single"/>
            <w:rtl/>
          </w:rPr>
          <w:t>40 יג'</w:t>
        </w:r>
      </w:hyperlink>
    </w:p>
    <w:p w14:paraId="5ADF97A9" w14:textId="77777777" w:rsidR="00B836DC" w:rsidRPr="00B836DC" w:rsidRDefault="00B836DC" w:rsidP="00B836DC">
      <w:pPr>
        <w:spacing w:after="120" w:line="240" w:lineRule="exact"/>
        <w:ind w:left="283" w:hanging="283"/>
        <w:jc w:val="both"/>
        <w:rPr>
          <w:rFonts w:ascii="FrankRuehl" w:hAnsi="FrankRuehl" w:cs="FrankRuehl"/>
          <w:rtl/>
        </w:rPr>
      </w:pPr>
      <w:hyperlink r:id="rId9" w:history="1">
        <w:r w:rsidRPr="00B836DC">
          <w:rPr>
            <w:rFonts w:ascii="FrankRuehl" w:hAnsi="FrankRuehl" w:cs="FrankRuehl"/>
            <w:color w:val="0000FF"/>
            <w:u w:val="single"/>
            <w:rtl/>
          </w:rPr>
          <w:t>פקודת הסמים המסוכנים [נוסח חדש], תשל"ג-1973</w:t>
        </w:r>
      </w:hyperlink>
    </w:p>
    <w:p w14:paraId="4ECA18B8" w14:textId="77777777" w:rsidR="00B836DC" w:rsidRPr="00B836DC" w:rsidRDefault="00B836DC" w:rsidP="00B836DC">
      <w:pPr>
        <w:spacing w:after="120" w:line="240" w:lineRule="exact"/>
        <w:ind w:left="283" w:hanging="283"/>
        <w:jc w:val="both"/>
        <w:rPr>
          <w:rFonts w:ascii="FrankRuehl" w:hAnsi="FrankRuehl" w:cs="FrankRueh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1D5653" w14:paraId="25973162" w14:textId="77777777">
        <w:trPr>
          <w:trHeight w:val="355"/>
          <w:jc w:val="center"/>
        </w:trPr>
        <w:tc>
          <w:tcPr>
            <w:tcW w:w="8820" w:type="dxa"/>
            <w:tcBorders>
              <w:top w:val="nil"/>
              <w:left w:val="nil"/>
              <w:bottom w:val="nil"/>
              <w:right w:val="nil"/>
            </w:tcBorders>
          </w:tcPr>
          <w:p w14:paraId="3A231B05" w14:textId="77777777" w:rsidR="00310D45" w:rsidRPr="00310D45" w:rsidRDefault="00310D45" w:rsidP="00310D45">
            <w:pPr>
              <w:jc w:val="center"/>
              <w:rPr>
                <w:rFonts w:ascii="Arial" w:hAnsi="Arial"/>
                <w:b/>
                <w:bCs/>
                <w:sz w:val="36"/>
                <w:szCs w:val="36"/>
                <w:u w:val="single"/>
                <w:rtl/>
              </w:rPr>
            </w:pPr>
            <w:bookmarkStart w:id="4" w:name="LawTable_End"/>
            <w:bookmarkStart w:id="5" w:name="PsakDin" w:colFirst="0" w:colLast="0"/>
            <w:bookmarkEnd w:id="0"/>
            <w:bookmarkEnd w:id="4"/>
            <w:r w:rsidRPr="00310D45">
              <w:rPr>
                <w:rFonts w:ascii="Arial" w:hAnsi="Arial"/>
                <w:b/>
                <w:bCs/>
                <w:sz w:val="36"/>
                <w:szCs w:val="36"/>
                <w:u w:val="single"/>
                <w:rtl/>
              </w:rPr>
              <w:t>גזר דין</w:t>
            </w:r>
          </w:p>
          <w:p w14:paraId="6FD04FED" w14:textId="77777777" w:rsidR="001D5653" w:rsidRPr="00310D45" w:rsidRDefault="001D5653" w:rsidP="00310D45">
            <w:pPr>
              <w:jc w:val="center"/>
              <w:rPr>
                <w:rFonts w:ascii="Arial" w:hAnsi="Arial"/>
                <w:b/>
                <w:bCs/>
                <w:sz w:val="36"/>
                <w:szCs w:val="36"/>
                <w:u w:val="single"/>
                <w:rtl/>
              </w:rPr>
            </w:pPr>
          </w:p>
        </w:tc>
      </w:tr>
      <w:bookmarkEnd w:id="5"/>
    </w:tbl>
    <w:p w14:paraId="344E40DD" w14:textId="77777777" w:rsidR="001D5653" w:rsidRDefault="001D5653">
      <w:pPr>
        <w:rPr>
          <w:rFonts w:ascii="Arial" w:hAnsi="Arial"/>
          <w:b/>
          <w:bCs/>
          <w:sz w:val="28"/>
          <w:szCs w:val="28"/>
          <w:rtl/>
        </w:rPr>
      </w:pPr>
    </w:p>
    <w:p w14:paraId="391B23F8" w14:textId="77777777" w:rsidR="001D5653" w:rsidRDefault="001D5653">
      <w:pPr>
        <w:rPr>
          <w:rFonts w:ascii="Arial" w:hAnsi="Arial"/>
          <w:b/>
          <w:bCs/>
          <w:sz w:val="28"/>
          <w:szCs w:val="28"/>
          <w:rtl/>
        </w:rPr>
      </w:pPr>
    </w:p>
    <w:p w14:paraId="613FB815" w14:textId="77777777" w:rsidR="001D5653" w:rsidRDefault="00310D45">
      <w:pPr>
        <w:spacing w:line="360" w:lineRule="auto"/>
        <w:jc w:val="both"/>
        <w:rPr>
          <w:sz w:val="26"/>
          <w:szCs w:val="26"/>
        </w:rPr>
      </w:pPr>
      <w:bookmarkStart w:id="6" w:name="ABSTRACT_START"/>
      <w:bookmarkEnd w:id="6"/>
      <w:r>
        <w:rPr>
          <w:rFonts w:hint="cs"/>
          <w:sz w:val="26"/>
          <w:szCs w:val="26"/>
          <w:rtl/>
        </w:rPr>
        <w:t>הנאשם הורשע בהתאם להודאתו בביצוע 3 עבירות סחר בסם.</w:t>
      </w:r>
    </w:p>
    <w:p w14:paraId="6485F969" w14:textId="77777777" w:rsidR="001D5653" w:rsidRDefault="001D5653">
      <w:pPr>
        <w:spacing w:line="360" w:lineRule="auto"/>
        <w:jc w:val="both"/>
        <w:rPr>
          <w:rtl/>
        </w:rPr>
      </w:pPr>
      <w:bookmarkStart w:id="7" w:name="ABSTRACT_END"/>
      <w:bookmarkEnd w:id="7"/>
    </w:p>
    <w:p w14:paraId="02BE0DAF" w14:textId="77777777" w:rsidR="001D5653" w:rsidRDefault="00310D45">
      <w:pPr>
        <w:spacing w:line="360" w:lineRule="auto"/>
        <w:jc w:val="both"/>
        <w:rPr>
          <w:sz w:val="26"/>
          <w:szCs w:val="26"/>
          <w:rtl/>
        </w:rPr>
      </w:pPr>
      <w:r>
        <w:rPr>
          <w:rFonts w:hint="cs"/>
          <w:b/>
          <w:bCs/>
          <w:sz w:val="26"/>
          <w:szCs w:val="26"/>
          <w:rtl/>
        </w:rPr>
        <w:t>על פי עובדות אישום מס' 1</w:t>
      </w:r>
      <w:r>
        <w:rPr>
          <w:rFonts w:hint="cs"/>
          <w:sz w:val="26"/>
          <w:szCs w:val="26"/>
          <w:rtl/>
        </w:rPr>
        <w:t>, ביום 9/1/14 מכר הנאשם לסוכן משטרתי (להלן:</w:t>
      </w:r>
      <w:r>
        <w:rPr>
          <w:rFonts w:hint="cs"/>
          <w:b/>
          <w:bCs/>
          <w:sz w:val="26"/>
          <w:szCs w:val="26"/>
          <w:rtl/>
        </w:rPr>
        <w:t xml:space="preserve"> "הסוכן"</w:t>
      </w:r>
      <w:r>
        <w:rPr>
          <w:rFonts w:hint="cs"/>
          <w:sz w:val="26"/>
          <w:szCs w:val="26"/>
          <w:rtl/>
        </w:rPr>
        <w:t>) סם מסוג קנאביס במשקל כולל של 52.89 גרם תמורת 2,000 ₪.</w:t>
      </w:r>
    </w:p>
    <w:p w14:paraId="501FB290" w14:textId="77777777" w:rsidR="001D5653" w:rsidRDefault="001D5653">
      <w:pPr>
        <w:spacing w:line="360" w:lineRule="auto"/>
        <w:jc w:val="both"/>
        <w:rPr>
          <w:sz w:val="26"/>
          <w:szCs w:val="26"/>
          <w:rtl/>
        </w:rPr>
      </w:pPr>
    </w:p>
    <w:p w14:paraId="6B121CCC" w14:textId="77777777" w:rsidR="001D5653" w:rsidRDefault="00310D45">
      <w:pPr>
        <w:spacing w:line="360" w:lineRule="auto"/>
        <w:jc w:val="both"/>
        <w:rPr>
          <w:sz w:val="26"/>
          <w:szCs w:val="26"/>
          <w:rtl/>
        </w:rPr>
      </w:pPr>
      <w:r>
        <w:rPr>
          <w:rFonts w:hint="cs"/>
          <w:b/>
          <w:bCs/>
          <w:sz w:val="26"/>
          <w:szCs w:val="26"/>
          <w:rtl/>
        </w:rPr>
        <w:t>על פי עובדות אישום מס' 2</w:t>
      </w:r>
      <w:r>
        <w:rPr>
          <w:rFonts w:hint="cs"/>
          <w:sz w:val="26"/>
          <w:szCs w:val="26"/>
          <w:rtl/>
        </w:rPr>
        <w:t>, ביום 14/1/14 מכר הנאשם לסוכן סם מסוג קנאביס במשקל כולל של 40.67 ₪ תמורת 2,000 ₪.</w:t>
      </w:r>
    </w:p>
    <w:p w14:paraId="30E7B0D3" w14:textId="77777777" w:rsidR="001D5653" w:rsidRDefault="001D5653">
      <w:pPr>
        <w:spacing w:line="360" w:lineRule="auto"/>
        <w:jc w:val="both"/>
        <w:rPr>
          <w:sz w:val="26"/>
          <w:szCs w:val="26"/>
          <w:rtl/>
        </w:rPr>
      </w:pPr>
    </w:p>
    <w:p w14:paraId="43776C17" w14:textId="77777777" w:rsidR="001D5653" w:rsidRDefault="00310D45">
      <w:pPr>
        <w:spacing w:line="360" w:lineRule="auto"/>
        <w:jc w:val="both"/>
        <w:rPr>
          <w:sz w:val="26"/>
          <w:szCs w:val="26"/>
          <w:rtl/>
        </w:rPr>
      </w:pPr>
      <w:r>
        <w:rPr>
          <w:rFonts w:hint="cs"/>
          <w:b/>
          <w:bCs/>
          <w:sz w:val="26"/>
          <w:szCs w:val="26"/>
          <w:rtl/>
        </w:rPr>
        <w:t>על פי עובדות אישום מס' 3</w:t>
      </w:r>
      <w:r>
        <w:rPr>
          <w:rFonts w:hint="cs"/>
          <w:sz w:val="26"/>
          <w:szCs w:val="26"/>
          <w:rtl/>
        </w:rPr>
        <w:t>, ביום 6/2/14 מכר הנאשם יחד עם אחר, לסוכן, סם מסוג קנאביס במשקל כולל של 70.26 גרם תמורת 1,800 ₪.</w:t>
      </w:r>
    </w:p>
    <w:p w14:paraId="577A753D" w14:textId="77777777" w:rsidR="001D5653" w:rsidRDefault="001D5653">
      <w:pPr>
        <w:spacing w:line="360" w:lineRule="auto"/>
        <w:jc w:val="both"/>
        <w:rPr>
          <w:rtl/>
        </w:rPr>
      </w:pPr>
    </w:p>
    <w:p w14:paraId="0FF0788F" w14:textId="77777777" w:rsidR="001D5653" w:rsidRDefault="00310D45">
      <w:pPr>
        <w:spacing w:line="360" w:lineRule="auto"/>
        <w:jc w:val="both"/>
        <w:rPr>
          <w:b/>
          <w:bCs/>
          <w:sz w:val="28"/>
          <w:szCs w:val="28"/>
          <w:rtl/>
        </w:rPr>
      </w:pPr>
      <w:r>
        <w:rPr>
          <w:rFonts w:hint="cs"/>
          <w:b/>
          <w:bCs/>
          <w:sz w:val="28"/>
          <w:szCs w:val="28"/>
          <w:rtl/>
        </w:rPr>
        <w:t>טיעוני הצדדים לעונש</w:t>
      </w:r>
    </w:p>
    <w:p w14:paraId="174DBFCC" w14:textId="77777777" w:rsidR="001D5653" w:rsidRDefault="00310D45">
      <w:pPr>
        <w:spacing w:line="360" w:lineRule="auto"/>
        <w:jc w:val="both"/>
        <w:rPr>
          <w:b/>
          <w:bCs/>
          <w:sz w:val="26"/>
          <w:szCs w:val="26"/>
          <w:u w:val="single"/>
          <w:rtl/>
        </w:rPr>
      </w:pPr>
      <w:r>
        <w:rPr>
          <w:rFonts w:hint="cs"/>
          <w:b/>
          <w:bCs/>
          <w:sz w:val="26"/>
          <w:szCs w:val="26"/>
          <w:u w:val="single"/>
          <w:rtl/>
        </w:rPr>
        <w:t>טיעוני התביעה</w:t>
      </w:r>
    </w:p>
    <w:p w14:paraId="1CC3B147" w14:textId="77777777" w:rsidR="001D5653" w:rsidRDefault="00310D45">
      <w:pPr>
        <w:spacing w:line="360" w:lineRule="auto"/>
        <w:jc w:val="both"/>
        <w:rPr>
          <w:sz w:val="26"/>
          <w:szCs w:val="26"/>
          <w:rtl/>
        </w:rPr>
      </w:pPr>
      <w:r>
        <w:rPr>
          <w:rFonts w:hint="cs"/>
          <w:sz w:val="26"/>
          <w:szCs w:val="26"/>
          <w:rtl/>
        </w:rPr>
        <w:t>בטיעוניה לעונש ציינה התביעה כי מעבר לחומרה הטבועה בעבירות סמים, קיימות במקרה שלפנינו נסיבות לחומרה, בהן העובדה לפיה מדובר ב-3 מקרים שאירעו תוך חודש ימים, הסתייעות הנאשם בגורם מתווך וסחר בכמויות גדולות יחסית, תמורת בצע כסף. התנהלות הנאשם  מלמדת על נגישותו לסמים, על התחכום בו פעל ועל היות הסחר בסמים משלח ידו של הנאשם.</w:t>
      </w:r>
    </w:p>
    <w:p w14:paraId="1A74C52A" w14:textId="77777777" w:rsidR="001D5653" w:rsidRDefault="001D5653">
      <w:pPr>
        <w:spacing w:line="360" w:lineRule="auto"/>
        <w:jc w:val="both"/>
        <w:rPr>
          <w:sz w:val="26"/>
          <w:szCs w:val="26"/>
          <w:rtl/>
        </w:rPr>
      </w:pPr>
    </w:p>
    <w:p w14:paraId="0CBCA3F8" w14:textId="77777777" w:rsidR="001D5653" w:rsidRDefault="00310D45">
      <w:pPr>
        <w:spacing w:line="360" w:lineRule="auto"/>
        <w:jc w:val="both"/>
        <w:rPr>
          <w:sz w:val="26"/>
          <w:szCs w:val="26"/>
          <w:rtl/>
        </w:rPr>
      </w:pPr>
      <w:r>
        <w:rPr>
          <w:rFonts w:hint="cs"/>
          <w:sz w:val="26"/>
          <w:szCs w:val="26"/>
          <w:rtl/>
        </w:rPr>
        <w:t>בנוסף, מציינת התביעה כי העבירה בוצעה שעה שעומד כנגד הנאשם עונש מאסר מותנה בעבירות סם, דבר המלמד על העדר מוראו מן החוק.</w:t>
      </w:r>
    </w:p>
    <w:p w14:paraId="3BEB0E0D" w14:textId="77777777" w:rsidR="001D5653" w:rsidRDefault="001D5653">
      <w:pPr>
        <w:spacing w:line="360" w:lineRule="auto"/>
        <w:jc w:val="both"/>
        <w:rPr>
          <w:sz w:val="26"/>
          <w:szCs w:val="26"/>
          <w:rtl/>
        </w:rPr>
      </w:pPr>
    </w:p>
    <w:p w14:paraId="4386E1F6" w14:textId="77777777" w:rsidR="001D5653" w:rsidRDefault="00310D45">
      <w:pPr>
        <w:spacing w:line="360" w:lineRule="auto"/>
        <w:jc w:val="both"/>
        <w:rPr>
          <w:sz w:val="26"/>
          <w:szCs w:val="26"/>
          <w:rtl/>
        </w:rPr>
      </w:pPr>
      <w:r>
        <w:rPr>
          <w:rFonts w:hint="cs"/>
          <w:sz w:val="26"/>
          <w:szCs w:val="26"/>
          <w:rtl/>
        </w:rPr>
        <w:t>התביעה טוענת למתחם ענישה הנע בין 12-24 חודשים לכל אישום, ומבקשת להטיל על הנאשם עונש מאסר בן 26 חודשים לכל העבירות, תוך הפעלת עונש המאסר המותנה העומד כנגדו.</w:t>
      </w:r>
    </w:p>
    <w:p w14:paraId="28978105" w14:textId="77777777" w:rsidR="001D5653" w:rsidRDefault="001D5653">
      <w:pPr>
        <w:spacing w:line="360" w:lineRule="auto"/>
        <w:jc w:val="both"/>
        <w:rPr>
          <w:sz w:val="26"/>
          <w:szCs w:val="26"/>
          <w:rtl/>
        </w:rPr>
      </w:pPr>
    </w:p>
    <w:p w14:paraId="573D70CF" w14:textId="77777777" w:rsidR="001D5653" w:rsidRDefault="00310D45">
      <w:pPr>
        <w:spacing w:line="360" w:lineRule="auto"/>
        <w:jc w:val="both"/>
        <w:rPr>
          <w:sz w:val="26"/>
          <w:szCs w:val="26"/>
          <w:rtl/>
        </w:rPr>
      </w:pPr>
      <w:r>
        <w:rPr>
          <w:rFonts w:hint="cs"/>
          <w:sz w:val="26"/>
          <w:szCs w:val="26"/>
          <w:rtl/>
        </w:rPr>
        <w:t>בנוסף, מבקשת התביעה להשית על הנאשם עונש מאסר מותנה, קנס, פסילת רישיון ולהורות על חילוט הסמים והכסף שנתפסו ברשותו.</w:t>
      </w:r>
    </w:p>
    <w:p w14:paraId="6B1DA6CA" w14:textId="77777777" w:rsidR="001D5653" w:rsidRDefault="001D5653">
      <w:pPr>
        <w:spacing w:line="360" w:lineRule="auto"/>
        <w:jc w:val="both"/>
        <w:rPr>
          <w:sz w:val="26"/>
          <w:szCs w:val="26"/>
          <w:rtl/>
        </w:rPr>
      </w:pPr>
    </w:p>
    <w:p w14:paraId="6B947B4E" w14:textId="77777777" w:rsidR="001D5653" w:rsidRDefault="00310D45">
      <w:pPr>
        <w:spacing w:line="360" w:lineRule="auto"/>
        <w:jc w:val="both"/>
        <w:rPr>
          <w:b/>
          <w:bCs/>
          <w:sz w:val="26"/>
          <w:szCs w:val="26"/>
          <w:u w:val="single"/>
          <w:rtl/>
        </w:rPr>
      </w:pPr>
      <w:r>
        <w:rPr>
          <w:rFonts w:hint="cs"/>
          <w:b/>
          <w:bCs/>
          <w:sz w:val="26"/>
          <w:szCs w:val="26"/>
          <w:u w:val="single"/>
          <w:rtl/>
        </w:rPr>
        <w:t>טיעוני הסנגור</w:t>
      </w:r>
    </w:p>
    <w:p w14:paraId="3A4B5D24" w14:textId="77777777" w:rsidR="001D5653" w:rsidRDefault="00310D45">
      <w:pPr>
        <w:spacing w:line="360" w:lineRule="auto"/>
        <w:jc w:val="both"/>
        <w:rPr>
          <w:sz w:val="26"/>
          <w:szCs w:val="26"/>
          <w:rtl/>
        </w:rPr>
      </w:pPr>
      <w:r>
        <w:rPr>
          <w:rFonts w:hint="cs"/>
          <w:sz w:val="26"/>
          <w:szCs w:val="26"/>
          <w:rtl/>
        </w:rPr>
        <w:t>הסנגור מפרט בטיעוניו נסיבות חיים לא פשוטות אותן חווה הנאשם בהן משבר עליה, מצב סוציו אקונומי קשה וחיים לצדו של אב מובטל הסובל מבעיית התמכרות לאלכוהול.</w:t>
      </w:r>
    </w:p>
    <w:p w14:paraId="78410704" w14:textId="77777777" w:rsidR="001D5653" w:rsidRDefault="001D5653">
      <w:pPr>
        <w:spacing w:line="360" w:lineRule="auto"/>
        <w:jc w:val="both"/>
        <w:rPr>
          <w:sz w:val="26"/>
          <w:szCs w:val="26"/>
          <w:rtl/>
        </w:rPr>
      </w:pPr>
    </w:p>
    <w:p w14:paraId="71B71598" w14:textId="77777777" w:rsidR="001D5653" w:rsidRDefault="00310D45">
      <w:pPr>
        <w:spacing w:line="360" w:lineRule="auto"/>
        <w:jc w:val="both"/>
        <w:rPr>
          <w:sz w:val="26"/>
          <w:szCs w:val="26"/>
          <w:rtl/>
        </w:rPr>
      </w:pPr>
      <w:r>
        <w:rPr>
          <w:rFonts w:hint="cs"/>
          <w:sz w:val="26"/>
          <w:szCs w:val="26"/>
          <w:rtl/>
        </w:rPr>
        <w:t>כן טען הסנגור כי מדובר בסמים קלים וכי הנאשם לא יזם את עסקאות הסמים, אלא סיפק את הסמים על פי דרישת הסוכן המשטרתי.</w:t>
      </w:r>
    </w:p>
    <w:p w14:paraId="17C44CDA" w14:textId="77777777" w:rsidR="001D5653" w:rsidRDefault="001D5653">
      <w:pPr>
        <w:spacing w:line="360" w:lineRule="auto"/>
        <w:jc w:val="both"/>
        <w:rPr>
          <w:sz w:val="26"/>
          <w:szCs w:val="26"/>
          <w:rtl/>
        </w:rPr>
      </w:pPr>
    </w:p>
    <w:p w14:paraId="60C4F892" w14:textId="77777777" w:rsidR="001D5653" w:rsidRDefault="00310D45">
      <w:pPr>
        <w:spacing w:line="360" w:lineRule="auto"/>
        <w:jc w:val="both"/>
        <w:rPr>
          <w:sz w:val="26"/>
          <w:szCs w:val="26"/>
          <w:rtl/>
        </w:rPr>
      </w:pPr>
      <w:r>
        <w:rPr>
          <w:rFonts w:hint="cs"/>
          <w:sz w:val="26"/>
          <w:szCs w:val="26"/>
          <w:rtl/>
        </w:rPr>
        <w:t>לתמיכה בטענותיו, הגיש הסנגור פסיקה לפיה הושתו על נאשמים בעבירות של סחר בסם מסוג קנבוס במשקלים שונים עונשי מאסר לריצוי בעבודות שירות ועד לעונשי מאסר בני 18 חודשים.</w:t>
      </w:r>
    </w:p>
    <w:p w14:paraId="7F80EDC6" w14:textId="77777777" w:rsidR="001D5653" w:rsidRDefault="00310D45">
      <w:pPr>
        <w:spacing w:line="360" w:lineRule="auto"/>
        <w:jc w:val="both"/>
        <w:rPr>
          <w:sz w:val="26"/>
          <w:szCs w:val="26"/>
          <w:rtl/>
        </w:rPr>
      </w:pPr>
      <w:r>
        <w:rPr>
          <w:rFonts w:hint="cs"/>
          <w:sz w:val="26"/>
          <w:szCs w:val="26"/>
          <w:rtl/>
        </w:rPr>
        <w:t>עוד מסב הסנגור תשומת הלב לכך שהנאשם נטל אחריות בגין מעשיו וחסך זמן שיפוטי.</w:t>
      </w:r>
    </w:p>
    <w:p w14:paraId="102EC4FC" w14:textId="77777777" w:rsidR="001D5653" w:rsidRDefault="001D5653">
      <w:pPr>
        <w:spacing w:line="360" w:lineRule="auto"/>
        <w:jc w:val="both"/>
        <w:rPr>
          <w:sz w:val="26"/>
          <w:szCs w:val="26"/>
          <w:rtl/>
        </w:rPr>
      </w:pPr>
    </w:p>
    <w:p w14:paraId="6D47BB5B" w14:textId="77777777" w:rsidR="001D5653" w:rsidRDefault="001D5653">
      <w:pPr>
        <w:spacing w:line="360" w:lineRule="auto"/>
        <w:jc w:val="both"/>
        <w:rPr>
          <w:sz w:val="26"/>
          <w:szCs w:val="26"/>
          <w:rtl/>
        </w:rPr>
      </w:pPr>
    </w:p>
    <w:p w14:paraId="73EB7AA8" w14:textId="77777777" w:rsidR="001D5653" w:rsidRDefault="001D5653">
      <w:pPr>
        <w:spacing w:line="360" w:lineRule="auto"/>
        <w:jc w:val="both"/>
        <w:rPr>
          <w:sz w:val="26"/>
          <w:szCs w:val="26"/>
          <w:rtl/>
        </w:rPr>
      </w:pPr>
    </w:p>
    <w:p w14:paraId="2BCD6EC0" w14:textId="77777777" w:rsidR="001D5653" w:rsidRDefault="001D5653">
      <w:pPr>
        <w:spacing w:line="360" w:lineRule="auto"/>
        <w:jc w:val="both"/>
        <w:rPr>
          <w:sz w:val="26"/>
          <w:szCs w:val="26"/>
          <w:rtl/>
        </w:rPr>
      </w:pPr>
    </w:p>
    <w:p w14:paraId="031E8F00" w14:textId="77777777" w:rsidR="001D5653" w:rsidRDefault="001D5653">
      <w:pPr>
        <w:spacing w:line="360" w:lineRule="auto"/>
        <w:jc w:val="both"/>
        <w:rPr>
          <w:sz w:val="26"/>
          <w:szCs w:val="26"/>
          <w:rtl/>
        </w:rPr>
      </w:pPr>
    </w:p>
    <w:p w14:paraId="46609EE8" w14:textId="77777777" w:rsidR="001D5653" w:rsidRDefault="001D5653">
      <w:pPr>
        <w:spacing w:line="360" w:lineRule="auto"/>
        <w:jc w:val="both"/>
        <w:rPr>
          <w:sz w:val="26"/>
          <w:szCs w:val="26"/>
          <w:rtl/>
        </w:rPr>
      </w:pPr>
    </w:p>
    <w:p w14:paraId="03BD150F" w14:textId="77777777" w:rsidR="001D5653" w:rsidRDefault="001D5653">
      <w:pPr>
        <w:spacing w:line="360" w:lineRule="auto"/>
        <w:jc w:val="both"/>
        <w:rPr>
          <w:sz w:val="26"/>
          <w:szCs w:val="26"/>
          <w:rtl/>
        </w:rPr>
      </w:pPr>
    </w:p>
    <w:p w14:paraId="07DDA4B6" w14:textId="77777777" w:rsidR="001D5653" w:rsidRDefault="001D5653">
      <w:pPr>
        <w:spacing w:line="360" w:lineRule="auto"/>
        <w:jc w:val="both"/>
        <w:rPr>
          <w:sz w:val="26"/>
          <w:szCs w:val="26"/>
          <w:rtl/>
        </w:rPr>
      </w:pPr>
    </w:p>
    <w:p w14:paraId="5D049FCD" w14:textId="77777777" w:rsidR="001D5653" w:rsidRDefault="001D5653">
      <w:pPr>
        <w:spacing w:line="360" w:lineRule="auto"/>
        <w:jc w:val="both"/>
        <w:rPr>
          <w:rtl/>
        </w:rPr>
      </w:pPr>
    </w:p>
    <w:p w14:paraId="15735278" w14:textId="77777777" w:rsidR="001D5653" w:rsidRDefault="00310D45">
      <w:pPr>
        <w:spacing w:line="360" w:lineRule="auto"/>
        <w:jc w:val="both"/>
        <w:rPr>
          <w:b/>
          <w:bCs/>
          <w:sz w:val="32"/>
          <w:szCs w:val="32"/>
          <w:rtl/>
        </w:rPr>
      </w:pPr>
      <w:r>
        <w:rPr>
          <w:rFonts w:hint="cs"/>
          <w:b/>
          <w:bCs/>
          <w:sz w:val="32"/>
          <w:szCs w:val="32"/>
          <w:rtl/>
        </w:rPr>
        <w:t>דיון וגזירת דין</w:t>
      </w:r>
    </w:p>
    <w:p w14:paraId="042F74A7" w14:textId="77777777" w:rsidR="001D5653" w:rsidRDefault="00310D45">
      <w:pPr>
        <w:spacing w:line="360" w:lineRule="auto"/>
        <w:jc w:val="both"/>
        <w:rPr>
          <w:b/>
          <w:bCs/>
          <w:sz w:val="28"/>
          <w:szCs w:val="28"/>
          <w:rtl/>
        </w:rPr>
      </w:pPr>
      <w:r>
        <w:rPr>
          <w:rFonts w:hint="cs"/>
          <w:b/>
          <w:bCs/>
          <w:sz w:val="28"/>
          <w:szCs w:val="28"/>
          <w:rtl/>
        </w:rPr>
        <w:t>מתחם הענישה ההולם</w:t>
      </w:r>
    </w:p>
    <w:p w14:paraId="2B9AE0D8" w14:textId="77777777" w:rsidR="001D5653" w:rsidRDefault="00310D45">
      <w:pPr>
        <w:spacing w:line="360" w:lineRule="auto"/>
        <w:jc w:val="both"/>
        <w:rPr>
          <w:sz w:val="26"/>
          <w:szCs w:val="26"/>
        </w:rPr>
      </w:pPr>
      <w:r>
        <w:rPr>
          <w:rFonts w:hint="cs"/>
          <w:sz w:val="26"/>
          <w:szCs w:val="26"/>
          <w:rtl/>
        </w:rPr>
        <w:t xml:space="preserve">בהתאם להוראת סעיף </w:t>
      </w:r>
      <w:hyperlink r:id="rId10" w:history="1">
        <w:r w:rsidR="00B836DC" w:rsidRPr="00B836DC">
          <w:rPr>
            <w:color w:val="0000FF"/>
            <w:sz w:val="26"/>
            <w:szCs w:val="26"/>
            <w:u w:val="single"/>
            <w:rtl/>
          </w:rPr>
          <w:t>40 ג(א)</w:t>
        </w:r>
      </w:hyperlink>
      <w:r>
        <w:rPr>
          <w:rFonts w:hint="cs"/>
          <w:sz w:val="26"/>
          <w:szCs w:val="26"/>
          <w:rtl/>
        </w:rPr>
        <w:t xml:space="preserve"> ל</w:t>
      </w:r>
      <w:hyperlink r:id="rId11" w:history="1">
        <w:r w:rsidRPr="00310D45">
          <w:rPr>
            <w:color w:val="0000FF"/>
            <w:sz w:val="26"/>
            <w:szCs w:val="26"/>
            <w:u w:val="single"/>
            <w:rtl/>
          </w:rPr>
          <w:t>חוק העונשין</w:t>
        </w:r>
      </w:hyperlink>
      <w:r>
        <w:rPr>
          <w:rFonts w:hint="cs"/>
          <w:sz w:val="26"/>
          <w:szCs w:val="26"/>
          <w:rtl/>
        </w:rPr>
        <w:t>, יש לקבוע את מתחם הענישה ההולם בהתאם לעקרון ההלימה, תוך התחשבות בערך החברתי שנפגע, במידת הפגיעה בו, בנסיבות הקשורות בבצוע העבירה ובמדיניות הענישה הנוהגת.</w:t>
      </w:r>
    </w:p>
    <w:p w14:paraId="6FB07E74" w14:textId="77777777" w:rsidR="001D5653" w:rsidRDefault="001D5653">
      <w:pPr>
        <w:spacing w:line="360" w:lineRule="auto"/>
        <w:jc w:val="both"/>
        <w:rPr>
          <w:sz w:val="28"/>
          <w:szCs w:val="28"/>
          <w:rtl/>
        </w:rPr>
      </w:pPr>
    </w:p>
    <w:p w14:paraId="60F02CFD" w14:textId="77777777" w:rsidR="001D5653" w:rsidRDefault="00310D45">
      <w:pPr>
        <w:spacing w:line="360" w:lineRule="auto"/>
        <w:jc w:val="both"/>
        <w:rPr>
          <w:sz w:val="26"/>
          <w:szCs w:val="26"/>
          <w:rtl/>
        </w:rPr>
      </w:pPr>
      <w:r>
        <w:rPr>
          <w:rFonts w:hint="cs"/>
          <w:sz w:val="26"/>
          <w:szCs w:val="26"/>
          <w:rtl/>
        </w:rPr>
        <w:t xml:space="preserve">הנאשם הורשע בביצוע 3 עבירות סחר בסם מסוכן, שלשתן בוצעו מול אותו סוכן משטרתי, במהלך זמן מוגדר בן כחודש ימים. בנסיבות העניין, יש לקבוע כי כל אישום מהווה אירוע נפרד לצורך קביעת מתחם הענישה ,אך ראוי לראות ב-3 העבירות, מסכת אירועים אחת, לפי סעיף </w:t>
      </w:r>
      <w:hyperlink r:id="rId12" w:history="1">
        <w:r w:rsidR="00B836DC" w:rsidRPr="00B836DC">
          <w:rPr>
            <w:color w:val="0000FF"/>
            <w:sz w:val="26"/>
            <w:szCs w:val="26"/>
            <w:u w:val="single"/>
            <w:rtl/>
          </w:rPr>
          <w:t>40 יג'</w:t>
        </w:r>
      </w:hyperlink>
      <w:r>
        <w:rPr>
          <w:rFonts w:hint="cs"/>
          <w:sz w:val="26"/>
          <w:szCs w:val="26"/>
          <w:rtl/>
        </w:rPr>
        <w:t xml:space="preserve"> ל</w:t>
      </w:r>
      <w:hyperlink r:id="rId13" w:history="1">
        <w:r w:rsidRPr="00310D45">
          <w:rPr>
            <w:color w:val="0000FF"/>
            <w:sz w:val="26"/>
            <w:szCs w:val="26"/>
            <w:u w:val="single"/>
            <w:rtl/>
          </w:rPr>
          <w:t>חוק העונשין</w:t>
        </w:r>
      </w:hyperlink>
      <w:r>
        <w:rPr>
          <w:rFonts w:hint="cs"/>
          <w:sz w:val="26"/>
          <w:szCs w:val="26"/>
          <w:rtl/>
        </w:rPr>
        <w:t>, שכן מדובר במספר עסקאות דומות במאפיינהן בתוך פרק זמן קצר יחסית.</w:t>
      </w:r>
    </w:p>
    <w:p w14:paraId="78FAC1B2" w14:textId="77777777" w:rsidR="001D5653" w:rsidRDefault="001D5653">
      <w:pPr>
        <w:spacing w:line="360" w:lineRule="auto"/>
        <w:jc w:val="both"/>
        <w:rPr>
          <w:sz w:val="26"/>
          <w:szCs w:val="26"/>
          <w:rtl/>
        </w:rPr>
      </w:pPr>
    </w:p>
    <w:p w14:paraId="46E5B70F" w14:textId="77777777" w:rsidR="001D5653" w:rsidRDefault="00310D45">
      <w:pPr>
        <w:spacing w:line="360" w:lineRule="auto"/>
        <w:jc w:val="both"/>
        <w:rPr>
          <w:sz w:val="26"/>
          <w:szCs w:val="26"/>
          <w:rtl/>
        </w:rPr>
      </w:pPr>
      <w:r>
        <w:rPr>
          <w:rFonts w:hint="cs"/>
          <w:sz w:val="26"/>
          <w:szCs w:val="26"/>
          <w:rtl/>
        </w:rPr>
        <w:t>הערך החברתי המוגן בעבירות החזקה וסחר בסם מסוכן הינו החובה להגן על שלמות בריאותו ושלומו הפיסי והנפשי של הציבור. רבות נאמר על הנזק שנגרם כתוצאה משימוש בסמים וסחר בהם, הן למשתמשים בסמים והן לחברה בכללותה.</w:t>
      </w:r>
    </w:p>
    <w:p w14:paraId="75AC9BC7" w14:textId="77777777" w:rsidR="001D5653" w:rsidRDefault="001D5653">
      <w:pPr>
        <w:spacing w:line="360" w:lineRule="auto"/>
        <w:jc w:val="both"/>
        <w:rPr>
          <w:sz w:val="26"/>
          <w:szCs w:val="26"/>
          <w:rtl/>
        </w:rPr>
      </w:pPr>
    </w:p>
    <w:p w14:paraId="79E11F9E" w14:textId="77777777" w:rsidR="001D5653" w:rsidRDefault="00310D45">
      <w:pPr>
        <w:spacing w:line="360" w:lineRule="auto"/>
        <w:jc w:val="both"/>
        <w:rPr>
          <w:sz w:val="26"/>
          <w:szCs w:val="26"/>
          <w:rtl/>
        </w:rPr>
      </w:pPr>
      <w:r>
        <w:rPr>
          <w:rFonts w:hint="cs"/>
          <w:sz w:val="26"/>
          <w:szCs w:val="26"/>
          <w:rtl/>
        </w:rPr>
        <w:t>ב</w:t>
      </w:r>
      <w:hyperlink r:id="rId14" w:history="1">
        <w:r w:rsidRPr="00310D45">
          <w:rPr>
            <w:b/>
            <w:bCs/>
            <w:color w:val="0000FF"/>
            <w:sz w:val="26"/>
            <w:szCs w:val="26"/>
            <w:u w:val="single"/>
            <w:rtl/>
          </w:rPr>
          <w:t>ע"פ 966/94</w:t>
        </w:r>
      </w:hyperlink>
      <w:r>
        <w:rPr>
          <w:rFonts w:hint="cs"/>
          <w:b/>
          <w:bCs/>
          <w:sz w:val="26"/>
          <w:szCs w:val="26"/>
          <w:rtl/>
        </w:rPr>
        <w:t xml:space="preserve"> אלי אמזלג נ' מדינת ישראל</w:t>
      </w:r>
      <w:r>
        <w:rPr>
          <w:rFonts w:hint="cs"/>
          <w:sz w:val="26"/>
          <w:szCs w:val="26"/>
          <w:rtl/>
        </w:rPr>
        <w:t xml:space="preserve"> נפסק על ידי בית המשפט העליון:</w:t>
      </w:r>
    </w:p>
    <w:p w14:paraId="4C86FA31" w14:textId="77777777" w:rsidR="001D5653" w:rsidRDefault="00310D45">
      <w:pPr>
        <w:ind w:left="720" w:right="1134"/>
        <w:jc w:val="both"/>
        <w:rPr>
          <w:b/>
          <w:bCs/>
          <w:sz w:val="26"/>
          <w:szCs w:val="26"/>
          <w:rtl/>
        </w:rPr>
      </w:pPr>
      <w:r>
        <w:rPr>
          <w:rFonts w:hint="cs"/>
          <w:b/>
          <w:bCs/>
          <w:sz w:val="26"/>
          <w:szCs w:val="26"/>
          <w:rtl/>
        </w:rPr>
        <w:t>"נגע הסמים אוכל באוכלוסיה שלנו בכל פה; והחברה הכריזה עליו מלחמת חורמה ומצפה שהענשים שיגזרו על ידי בתי המשפט בשל עבירות סמים ישתלבו במאבק הכולל להדברת הנגע. עונש הולם למחזיקי סמים שלא לשימוש עצמי ,קרי: למשולבים במערך ההפצה</w:t>
      </w:r>
      <w:r>
        <w:rPr>
          <w:b/>
          <w:bCs/>
          <w:sz w:val="26"/>
          <w:szCs w:val="26"/>
        </w:rPr>
        <w:t xml:space="preserve"> -</w:t>
      </w:r>
      <w:r>
        <w:rPr>
          <w:rFonts w:hint="cs"/>
          <w:b/>
          <w:bCs/>
          <w:sz w:val="26"/>
          <w:szCs w:val="26"/>
          <w:rtl/>
        </w:rPr>
        <w:t xml:space="preserve"> מכוון לקבוע בהכרת הכל את החומרה היתירה שאנו מייחסים להפצת הסמים, ולהרתיע עבריינים בכוח מלשלוח ידם בפעילות ההפצה. שתי תכליות מרכזיות אלו ניתן להשיג רק על ידי</w:t>
      </w:r>
      <w:r>
        <w:rPr>
          <w:rFonts w:hint="cs"/>
          <w:b/>
          <w:bCs/>
          <w:sz w:val="26"/>
          <w:szCs w:val="26"/>
        </w:rPr>
        <w:t xml:space="preserve"> </w:t>
      </w:r>
      <w:r>
        <w:rPr>
          <w:rFonts w:hint="cs"/>
          <w:b/>
          <w:bCs/>
          <w:sz w:val="26"/>
          <w:szCs w:val="26"/>
          <w:rtl/>
        </w:rPr>
        <w:t>הטלת עונשים חמורים;</w:t>
      </w:r>
    </w:p>
    <w:p w14:paraId="71390523" w14:textId="77777777" w:rsidR="001D5653" w:rsidRDefault="001D5653">
      <w:pPr>
        <w:spacing w:line="360" w:lineRule="auto"/>
        <w:jc w:val="both"/>
        <w:rPr>
          <w:sz w:val="28"/>
          <w:szCs w:val="28"/>
          <w:rtl/>
        </w:rPr>
      </w:pPr>
    </w:p>
    <w:p w14:paraId="3386F9AA" w14:textId="77777777" w:rsidR="001D5653" w:rsidRDefault="001D5653">
      <w:pPr>
        <w:spacing w:line="360" w:lineRule="auto"/>
        <w:jc w:val="both"/>
        <w:rPr>
          <w:sz w:val="28"/>
          <w:szCs w:val="28"/>
          <w:rtl/>
        </w:rPr>
      </w:pPr>
    </w:p>
    <w:p w14:paraId="5C24C29A" w14:textId="77777777" w:rsidR="001D5653" w:rsidRDefault="00310D45">
      <w:pPr>
        <w:spacing w:line="360" w:lineRule="auto"/>
        <w:jc w:val="both"/>
        <w:rPr>
          <w:b/>
          <w:bCs/>
          <w:sz w:val="26"/>
          <w:szCs w:val="26"/>
          <w:rtl/>
        </w:rPr>
      </w:pPr>
      <w:r>
        <w:rPr>
          <w:rFonts w:hint="cs"/>
          <w:sz w:val="26"/>
          <w:szCs w:val="26"/>
          <w:rtl/>
        </w:rPr>
        <w:t>ב</w:t>
      </w:r>
      <w:hyperlink r:id="rId15" w:history="1">
        <w:r w:rsidRPr="00310D45">
          <w:rPr>
            <w:b/>
            <w:bCs/>
            <w:color w:val="0000FF"/>
            <w:sz w:val="26"/>
            <w:szCs w:val="26"/>
            <w:u w:val="single"/>
            <w:rtl/>
          </w:rPr>
          <w:t>ע"פ 211/09</w:t>
        </w:r>
      </w:hyperlink>
      <w:r>
        <w:rPr>
          <w:rFonts w:hint="cs"/>
          <w:b/>
          <w:bCs/>
          <w:sz w:val="26"/>
          <w:szCs w:val="26"/>
          <w:rtl/>
        </w:rPr>
        <w:t xml:space="preserve"> אזולאי נגד מדינת ישראל</w:t>
      </w:r>
      <w:r>
        <w:rPr>
          <w:rFonts w:hint="cs"/>
          <w:sz w:val="26"/>
          <w:szCs w:val="26"/>
          <w:rtl/>
        </w:rPr>
        <w:t xml:space="preserve"> שנה וחזר בית המשפט על חומרת עבירת סחר בסמים, הנזק שטמון בעבירות אלו והצורך בענישה מרתיעה</w:t>
      </w:r>
      <w:r>
        <w:rPr>
          <w:rFonts w:hint="cs"/>
          <w:b/>
          <w:bCs/>
          <w:sz w:val="26"/>
          <w:szCs w:val="26"/>
          <w:rtl/>
        </w:rPr>
        <w:t>:</w:t>
      </w:r>
    </w:p>
    <w:p w14:paraId="094A719B" w14:textId="77777777" w:rsidR="001D5653" w:rsidRDefault="001D5653">
      <w:pPr>
        <w:spacing w:line="360" w:lineRule="auto"/>
        <w:jc w:val="both"/>
        <w:rPr>
          <w:b/>
          <w:bCs/>
          <w:sz w:val="26"/>
          <w:szCs w:val="26"/>
          <w:rtl/>
        </w:rPr>
      </w:pPr>
    </w:p>
    <w:p w14:paraId="07F4EAC1" w14:textId="77777777" w:rsidR="001D5653" w:rsidRDefault="00310D45">
      <w:pPr>
        <w:ind w:left="720" w:right="1134"/>
        <w:jc w:val="both"/>
        <w:rPr>
          <w:b/>
          <w:bCs/>
          <w:sz w:val="26"/>
          <w:szCs w:val="26"/>
          <w:rtl/>
        </w:rPr>
      </w:pPr>
      <w:r>
        <w:rPr>
          <w:rFonts w:hint="cs"/>
          <w:b/>
          <w:bCs/>
          <w:sz w:val="26"/>
          <w:szCs w:val="26"/>
          <w:rtl/>
        </w:rPr>
        <w:t>"הענישה בעבירות מסוג זה נועדה, קודם לכל, לשרת את מטרת הגמול לעבריין על עיסוק בסם העלול לסכן חיי אדם ולפגוע בבריאות המשתמשים בו; שנית, על העונש להעביר מסר חד-משמעי של הרתעה ביחס לעבריינים פוטנציאליים, ולשמש אות אזהרה אפקטיבי לכל מי שמתכוון לקחת חלק במערכת ההעברות והסחר בסמים, תהא אשר תהא הפונקציה אותה הוא ממלא בשרשרת זו של העברת הסם מיד ליד"</w:t>
      </w:r>
    </w:p>
    <w:p w14:paraId="59DE9E5E" w14:textId="77777777" w:rsidR="001D5653" w:rsidRDefault="001D5653">
      <w:pPr>
        <w:spacing w:line="360" w:lineRule="auto"/>
        <w:jc w:val="both"/>
        <w:rPr>
          <w:sz w:val="26"/>
          <w:szCs w:val="26"/>
          <w:rtl/>
        </w:rPr>
      </w:pPr>
    </w:p>
    <w:p w14:paraId="4C6E5516" w14:textId="77777777" w:rsidR="001D5653" w:rsidRDefault="00310D45">
      <w:pPr>
        <w:spacing w:line="360" w:lineRule="auto"/>
        <w:jc w:val="both"/>
        <w:rPr>
          <w:sz w:val="26"/>
          <w:szCs w:val="26"/>
          <w:rtl/>
        </w:rPr>
      </w:pPr>
      <w:r>
        <w:rPr>
          <w:rFonts w:hint="cs"/>
          <w:sz w:val="26"/>
          <w:szCs w:val="26"/>
          <w:rtl/>
        </w:rPr>
        <w:t>אשר לנסיבות ביצוע העבירות במקרה שבפני, ב-3 האישומים סופקו הסמים לסוכן משטרתי, תוך זמן קצר מרגע הדרישה, בכמויות לא מבוטלות, ועל אף זאת נראה כי היו זמינים ונגישים לנאשם. בשניים מהמקרים היה מעורב בעסקאות מתווך אשר בעת ביצוע העבירות ריצה עונש מאסר, ומתא כלאו יצר קשר עם הנאשם, דבר המלמד על תחכום בביצוע העבירות ועל מעורבותו של הנאשם עמוק בעולם הסמים. גם העובדה לפיה קיבל  הנאשם תמורה יפה עבור הסמים וסמיכות הזמנים בין 3 המכירות מלמדות כי אין מדובר במכירה אקראית.</w:t>
      </w:r>
    </w:p>
    <w:p w14:paraId="3FC31E22" w14:textId="77777777" w:rsidR="001D5653" w:rsidRDefault="001D5653">
      <w:pPr>
        <w:spacing w:line="360" w:lineRule="auto"/>
        <w:jc w:val="both"/>
        <w:rPr>
          <w:sz w:val="26"/>
          <w:szCs w:val="26"/>
          <w:rtl/>
        </w:rPr>
      </w:pPr>
    </w:p>
    <w:p w14:paraId="3B67E2D5" w14:textId="77777777" w:rsidR="001D5653" w:rsidRDefault="00310D45">
      <w:pPr>
        <w:spacing w:line="360" w:lineRule="auto"/>
        <w:jc w:val="both"/>
        <w:rPr>
          <w:sz w:val="26"/>
          <w:szCs w:val="26"/>
          <w:rtl/>
        </w:rPr>
      </w:pPr>
      <w:r>
        <w:rPr>
          <w:rFonts w:hint="cs"/>
          <w:sz w:val="26"/>
          <w:szCs w:val="26"/>
          <w:rtl/>
        </w:rPr>
        <w:t xml:space="preserve">מנגד, יש לתת את הדעת כי ב-3 העסקאות, הסוכן המשטרתי הוא אשר פנה אל הנאשם ויזם את העסקאות וכי מדובר בסם קנביס (חשיש), שאינו נמנה על הסמים המוגדרים כסמים קשים. </w:t>
      </w:r>
    </w:p>
    <w:p w14:paraId="1B75CF1C" w14:textId="77777777" w:rsidR="001D5653" w:rsidRDefault="001D5653">
      <w:pPr>
        <w:spacing w:line="360" w:lineRule="auto"/>
        <w:jc w:val="both"/>
        <w:rPr>
          <w:sz w:val="26"/>
          <w:szCs w:val="26"/>
          <w:rtl/>
        </w:rPr>
      </w:pPr>
    </w:p>
    <w:p w14:paraId="119734D3" w14:textId="77777777" w:rsidR="001D5653" w:rsidRDefault="00310D45">
      <w:pPr>
        <w:spacing w:line="360" w:lineRule="auto"/>
        <w:jc w:val="both"/>
        <w:rPr>
          <w:sz w:val="26"/>
          <w:szCs w:val="26"/>
          <w:rtl/>
        </w:rPr>
      </w:pPr>
      <w:r>
        <w:rPr>
          <w:rFonts w:hint="cs"/>
          <w:sz w:val="26"/>
          <w:szCs w:val="26"/>
          <w:rtl/>
        </w:rPr>
        <w:t>בחינת הענישה הנוהגת מעלה כי בגין עבירה אחת של סחר בסם בעבירות חשיש, בנסיבות דומות למקרה שבפני נגזר עונש שנע החל ממאסר מותנה, דרך מאסרים לריצוי בעבודות שירות וכלה בעונשי מאסר בפועל מאחורי סורג ובריח למספר חודשים כאשר חשיבות רבה מוענקת בעיקר לכמות הסם.</w:t>
      </w:r>
    </w:p>
    <w:p w14:paraId="70D23959" w14:textId="77777777" w:rsidR="001D5653" w:rsidRDefault="001D5653">
      <w:pPr>
        <w:spacing w:line="360" w:lineRule="auto"/>
        <w:jc w:val="both"/>
        <w:rPr>
          <w:sz w:val="26"/>
          <w:szCs w:val="26"/>
        </w:rPr>
      </w:pPr>
    </w:p>
    <w:p w14:paraId="4BEEFC19" w14:textId="77777777" w:rsidR="001D5653" w:rsidRDefault="00310D45">
      <w:pPr>
        <w:spacing w:line="360" w:lineRule="auto"/>
        <w:jc w:val="both"/>
        <w:rPr>
          <w:sz w:val="26"/>
          <w:szCs w:val="26"/>
          <w:rtl/>
        </w:rPr>
      </w:pPr>
      <w:r>
        <w:rPr>
          <w:rFonts w:hint="cs"/>
          <w:sz w:val="26"/>
          <w:szCs w:val="26"/>
          <w:rtl/>
        </w:rPr>
        <w:t>ב</w:t>
      </w:r>
      <w:hyperlink r:id="rId16" w:history="1">
        <w:r w:rsidRPr="00310D45">
          <w:rPr>
            <w:b/>
            <w:bCs/>
            <w:color w:val="0000FF"/>
            <w:sz w:val="26"/>
            <w:szCs w:val="26"/>
            <w:u w:val="single"/>
            <w:rtl/>
          </w:rPr>
          <w:t>עפ"ג (י-ם) 13299-02-14</w:t>
        </w:r>
      </w:hyperlink>
      <w:r>
        <w:rPr>
          <w:rFonts w:hint="cs"/>
          <w:b/>
          <w:bCs/>
          <w:sz w:val="26"/>
          <w:szCs w:val="26"/>
          <w:rtl/>
        </w:rPr>
        <w:t xml:space="preserve"> מדינת ישראל נ' עזרא שמביק</w:t>
      </w:r>
      <w:r>
        <w:rPr>
          <w:rFonts w:hint="cs"/>
          <w:sz w:val="26"/>
          <w:szCs w:val="26"/>
          <w:rtl/>
        </w:rPr>
        <w:t xml:space="preserve"> (מיום 10/4/14), נדון ערעור המדינה על קולת עונשו של נאשם שהורשע ב- 3 עבירות סחר בסם מסוג חשיש במשקל של </w:t>
      </w:r>
      <w:smartTag w:uri="urn:schemas-microsoft-com:office:smarttags" w:element="metricconverter">
        <w:smartTagPr>
          <w:attr w:name="ProductID" w:val="98.21 גרם"/>
        </w:smartTagPr>
        <w:r>
          <w:rPr>
            <w:rFonts w:hint="cs"/>
            <w:sz w:val="26"/>
            <w:szCs w:val="26"/>
            <w:rtl/>
          </w:rPr>
          <w:t>98.21 גרם</w:t>
        </w:r>
      </w:smartTag>
      <w:r>
        <w:rPr>
          <w:rFonts w:hint="cs"/>
          <w:sz w:val="26"/>
          <w:szCs w:val="26"/>
          <w:rtl/>
        </w:rPr>
        <w:t xml:space="preserve"> תמורת 2,350 ₪, 96.88 גרם תמורת 2,250 ₪ ,ו-97.94 גרם תמורת 2,300 ₪.</w:t>
      </w:r>
    </w:p>
    <w:p w14:paraId="2A4A3329" w14:textId="77777777" w:rsidR="001D5653" w:rsidRDefault="00310D45">
      <w:pPr>
        <w:spacing w:line="360" w:lineRule="auto"/>
        <w:ind w:left="-51"/>
        <w:jc w:val="both"/>
        <w:rPr>
          <w:sz w:val="26"/>
          <w:szCs w:val="26"/>
          <w:rtl/>
        </w:rPr>
      </w:pPr>
      <w:r>
        <w:rPr>
          <w:rFonts w:hint="cs"/>
          <w:sz w:val="26"/>
          <w:szCs w:val="26"/>
          <w:rtl/>
        </w:rPr>
        <w:t>בית המשפט המחוזי בירושלים קבע כי מתחם העונש ההולם  ינוע באוותו מקרה הדומה מאוד למקרה שבפנינו, בין 9 ל- 24 חודשי מאסר.</w:t>
      </w:r>
    </w:p>
    <w:p w14:paraId="7B996AD5" w14:textId="77777777" w:rsidR="001D5653" w:rsidRDefault="001D5653">
      <w:pPr>
        <w:spacing w:line="360" w:lineRule="auto"/>
        <w:ind w:left="-51"/>
        <w:jc w:val="both"/>
        <w:rPr>
          <w:sz w:val="26"/>
          <w:szCs w:val="26"/>
          <w:rtl/>
        </w:rPr>
      </w:pPr>
    </w:p>
    <w:p w14:paraId="47A45D66" w14:textId="77777777" w:rsidR="001D5653" w:rsidRDefault="001D5653">
      <w:pPr>
        <w:rPr>
          <w:sz w:val="26"/>
          <w:szCs w:val="26"/>
          <w:rtl/>
        </w:rPr>
      </w:pPr>
    </w:p>
    <w:p w14:paraId="079FDAD0" w14:textId="77777777" w:rsidR="001D5653" w:rsidRDefault="00310D45">
      <w:pPr>
        <w:spacing w:line="360" w:lineRule="auto"/>
        <w:jc w:val="both"/>
        <w:rPr>
          <w:b/>
          <w:bCs/>
          <w:sz w:val="26"/>
          <w:szCs w:val="26"/>
          <w:rtl/>
        </w:rPr>
      </w:pPr>
      <w:r>
        <w:rPr>
          <w:rFonts w:hint="cs"/>
          <w:b/>
          <w:bCs/>
          <w:sz w:val="26"/>
          <w:szCs w:val="26"/>
          <w:rtl/>
        </w:rPr>
        <w:t>במקרה שבפני, בהתחשב במידת הפגיעה בערך המוגן, בכמות הסם, סוגו, בעובדה לפיה מדובר ב-3 מקרים רצופים, בנסיבות הקשורות בביצוע העבירה ומדיניות הענישה הנוהגת אני סבור כי מתחם הענישה לכל האישומים נע בין 9 ל-24 חודשי מאסר.</w:t>
      </w:r>
    </w:p>
    <w:p w14:paraId="1A9A1F5A" w14:textId="77777777" w:rsidR="001D5653" w:rsidRDefault="001D5653">
      <w:pPr>
        <w:rPr>
          <w:sz w:val="26"/>
          <w:szCs w:val="26"/>
          <w:rtl/>
        </w:rPr>
      </w:pPr>
    </w:p>
    <w:p w14:paraId="25B1859B" w14:textId="77777777" w:rsidR="001D5653" w:rsidRDefault="001D5653">
      <w:pPr>
        <w:rPr>
          <w:sz w:val="26"/>
          <w:szCs w:val="26"/>
          <w:rtl/>
        </w:rPr>
      </w:pPr>
    </w:p>
    <w:p w14:paraId="265F50D8" w14:textId="77777777" w:rsidR="001D5653" w:rsidRDefault="00310D45">
      <w:pPr>
        <w:rPr>
          <w:b/>
          <w:bCs/>
          <w:sz w:val="28"/>
          <w:szCs w:val="28"/>
          <w:rtl/>
        </w:rPr>
      </w:pPr>
      <w:r>
        <w:rPr>
          <w:rFonts w:hint="cs"/>
          <w:b/>
          <w:bCs/>
          <w:sz w:val="28"/>
          <w:szCs w:val="28"/>
          <w:rtl/>
        </w:rPr>
        <w:t>העונש המתאים לנאשם</w:t>
      </w:r>
    </w:p>
    <w:p w14:paraId="31AD3786" w14:textId="77777777" w:rsidR="001D5653" w:rsidRDefault="001D5653">
      <w:pPr>
        <w:spacing w:line="360" w:lineRule="auto"/>
        <w:jc w:val="both"/>
        <w:rPr>
          <w:rFonts w:ascii="Arial" w:hAnsi="Arial"/>
          <w:sz w:val="26"/>
          <w:szCs w:val="26"/>
          <w:rtl/>
        </w:rPr>
      </w:pPr>
    </w:p>
    <w:p w14:paraId="5D37ED57" w14:textId="77777777" w:rsidR="001D5653" w:rsidRDefault="00310D45">
      <w:pPr>
        <w:spacing w:line="360" w:lineRule="auto"/>
        <w:jc w:val="both"/>
        <w:rPr>
          <w:rFonts w:ascii="Arial" w:hAnsi="Arial"/>
          <w:sz w:val="26"/>
          <w:szCs w:val="26"/>
          <w:rtl/>
        </w:rPr>
      </w:pPr>
      <w:r>
        <w:rPr>
          <w:rFonts w:ascii="Arial" w:hAnsi="Arial" w:hint="cs"/>
          <w:sz w:val="26"/>
          <w:szCs w:val="26"/>
          <w:rtl/>
        </w:rPr>
        <w:t>במסגרת קביעת העונש אותו יש להשית על הנאשם רשאי בית המשפט להתחשב בנסיבות שאינן קשורות לביצוע העבירה, עליהן ניתן ללמוד מטיעוני הצדדים ומגיליון הרישום הפלילי של הנאשם.</w:t>
      </w:r>
    </w:p>
    <w:p w14:paraId="4598FE65" w14:textId="77777777" w:rsidR="001D5653" w:rsidRDefault="001D5653">
      <w:pPr>
        <w:spacing w:line="360" w:lineRule="auto"/>
        <w:jc w:val="both"/>
        <w:rPr>
          <w:rFonts w:ascii="Arial" w:hAnsi="Arial"/>
          <w:sz w:val="26"/>
          <w:szCs w:val="26"/>
          <w:rtl/>
        </w:rPr>
      </w:pPr>
    </w:p>
    <w:p w14:paraId="19642FBA" w14:textId="77777777" w:rsidR="001D5653" w:rsidRDefault="00310D45">
      <w:pPr>
        <w:spacing w:line="360" w:lineRule="auto"/>
        <w:jc w:val="both"/>
        <w:rPr>
          <w:rFonts w:ascii="Arial" w:hAnsi="Arial"/>
          <w:sz w:val="26"/>
          <w:szCs w:val="26"/>
          <w:rtl/>
        </w:rPr>
      </w:pPr>
      <w:r>
        <w:rPr>
          <w:rFonts w:ascii="Arial" w:hAnsi="Arial" w:hint="cs"/>
          <w:sz w:val="26"/>
          <w:szCs w:val="26"/>
          <w:rtl/>
        </w:rPr>
        <w:t>בעניינו של הנאשם לא הוכן תסקיר שירות מבחן, זאת לבקשת הנאשם.</w:t>
      </w:r>
    </w:p>
    <w:p w14:paraId="3387AD8A" w14:textId="77777777" w:rsidR="001D5653" w:rsidRDefault="001D5653">
      <w:pPr>
        <w:spacing w:line="360" w:lineRule="auto"/>
        <w:jc w:val="both"/>
        <w:rPr>
          <w:rFonts w:ascii="Arial" w:hAnsi="Arial"/>
          <w:sz w:val="26"/>
          <w:szCs w:val="26"/>
          <w:rtl/>
        </w:rPr>
      </w:pPr>
    </w:p>
    <w:p w14:paraId="77195F18" w14:textId="77777777" w:rsidR="001D5653" w:rsidRDefault="00310D45">
      <w:pPr>
        <w:spacing w:line="360" w:lineRule="auto"/>
        <w:jc w:val="both"/>
        <w:rPr>
          <w:rFonts w:ascii="Arial" w:hAnsi="Arial"/>
          <w:sz w:val="26"/>
          <w:szCs w:val="26"/>
          <w:rtl/>
        </w:rPr>
      </w:pPr>
      <w:r>
        <w:rPr>
          <w:rFonts w:ascii="Arial" w:hAnsi="Arial" w:hint="cs"/>
          <w:sz w:val="26"/>
          <w:szCs w:val="26"/>
          <w:rtl/>
        </w:rPr>
        <w:t>במועד הטיעונים לעונש, טען הסנגור כי הנאשם מגיע מרקע משפחתי לא פשוט ומסכת חייו כוללת משבר עליה, מצב כלכלי קשה והעדר תמיכה הורית. לבית המשפט הוגשו מסמכים המעידים כי לנאשם חובות בסך כ-6,000 ש"ח לרשות האכיפה והגביה בגין עבירות תעבורה בהן הורשע.</w:t>
      </w:r>
    </w:p>
    <w:p w14:paraId="2362255D" w14:textId="77777777" w:rsidR="001D5653" w:rsidRDefault="001D5653">
      <w:pPr>
        <w:spacing w:line="360" w:lineRule="auto"/>
        <w:jc w:val="both"/>
        <w:rPr>
          <w:rFonts w:ascii="Arial" w:hAnsi="Arial"/>
          <w:sz w:val="26"/>
          <w:szCs w:val="26"/>
          <w:rtl/>
        </w:rPr>
      </w:pPr>
    </w:p>
    <w:p w14:paraId="07402E31" w14:textId="77777777" w:rsidR="001D5653" w:rsidRDefault="00310D45">
      <w:pPr>
        <w:spacing w:line="360" w:lineRule="auto"/>
        <w:jc w:val="both"/>
        <w:rPr>
          <w:rFonts w:ascii="Arial" w:hAnsi="Arial"/>
          <w:sz w:val="26"/>
          <w:szCs w:val="26"/>
          <w:rtl/>
        </w:rPr>
      </w:pPr>
      <w:r>
        <w:rPr>
          <w:rFonts w:ascii="Arial" w:hAnsi="Arial" w:hint="cs"/>
          <w:sz w:val="26"/>
          <w:szCs w:val="26"/>
          <w:rtl/>
        </w:rPr>
        <w:t>הנאשם הודה בכתב האישום וחסך זמן שיפוטי יקר ובעת הטיעונים לעונש המביע בפני בית משפט חרטה על מעשיו.</w:t>
      </w:r>
    </w:p>
    <w:p w14:paraId="4438B344" w14:textId="77777777" w:rsidR="001D5653" w:rsidRDefault="001D5653">
      <w:pPr>
        <w:spacing w:line="360" w:lineRule="auto"/>
        <w:jc w:val="both"/>
        <w:rPr>
          <w:rFonts w:ascii="Arial" w:hAnsi="Arial"/>
          <w:sz w:val="26"/>
          <w:szCs w:val="26"/>
          <w:rtl/>
        </w:rPr>
      </w:pPr>
    </w:p>
    <w:p w14:paraId="4E420AA6" w14:textId="77777777" w:rsidR="001D5653" w:rsidRDefault="00310D45">
      <w:pPr>
        <w:spacing w:line="360" w:lineRule="auto"/>
        <w:jc w:val="both"/>
        <w:rPr>
          <w:rFonts w:ascii="Arial" w:hAnsi="Arial"/>
          <w:sz w:val="26"/>
          <w:szCs w:val="26"/>
          <w:rtl/>
        </w:rPr>
      </w:pPr>
      <w:r>
        <w:rPr>
          <w:rFonts w:ascii="Arial" w:hAnsi="Arial" w:hint="cs"/>
          <w:sz w:val="26"/>
          <w:szCs w:val="26"/>
          <w:rtl/>
        </w:rPr>
        <w:t xml:space="preserve">עיון בגיליון הרישום הפלילי של הנאשם מעלה כי לנאשם עבר פלילי עשיר, הכולל מספר לא מבוטל של הרשעות בעבירות סמים לסוגיהן, לרבות עבירות סחר בסמים. הנאשם ריצה עונשי מאסר לתקופות לא מבוטלות, ולחובתו מאסר מותנה בן 3 חודשים בר הפעלה בתיק בגין הרשעה בעבירת של סחר בסם שהושת על הנאשם במסגרת </w:t>
      </w:r>
      <w:hyperlink r:id="rId17" w:history="1">
        <w:r w:rsidRPr="00310D45">
          <w:rPr>
            <w:rFonts w:ascii="Arial" w:hAnsi="Arial"/>
            <w:color w:val="0000FF"/>
            <w:sz w:val="26"/>
            <w:szCs w:val="26"/>
            <w:u w:val="single"/>
            <w:rtl/>
          </w:rPr>
          <w:t>ת"פ 16922-03-12</w:t>
        </w:r>
      </w:hyperlink>
      <w:r>
        <w:rPr>
          <w:rFonts w:ascii="Arial" w:hAnsi="Arial" w:hint="cs"/>
          <w:sz w:val="26"/>
          <w:szCs w:val="26"/>
          <w:rtl/>
        </w:rPr>
        <w:t xml:space="preserve"> (שלום-פתח תקווה). </w:t>
      </w:r>
    </w:p>
    <w:p w14:paraId="569F5F11" w14:textId="77777777" w:rsidR="001D5653" w:rsidRDefault="00310D45">
      <w:pPr>
        <w:spacing w:line="360" w:lineRule="auto"/>
        <w:jc w:val="both"/>
        <w:rPr>
          <w:rFonts w:ascii="Arial" w:hAnsi="Arial"/>
          <w:sz w:val="26"/>
          <w:szCs w:val="26"/>
          <w:rtl/>
        </w:rPr>
      </w:pPr>
      <w:r>
        <w:rPr>
          <w:rFonts w:ascii="Arial" w:hAnsi="Arial" w:hint="cs"/>
          <w:sz w:val="26"/>
          <w:szCs w:val="26"/>
          <w:rtl/>
        </w:rPr>
        <w:t>עוד אציין כי ביום 29/5/14 הורשע הנאשם בביצוע עבירה של קבלת נכסים שהושגו בעוון ובגינה ריצה חודש מאסר.</w:t>
      </w:r>
    </w:p>
    <w:p w14:paraId="3B0EE412" w14:textId="77777777" w:rsidR="001D5653" w:rsidRDefault="001D5653">
      <w:pPr>
        <w:spacing w:line="360" w:lineRule="auto"/>
        <w:jc w:val="both"/>
        <w:rPr>
          <w:rFonts w:ascii="Arial" w:hAnsi="Arial"/>
          <w:sz w:val="26"/>
          <w:szCs w:val="26"/>
          <w:rtl/>
        </w:rPr>
      </w:pPr>
    </w:p>
    <w:p w14:paraId="455058A9" w14:textId="77777777" w:rsidR="001D5653" w:rsidRDefault="00310D45">
      <w:pPr>
        <w:spacing w:line="360" w:lineRule="auto"/>
        <w:jc w:val="both"/>
        <w:rPr>
          <w:rFonts w:ascii="Arial" w:hAnsi="Arial"/>
          <w:sz w:val="26"/>
          <w:szCs w:val="26"/>
          <w:rtl/>
        </w:rPr>
      </w:pPr>
      <w:r>
        <w:rPr>
          <w:rFonts w:ascii="Arial" w:hAnsi="Arial" w:hint="cs"/>
          <w:sz w:val="26"/>
          <w:szCs w:val="26"/>
          <w:rtl/>
        </w:rPr>
        <w:t>מן המקובץ עולה כי הנאשם מצוי עמוק בעולם הסמים, ופעם אחר פעם חוזר לבצע עבירות סמים, וגם עונש מאסר מותנה לא הביא להרתעתו. הנאשם לא עבר הליך טיפולי ואף ביקש שלא להגיע לשירות המבחן, דבר המעלה ספק ברצינות הצהרתו כי לא ישוב לבצע עבירות וכי הינו נוטל אחריות על מעשיו ועל מצבו.</w:t>
      </w:r>
    </w:p>
    <w:p w14:paraId="3666283B" w14:textId="77777777" w:rsidR="001D5653" w:rsidRDefault="001D5653">
      <w:pPr>
        <w:spacing w:line="360" w:lineRule="auto"/>
        <w:jc w:val="both"/>
        <w:rPr>
          <w:rFonts w:ascii="Arial" w:hAnsi="Arial"/>
          <w:sz w:val="26"/>
          <w:szCs w:val="26"/>
          <w:rtl/>
        </w:rPr>
      </w:pPr>
    </w:p>
    <w:p w14:paraId="08223B4D" w14:textId="77777777" w:rsidR="001D5653" w:rsidRDefault="00310D45">
      <w:pPr>
        <w:spacing w:line="360" w:lineRule="auto"/>
        <w:jc w:val="both"/>
        <w:rPr>
          <w:rFonts w:ascii="Arial" w:hAnsi="Arial"/>
          <w:sz w:val="26"/>
          <w:szCs w:val="26"/>
          <w:rtl/>
        </w:rPr>
      </w:pPr>
      <w:r>
        <w:rPr>
          <w:rFonts w:ascii="Arial" w:hAnsi="Arial" w:hint="cs"/>
          <w:sz w:val="26"/>
          <w:szCs w:val="26"/>
          <w:rtl/>
        </w:rPr>
        <w:t xml:space="preserve">בתיק שבפניי אין המדובר כמצוין לעיל בעבירה אחת אלא בשלוש עבירות ולטעמי אין מנוס אלא מלהכביד עם הנאשם שבפניי בהשתת ענישה מוחשית, הן מטעמי גמול והן מטעמי הרתעה. </w:t>
      </w:r>
    </w:p>
    <w:p w14:paraId="2449A09D" w14:textId="77777777" w:rsidR="001D5653" w:rsidRDefault="001D5653">
      <w:pPr>
        <w:spacing w:line="360" w:lineRule="auto"/>
        <w:jc w:val="both"/>
        <w:rPr>
          <w:rFonts w:ascii="Arial" w:hAnsi="Arial"/>
          <w:sz w:val="26"/>
          <w:szCs w:val="26"/>
          <w:rtl/>
        </w:rPr>
      </w:pPr>
    </w:p>
    <w:p w14:paraId="37A35DE2" w14:textId="77777777" w:rsidR="001D5653" w:rsidRDefault="00310D45">
      <w:pPr>
        <w:spacing w:line="360" w:lineRule="auto"/>
        <w:jc w:val="both"/>
        <w:rPr>
          <w:rFonts w:ascii="Arial" w:hAnsi="Arial"/>
          <w:b/>
          <w:bCs/>
          <w:sz w:val="26"/>
          <w:szCs w:val="26"/>
          <w:rtl/>
        </w:rPr>
      </w:pPr>
      <w:r>
        <w:rPr>
          <w:rFonts w:ascii="Arial" w:hAnsi="Arial" w:hint="cs"/>
          <w:b/>
          <w:bCs/>
          <w:sz w:val="26"/>
          <w:szCs w:val="26"/>
          <w:rtl/>
        </w:rPr>
        <w:t>לפיכך אני דן את הנאשם לעונשים הבאים:</w:t>
      </w:r>
    </w:p>
    <w:p w14:paraId="11557F72" w14:textId="77777777" w:rsidR="001D5653" w:rsidRDefault="001D5653">
      <w:pPr>
        <w:spacing w:line="360" w:lineRule="auto"/>
        <w:jc w:val="both"/>
        <w:rPr>
          <w:rFonts w:ascii="Arial" w:hAnsi="Arial"/>
          <w:b/>
          <w:bCs/>
          <w:sz w:val="26"/>
          <w:szCs w:val="26"/>
          <w:rtl/>
        </w:rPr>
      </w:pPr>
    </w:p>
    <w:p w14:paraId="1806F1D0" w14:textId="77777777" w:rsidR="001D5653" w:rsidRDefault="00310D45">
      <w:pPr>
        <w:spacing w:line="360" w:lineRule="auto"/>
        <w:jc w:val="both"/>
        <w:rPr>
          <w:rFonts w:ascii="Arial" w:hAnsi="Arial"/>
          <w:sz w:val="26"/>
          <w:szCs w:val="26"/>
          <w:rtl/>
        </w:rPr>
      </w:pPr>
      <w:r>
        <w:rPr>
          <w:rFonts w:ascii="Arial" w:hAnsi="Arial" w:hint="cs"/>
          <w:sz w:val="26"/>
          <w:szCs w:val="26"/>
          <w:rtl/>
        </w:rPr>
        <w:t>1.</w:t>
      </w:r>
      <w:r>
        <w:rPr>
          <w:rFonts w:ascii="Arial" w:hAnsi="Arial" w:hint="cs"/>
          <w:sz w:val="26"/>
          <w:szCs w:val="26"/>
          <w:rtl/>
        </w:rPr>
        <w:tab/>
        <w:t>17 חודשי מאסר בפועל.</w:t>
      </w:r>
    </w:p>
    <w:p w14:paraId="5D777148" w14:textId="77777777" w:rsidR="001D5653" w:rsidRDefault="00310D45">
      <w:pPr>
        <w:spacing w:line="360" w:lineRule="auto"/>
        <w:ind w:left="720" w:hanging="720"/>
        <w:jc w:val="both"/>
        <w:rPr>
          <w:rFonts w:ascii="Arial" w:hAnsi="Arial"/>
          <w:sz w:val="26"/>
          <w:szCs w:val="26"/>
          <w:rtl/>
        </w:rPr>
      </w:pPr>
      <w:r>
        <w:rPr>
          <w:rFonts w:ascii="Arial" w:hAnsi="Arial" w:hint="cs"/>
          <w:sz w:val="26"/>
          <w:szCs w:val="26"/>
          <w:rtl/>
        </w:rPr>
        <w:t>2.</w:t>
      </w:r>
      <w:r>
        <w:rPr>
          <w:rFonts w:ascii="Arial" w:hAnsi="Arial" w:hint="cs"/>
          <w:sz w:val="26"/>
          <w:szCs w:val="26"/>
          <w:rtl/>
        </w:rPr>
        <w:tab/>
        <w:t>מורה על הפעלת עונש מאסר מותנה בן 3 חודשים אשר הושת על הנאשם ב</w:t>
      </w:r>
      <w:hyperlink r:id="rId18" w:history="1">
        <w:r w:rsidRPr="00310D45">
          <w:rPr>
            <w:rFonts w:ascii="Arial" w:hAnsi="Arial"/>
            <w:color w:val="0000FF"/>
            <w:sz w:val="26"/>
            <w:szCs w:val="26"/>
            <w:u w:val="single"/>
            <w:rtl/>
          </w:rPr>
          <w:t>ת"פ 16922-03-12</w:t>
        </w:r>
      </w:hyperlink>
      <w:r>
        <w:rPr>
          <w:rFonts w:ascii="Arial" w:hAnsi="Arial" w:hint="cs"/>
          <w:sz w:val="26"/>
          <w:szCs w:val="26"/>
          <w:rtl/>
        </w:rPr>
        <w:t xml:space="preserve"> בבית משפט השלום בפתח תקווה ביום  7/6/12 .עונש זה ירוצה במצטבר לעונש המאסר הנזכר בסעיף 1 דלעיל. </w:t>
      </w:r>
    </w:p>
    <w:p w14:paraId="4A41C440" w14:textId="77777777" w:rsidR="001D5653" w:rsidRDefault="00310D45">
      <w:pPr>
        <w:spacing w:line="360" w:lineRule="auto"/>
        <w:ind w:left="720" w:hanging="720"/>
        <w:jc w:val="both"/>
        <w:rPr>
          <w:rFonts w:ascii="Arial" w:hAnsi="Arial"/>
          <w:sz w:val="26"/>
          <w:szCs w:val="26"/>
          <w:rtl/>
        </w:rPr>
      </w:pPr>
      <w:r>
        <w:rPr>
          <w:rFonts w:ascii="Arial" w:hAnsi="Arial" w:hint="cs"/>
          <w:sz w:val="26"/>
          <w:szCs w:val="26"/>
          <w:rtl/>
        </w:rPr>
        <w:t xml:space="preserve">            בסיכום ירצה הנאשם 20 חודשי מאסר.</w:t>
      </w:r>
    </w:p>
    <w:p w14:paraId="5812B712" w14:textId="77777777" w:rsidR="001D5653" w:rsidRDefault="00310D45">
      <w:pPr>
        <w:spacing w:line="360" w:lineRule="auto"/>
        <w:ind w:left="720" w:hanging="720"/>
        <w:jc w:val="both"/>
        <w:rPr>
          <w:rFonts w:ascii="Arial" w:hAnsi="Arial"/>
          <w:sz w:val="26"/>
          <w:szCs w:val="26"/>
          <w:rtl/>
        </w:rPr>
      </w:pPr>
      <w:r>
        <w:rPr>
          <w:rFonts w:ascii="Arial" w:hAnsi="Arial" w:hint="cs"/>
          <w:sz w:val="26"/>
          <w:szCs w:val="26"/>
          <w:rtl/>
        </w:rPr>
        <w:t>3.</w:t>
      </w:r>
      <w:r>
        <w:rPr>
          <w:rFonts w:ascii="Arial" w:hAnsi="Arial" w:hint="cs"/>
          <w:sz w:val="26"/>
          <w:szCs w:val="26"/>
          <w:rtl/>
        </w:rPr>
        <w:tab/>
        <w:t xml:space="preserve">תשעה חודשי מאסר ,וזאת על תנאי למשך תקופה בת 36 חודשים מיום שחרורו ממאסר, אם יעבור הנאשם משך תקופה זו עבירה על </w:t>
      </w:r>
      <w:hyperlink r:id="rId19" w:history="1">
        <w:r w:rsidRPr="00310D45">
          <w:rPr>
            <w:rFonts w:ascii="Arial" w:hAnsi="Arial"/>
            <w:color w:val="0000FF"/>
            <w:sz w:val="26"/>
            <w:szCs w:val="26"/>
            <w:u w:val="single"/>
            <w:rtl/>
          </w:rPr>
          <w:t>פקודת הסמים המסוכנים</w:t>
        </w:r>
      </w:hyperlink>
      <w:r>
        <w:rPr>
          <w:rFonts w:ascii="Arial" w:hAnsi="Arial" w:hint="cs"/>
          <w:sz w:val="26"/>
          <w:szCs w:val="26"/>
          <w:rtl/>
        </w:rPr>
        <w:t xml:space="preserve"> מסוג פשע.</w:t>
      </w:r>
    </w:p>
    <w:p w14:paraId="610615FD" w14:textId="77777777" w:rsidR="001D5653" w:rsidRDefault="00310D45">
      <w:pPr>
        <w:spacing w:line="360" w:lineRule="auto"/>
        <w:ind w:left="720" w:hanging="720"/>
        <w:jc w:val="both"/>
        <w:rPr>
          <w:rFonts w:ascii="Arial" w:hAnsi="Arial"/>
          <w:sz w:val="26"/>
          <w:szCs w:val="26"/>
          <w:rtl/>
        </w:rPr>
      </w:pPr>
      <w:r>
        <w:rPr>
          <w:rFonts w:ascii="Arial" w:hAnsi="Arial" w:hint="cs"/>
          <w:sz w:val="26"/>
          <w:szCs w:val="26"/>
          <w:rtl/>
        </w:rPr>
        <w:t>4.</w:t>
      </w:r>
      <w:r>
        <w:rPr>
          <w:rFonts w:ascii="Arial" w:hAnsi="Arial" w:hint="cs"/>
          <w:sz w:val="26"/>
          <w:szCs w:val="26"/>
          <w:rtl/>
        </w:rPr>
        <w:tab/>
        <w:t xml:space="preserve">שלושה חודשי מאסר, וזאת על תנאי למשך תקופה בת 36 חודשים מיום שחרורו ממאסר, אם יעבור הנאשם משך תקופה זו עבירה על </w:t>
      </w:r>
      <w:hyperlink r:id="rId20" w:history="1">
        <w:r w:rsidRPr="00310D45">
          <w:rPr>
            <w:rFonts w:ascii="Arial" w:hAnsi="Arial"/>
            <w:color w:val="0000FF"/>
            <w:sz w:val="26"/>
            <w:szCs w:val="26"/>
            <w:u w:val="single"/>
            <w:rtl/>
          </w:rPr>
          <w:t>פקודת הסמים המסוכנים</w:t>
        </w:r>
      </w:hyperlink>
      <w:r>
        <w:rPr>
          <w:rFonts w:ascii="Arial" w:hAnsi="Arial" w:hint="cs"/>
          <w:sz w:val="26"/>
          <w:szCs w:val="26"/>
          <w:rtl/>
        </w:rPr>
        <w:t xml:space="preserve"> שאינה פשע, ו/או ינהג רכב בזמן פסילה.</w:t>
      </w:r>
    </w:p>
    <w:p w14:paraId="41866CB1" w14:textId="77777777" w:rsidR="001D5653" w:rsidRDefault="00310D45">
      <w:pPr>
        <w:spacing w:line="360" w:lineRule="auto"/>
        <w:ind w:left="720" w:hanging="720"/>
        <w:jc w:val="both"/>
        <w:rPr>
          <w:rFonts w:ascii="Arial" w:hAnsi="Arial"/>
          <w:sz w:val="26"/>
          <w:szCs w:val="26"/>
          <w:rtl/>
        </w:rPr>
      </w:pPr>
      <w:r>
        <w:rPr>
          <w:rFonts w:ascii="Arial" w:hAnsi="Arial" w:hint="cs"/>
          <w:sz w:val="26"/>
          <w:szCs w:val="26"/>
          <w:rtl/>
        </w:rPr>
        <w:t>5.</w:t>
      </w:r>
      <w:r>
        <w:rPr>
          <w:rFonts w:ascii="Arial" w:hAnsi="Arial" w:hint="cs"/>
          <w:sz w:val="26"/>
          <w:szCs w:val="26"/>
          <w:rtl/>
        </w:rPr>
        <w:tab/>
        <w:t xml:space="preserve">פוסל את הנאשם מלנהוג למשך 11 חודשים מיום שחרורו ממאסר. הנאשם יפקיד רישיונו במזכירות בית משפט מיד עם שיחרורו. </w:t>
      </w:r>
    </w:p>
    <w:p w14:paraId="5D049DB6" w14:textId="77777777" w:rsidR="001D5653" w:rsidRDefault="00310D45">
      <w:pPr>
        <w:spacing w:line="360" w:lineRule="auto"/>
        <w:ind w:left="720" w:hanging="720"/>
        <w:jc w:val="both"/>
        <w:rPr>
          <w:rFonts w:ascii="Arial" w:hAnsi="Arial"/>
          <w:sz w:val="26"/>
          <w:szCs w:val="26"/>
          <w:rtl/>
        </w:rPr>
      </w:pPr>
      <w:r>
        <w:rPr>
          <w:rFonts w:ascii="Arial" w:hAnsi="Arial" w:hint="cs"/>
          <w:sz w:val="26"/>
          <w:szCs w:val="26"/>
          <w:rtl/>
        </w:rPr>
        <w:t>6.</w:t>
      </w:r>
      <w:r>
        <w:rPr>
          <w:rFonts w:ascii="Arial" w:hAnsi="Arial" w:hint="cs"/>
          <w:sz w:val="26"/>
          <w:szCs w:val="26"/>
          <w:rtl/>
        </w:rPr>
        <w:tab/>
        <w:t xml:space="preserve">מורה על חילוט והשמדת הסמים שנתפסו וכן מורה על חילוט סכומי הכסף שנתפסו אצל הנאשם בעת מעצרו לטובת אוצר המדינה. </w:t>
      </w:r>
    </w:p>
    <w:p w14:paraId="15234009" w14:textId="77777777" w:rsidR="001D5653" w:rsidRDefault="001D5653">
      <w:pPr>
        <w:spacing w:line="360" w:lineRule="auto"/>
        <w:jc w:val="both"/>
        <w:rPr>
          <w:rFonts w:ascii="Arial" w:hAnsi="Arial"/>
          <w:sz w:val="26"/>
          <w:szCs w:val="26"/>
          <w:rtl/>
        </w:rPr>
      </w:pPr>
    </w:p>
    <w:p w14:paraId="045C68D9" w14:textId="77777777" w:rsidR="001D5653" w:rsidRDefault="00310D45">
      <w:pPr>
        <w:spacing w:line="360" w:lineRule="auto"/>
        <w:jc w:val="both"/>
        <w:rPr>
          <w:rFonts w:ascii="Arial" w:hAnsi="Arial"/>
          <w:b/>
          <w:bCs/>
          <w:rtl/>
        </w:rPr>
      </w:pPr>
      <w:r>
        <w:rPr>
          <w:rFonts w:ascii="Arial" w:hAnsi="Arial" w:hint="cs"/>
          <w:b/>
          <w:bCs/>
          <w:rtl/>
        </w:rPr>
        <w:t>זכות ערעור כחוק.</w:t>
      </w:r>
    </w:p>
    <w:p w14:paraId="682EFC8F" w14:textId="77777777" w:rsidR="001D5653" w:rsidRPr="00310D45" w:rsidRDefault="00310D45">
      <w:pPr>
        <w:spacing w:line="360" w:lineRule="auto"/>
        <w:jc w:val="both"/>
        <w:rPr>
          <w:color w:val="FFFFFF"/>
          <w:sz w:val="2"/>
          <w:szCs w:val="2"/>
          <w:rtl/>
        </w:rPr>
      </w:pPr>
      <w:r w:rsidRPr="00310D45">
        <w:rPr>
          <w:color w:val="FFFFFF"/>
          <w:sz w:val="2"/>
          <w:szCs w:val="2"/>
          <w:rtl/>
        </w:rPr>
        <w:t>5129371</w:t>
      </w:r>
    </w:p>
    <w:p w14:paraId="6D9BEED6" w14:textId="77777777" w:rsidR="001D5653" w:rsidRDefault="00310D45">
      <w:pPr>
        <w:rPr>
          <w:rFonts w:cs="FrankRuehl"/>
          <w:sz w:val="28"/>
          <w:szCs w:val="28"/>
          <w:rtl/>
        </w:rPr>
      </w:pPr>
      <w:r w:rsidRPr="00310D45">
        <w:rPr>
          <w:rFonts w:ascii="Arial" w:hAnsi="Arial"/>
          <w:color w:val="FFFFFF"/>
          <w:sz w:val="2"/>
          <w:szCs w:val="2"/>
          <w:rtl/>
        </w:rPr>
        <w:t>54678313</w:t>
      </w:r>
      <w:r>
        <w:rPr>
          <w:rFonts w:ascii="Arial" w:hAnsi="Arial"/>
          <w:rtl/>
        </w:rPr>
        <w:t xml:space="preserve">ניתן היום,  י"ט שבט תשע"ה, 08 פברואר 2015, בנוכחות הצדדים. </w:t>
      </w:r>
    </w:p>
    <w:p w14:paraId="12266F5F" w14:textId="77777777" w:rsidR="001D5653" w:rsidRDefault="00310D45">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678B4B14" w14:textId="77777777" w:rsidR="001D5653" w:rsidRDefault="001D5653">
      <w:pPr>
        <w:jc w:val="center"/>
        <w:rPr>
          <w:rFonts w:ascii="Arial" w:hAnsi="Arial" w:cs="FrankRuehl"/>
          <w:sz w:val="28"/>
          <w:szCs w:val="28"/>
          <w:rtl/>
        </w:rPr>
      </w:pPr>
    </w:p>
    <w:p w14:paraId="65CC279D" w14:textId="77777777" w:rsidR="001D5653" w:rsidRDefault="001D5653">
      <w:pPr>
        <w:rPr>
          <w:rFonts w:cs="FrankRuehl"/>
          <w:sz w:val="28"/>
          <w:szCs w:val="28"/>
          <w:rtl/>
        </w:rPr>
      </w:pPr>
    </w:p>
    <w:p w14:paraId="64189AB5" w14:textId="77777777" w:rsidR="001D5653" w:rsidRDefault="001D5653">
      <w:pPr>
        <w:pStyle w:val="a3"/>
        <w:jc w:val="center"/>
        <w:rPr>
          <w:rtl/>
        </w:rPr>
      </w:pPr>
    </w:p>
    <w:p w14:paraId="1EF40871" w14:textId="77777777" w:rsidR="00310D45" w:rsidRPr="00310D45" w:rsidRDefault="00310D45" w:rsidP="00310D45">
      <w:pPr>
        <w:keepNext/>
        <w:rPr>
          <w:rFonts w:ascii="David" w:hAnsi="David"/>
          <w:color w:val="000000"/>
          <w:sz w:val="22"/>
          <w:szCs w:val="22"/>
          <w:rtl/>
        </w:rPr>
      </w:pPr>
    </w:p>
    <w:p w14:paraId="12F4A61A" w14:textId="77777777" w:rsidR="00310D45" w:rsidRPr="00310D45" w:rsidRDefault="00310D45" w:rsidP="00310D45">
      <w:pPr>
        <w:keepNext/>
        <w:rPr>
          <w:rFonts w:ascii="David" w:hAnsi="David"/>
          <w:color w:val="000000"/>
          <w:sz w:val="22"/>
          <w:szCs w:val="22"/>
          <w:rtl/>
        </w:rPr>
      </w:pPr>
      <w:r w:rsidRPr="00310D45">
        <w:rPr>
          <w:rFonts w:ascii="David" w:hAnsi="David"/>
          <w:color w:val="000000"/>
          <w:sz w:val="22"/>
          <w:szCs w:val="22"/>
          <w:rtl/>
        </w:rPr>
        <w:t>אביטל חן 54678313</w:t>
      </w:r>
    </w:p>
    <w:p w14:paraId="4E94FF1F" w14:textId="77777777" w:rsidR="00310D45" w:rsidRDefault="00310D45" w:rsidP="00310D45">
      <w:r w:rsidRPr="00310D45">
        <w:rPr>
          <w:color w:val="000000"/>
          <w:rtl/>
        </w:rPr>
        <w:t>נוסח מסמך זה כפוף לשינויי ניסוח ועריכה</w:t>
      </w:r>
    </w:p>
    <w:p w14:paraId="450C33A2" w14:textId="77777777" w:rsidR="00310D45" w:rsidRDefault="00310D45" w:rsidP="00310D45">
      <w:pPr>
        <w:rPr>
          <w:rtl/>
        </w:rPr>
      </w:pPr>
    </w:p>
    <w:p w14:paraId="0025B2DC" w14:textId="77777777" w:rsidR="00310D45" w:rsidRDefault="00310D45" w:rsidP="00310D45">
      <w:pPr>
        <w:jc w:val="center"/>
        <w:rPr>
          <w:color w:val="0000FF"/>
          <w:u w:val="single"/>
        </w:rPr>
      </w:pPr>
      <w:hyperlink r:id="rId21" w:history="1">
        <w:r>
          <w:rPr>
            <w:color w:val="0000FF"/>
            <w:u w:val="single"/>
            <w:rtl/>
          </w:rPr>
          <w:t>בעניין עריכה ושינויים במסמכי פסיקה, חקיקה ועוד באתר נבו – הקש כאן</w:t>
        </w:r>
      </w:hyperlink>
      <w:r w:rsidR="005B7C31">
        <w:rPr>
          <w:rFonts w:hint="cs"/>
          <w:color w:val="0000FF"/>
          <w:u w:val="single"/>
          <w:rtl/>
        </w:rPr>
        <w:t xml:space="preserve"> </w:t>
      </w:r>
    </w:p>
    <w:p w14:paraId="414B4FB4" w14:textId="77777777" w:rsidR="001D5653" w:rsidRPr="00310D45" w:rsidRDefault="001D5653" w:rsidP="00310D45">
      <w:pPr>
        <w:jc w:val="center"/>
        <w:rPr>
          <w:color w:val="0000FF"/>
          <w:u w:val="single"/>
        </w:rPr>
      </w:pPr>
    </w:p>
    <w:sectPr w:rsidR="001D5653" w:rsidRPr="00310D45" w:rsidSect="00310D45">
      <w:headerReference w:type="even" r:id="rId22"/>
      <w:headerReference w:type="default" r:id="rId23"/>
      <w:footerReference w:type="even" r:id="rId24"/>
      <w:footerReference w:type="default" r:id="rId25"/>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403891" w14:textId="77777777" w:rsidR="00FF5427" w:rsidRDefault="00FF5427">
      <w:r>
        <w:separator/>
      </w:r>
    </w:p>
  </w:endnote>
  <w:endnote w:type="continuationSeparator" w:id="0">
    <w:p w14:paraId="5D7FC6D4" w14:textId="77777777" w:rsidR="00FF5427" w:rsidRDefault="00FF54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A203A0" w14:textId="77777777" w:rsidR="00310D45" w:rsidRDefault="00310D45" w:rsidP="00310D45">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357215E6" w14:textId="77777777" w:rsidR="001D5653" w:rsidRPr="00310D45" w:rsidRDefault="00310D45" w:rsidP="00310D45">
    <w:pPr>
      <w:pStyle w:val="a4"/>
      <w:pBdr>
        <w:top w:val="single" w:sz="4" w:space="1" w:color="auto"/>
        <w:between w:val="single" w:sz="4" w:space="0" w:color="auto"/>
      </w:pBdr>
      <w:spacing w:after="60"/>
      <w:jc w:val="center"/>
      <w:rPr>
        <w:rFonts w:ascii="FrankRuehl" w:hAnsi="FrankRuehl" w:cs="FrankRuehl"/>
        <w:color w:val="000000"/>
      </w:rPr>
    </w:pPr>
    <w:r w:rsidRPr="00310D45">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A26728" w14:textId="77777777" w:rsidR="00310D45" w:rsidRDefault="00310D45" w:rsidP="00310D45">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034E35">
      <w:rPr>
        <w:rFonts w:ascii="FrankRuehl" w:hAnsi="FrankRuehl" w:cs="FrankRuehl"/>
        <w:noProof/>
        <w:rtl/>
      </w:rPr>
      <w:t>1</w:t>
    </w:r>
    <w:r>
      <w:rPr>
        <w:rFonts w:ascii="FrankRuehl" w:hAnsi="FrankRuehl" w:cs="FrankRuehl"/>
        <w:rtl/>
      </w:rPr>
      <w:fldChar w:fldCharType="end"/>
    </w:r>
  </w:p>
  <w:p w14:paraId="005C4EC3" w14:textId="77777777" w:rsidR="001D5653" w:rsidRPr="00310D45" w:rsidRDefault="00310D45" w:rsidP="00310D45">
    <w:pPr>
      <w:pStyle w:val="a4"/>
      <w:pBdr>
        <w:top w:val="single" w:sz="4" w:space="1" w:color="auto"/>
        <w:between w:val="single" w:sz="4" w:space="0" w:color="auto"/>
      </w:pBdr>
      <w:spacing w:after="60"/>
      <w:jc w:val="center"/>
      <w:rPr>
        <w:rFonts w:ascii="FrankRuehl" w:hAnsi="FrankRuehl" w:cs="FrankRuehl"/>
        <w:color w:val="000000"/>
      </w:rPr>
    </w:pPr>
    <w:r w:rsidRPr="00310D45">
      <w:rPr>
        <w:rFonts w:ascii="FrankRuehl" w:hAnsi="FrankRuehl" w:cs="FrankRuehl"/>
        <w:color w:val="000000"/>
      </w:rPr>
      <w:pict w14:anchorId="5D3971B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3986A8" w14:textId="77777777" w:rsidR="00FF5427" w:rsidRDefault="00FF5427">
      <w:r>
        <w:separator/>
      </w:r>
    </w:p>
  </w:footnote>
  <w:footnote w:type="continuationSeparator" w:id="0">
    <w:p w14:paraId="6B00976F" w14:textId="77777777" w:rsidR="00FF5427" w:rsidRDefault="00FF54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658791" w14:textId="77777777" w:rsidR="00310D45" w:rsidRPr="00310D45" w:rsidRDefault="00310D45" w:rsidP="00310D45">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520-05-14</w:t>
    </w:r>
    <w:r>
      <w:rPr>
        <w:rFonts w:ascii="David" w:hAnsi="David"/>
        <w:color w:val="000000"/>
        <w:sz w:val="22"/>
        <w:szCs w:val="22"/>
        <w:rtl/>
      </w:rPr>
      <w:tab/>
      <w:t xml:space="preserve"> מדינת ישראל נ' שמוליק (שמואל ) מולונה אמברבר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3068FC" w14:textId="77777777" w:rsidR="00310D45" w:rsidRPr="00310D45" w:rsidRDefault="00310D45" w:rsidP="00310D45">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520-05-14</w:t>
    </w:r>
    <w:r>
      <w:rPr>
        <w:rFonts w:ascii="David" w:hAnsi="David"/>
        <w:color w:val="000000"/>
        <w:sz w:val="22"/>
        <w:szCs w:val="22"/>
        <w:rtl/>
      </w:rPr>
      <w:tab/>
      <w:t xml:space="preserve"> מדינת ישראל נ' שמוליק (שמואל ) מולונה אמברבר</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1D5653"/>
    <w:rsid w:val="00034E35"/>
    <w:rsid w:val="001D5653"/>
    <w:rsid w:val="00227290"/>
    <w:rsid w:val="00310D45"/>
    <w:rsid w:val="005B7C31"/>
    <w:rsid w:val="00975ADF"/>
    <w:rsid w:val="00B836DC"/>
    <w:rsid w:val="00DC4E16"/>
    <w:rsid w:val="00E704CE"/>
    <w:rsid w:val="00ED2BEB"/>
    <w:rsid w:val="00FF542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4:docId w14:val="7D9FA6A1"/>
  <w15:chartTrackingRefBased/>
  <w15:docId w15:val="{9996567E-6F93-4B1A-912F-B4970C4E8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D5653"/>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1D5653"/>
    <w:pPr>
      <w:tabs>
        <w:tab w:val="center" w:pos="4153"/>
        <w:tab w:val="right" w:pos="8306"/>
      </w:tabs>
    </w:pPr>
  </w:style>
  <w:style w:type="paragraph" w:styleId="a4">
    <w:name w:val="footer"/>
    <w:basedOn w:val="a"/>
    <w:rsid w:val="001D5653"/>
    <w:pPr>
      <w:tabs>
        <w:tab w:val="center" w:pos="4153"/>
        <w:tab w:val="right" w:pos="8306"/>
      </w:tabs>
    </w:pPr>
  </w:style>
  <w:style w:type="character" w:styleId="a5">
    <w:name w:val="page number"/>
    <w:basedOn w:val="a0"/>
    <w:rsid w:val="001D5653"/>
  </w:style>
  <w:style w:type="character" w:styleId="Hyperlink">
    <w:name w:val="Hyperlink"/>
    <w:rsid w:val="00310D4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40jc" TargetMode="External"/><Relationship Id="rId13" Type="http://schemas.openxmlformats.org/officeDocument/2006/relationships/hyperlink" Target="http://www.nevo.co.il/law/70301" TargetMode="External"/><Relationship Id="rId18" Type="http://schemas.openxmlformats.org/officeDocument/2006/relationships/hyperlink" Target="http://www.nevo.co.il/case/2803812" TargetMode="External"/><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yperlink" Target="http://www.nevo.co.il/advertisements/nevo-100.doc" TargetMode="External"/><Relationship Id="rId7" Type="http://schemas.openxmlformats.org/officeDocument/2006/relationships/hyperlink" Target="http://www.nevo.co.il/law/70301/40c.a" TargetMode="External"/><Relationship Id="rId12" Type="http://schemas.openxmlformats.org/officeDocument/2006/relationships/hyperlink" Target="http://www.nevo.co.il/law/70301/40jc" TargetMode="External"/><Relationship Id="rId17" Type="http://schemas.openxmlformats.org/officeDocument/2006/relationships/hyperlink" Target="http://www.nevo.co.il/case/2803812" TargetMode="External"/><Relationship Id="rId25"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hyperlink" Target="http://www.nevo.co.il/case/11300869" TargetMode="External"/><Relationship Id="rId20" Type="http://schemas.openxmlformats.org/officeDocument/2006/relationships/hyperlink" Target="http://www.nevo.co.il/law/4216" TargetMode="Externa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 TargetMode="External"/><Relationship Id="rId24"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hyperlink" Target="http://www.nevo.co.il/case/5698919" TargetMode="External"/><Relationship Id="rId23" Type="http://schemas.openxmlformats.org/officeDocument/2006/relationships/header" Target="header2.xml"/><Relationship Id="rId10" Type="http://schemas.openxmlformats.org/officeDocument/2006/relationships/hyperlink" Target="http://www.nevo.co.il/law/70301/40c.a" TargetMode="External"/><Relationship Id="rId19" Type="http://schemas.openxmlformats.org/officeDocument/2006/relationships/hyperlink" Target="http://www.nevo.co.il/law/4216" TargetMode="External"/><Relationship Id="rId4" Type="http://schemas.openxmlformats.org/officeDocument/2006/relationships/footnotes" Target="footnotes.xml"/><Relationship Id="rId9" Type="http://schemas.openxmlformats.org/officeDocument/2006/relationships/hyperlink" Target="http://www.nevo.co.il/law/4216" TargetMode="External"/><Relationship Id="rId14" Type="http://schemas.openxmlformats.org/officeDocument/2006/relationships/hyperlink" Target="http://www.nevo.co.il/case/17932979" TargetMode="External"/><Relationship Id="rId22" Type="http://schemas.openxmlformats.org/officeDocument/2006/relationships/header" Target="header1.xml"/><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1412</Words>
  <Characters>7065</Characters>
  <Application>Microsoft Office Word</Application>
  <DocSecurity>0</DocSecurity>
  <Lines>58</Lines>
  <Paragraphs>16</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8461</CharactersWithSpaces>
  <SharedDoc>false</SharedDoc>
  <HLinks>
    <vt:vector size="96" baseType="variant">
      <vt:variant>
        <vt:i4>393283</vt:i4>
      </vt:variant>
      <vt:variant>
        <vt:i4>45</vt:i4>
      </vt:variant>
      <vt:variant>
        <vt:i4>0</vt:i4>
      </vt:variant>
      <vt:variant>
        <vt:i4>5</vt:i4>
      </vt:variant>
      <vt:variant>
        <vt:lpwstr>http://www.nevo.co.il/advertisements/nevo-100.doc</vt:lpwstr>
      </vt:variant>
      <vt:variant>
        <vt:lpwstr/>
      </vt:variant>
      <vt:variant>
        <vt:i4>8257637</vt:i4>
      </vt:variant>
      <vt:variant>
        <vt:i4>42</vt:i4>
      </vt:variant>
      <vt:variant>
        <vt:i4>0</vt:i4>
      </vt:variant>
      <vt:variant>
        <vt:i4>5</vt:i4>
      </vt:variant>
      <vt:variant>
        <vt:lpwstr>http://www.nevo.co.il/law/4216</vt:lpwstr>
      </vt:variant>
      <vt:variant>
        <vt:lpwstr/>
      </vt:variant>
      <vt:variant>
        <vt:i4>8257637</vt:i4>
      </vt:variant>
      <vt:variant>
        <vt:i4>39</vt:i4>
      </vt:variant>
      <vt:variant>
        <vt:i4>0</vt:i4>
      </vt:variant>
      <vt:variant>
        <vt:i4>5</vt:i4>
      </vt:variant>
      <vt:variant>
        <vt:lpwstr>http://www.nevo.co.il/law/4216</vt:lpwstr>
      </vt:variant>
      <vt:variant>
        <vt:lpwstr/>
      </vt:variant>
      <vt:variant>
        <vt:i4>3670142</vt:i4>
      </vt:variant>
      <vt:variant>
        <vt:i4>36</vt:i4>
      </vt:variant>
      <vt:variant>
        <vt:i4>0</vt:i4>
      </vt:variant>
      <vt:variant>
        <vt:i4>5</vt:i4>
      </vt:variant>
      <vt:variant>
        <vt:lpwstr>http://www.nevo.co.il/case/2803812</vt:lpwstr>
      </vt:variant>
      <vt:variant>
        <vt:lpwstr/>
      </vt:variant>
      <vt:variant>
        <vt:i4>3670142</vt:i4>
      </vt:variant>
      <vt:variant>
        <vt:i4>33</vt:i4>
      </vt:variant>
      <vt:variant>
        <vt:i4>0</vt:i4>
      </vt:variant>
      <vt:variant>
        <vt:i4>5</vt:i4>
      </vt:variant>
      <vt:variant>
        <vt:lpwstr>http://www.nevo.co.il/case/2803812</vt:lpwstr>
      </vt:variant>
      <vt:variant>
        <vt:lpwstr/>
      </vt:variant>
      <vt:variant>
        <vt:i4>3407997</vt:i4>
      </vt:variant>
      <vt:variant>
        <vt:i4>30</vt:i4>
      </vt:variant>
      <vt:variant>
        <vt:i4>0</vt:i4>
      </vt:variant>
      <vt:variant>
        <vt:i4>5</vt:i4>
      </vt:variant>
      <vt:variant>
        <vt:lpwstr>http://www.nevo.co.il/case/11300869</vt:lpwstr>
      </vt:variant>
      <vt:variant>
        <vt:lpwstr/>
      </vt:variant>
      <vt:variant>
        <vt:i4>3932283</vt:i4>
      </vt:variant>
      <vt:variant>
        <vt:i4>27</vt:i4>
      </vt:variant>
      <vt:variant>
        <vt:i4>0</vt:i4>
      </vt:variant>
      <vt:variant>
        <vt:i4>5</vt:i4>
      </vt:variant>
      <vt:variant>
        <vt:lpwstr>http://www.nevo.co.il/case/5698919</vt:lpwstr>
      </vt:variant>
      <vt:variant>
        <vt:lpwstr/>
      </vt:variant>
      <vt:variant>
        <vt:i4>3997817</vt:i4>
      </vt:variant>
      <vt:variant>
        <vt:i4>24</vt:i4>
      </vt:variant>
      <vt:variant>
        <vt:i4>0</vt:i4>
      </vt:variant>
      <vt:variant>
        <vt:i4>5</vt:i4>
      </vt:variant>
      <vt:variant>
        <vt:lpwstr>http://www.nevo.co.il/case/17932979</vt:lpwstr>
      </vt:variant>
      <vt:variant>
        <vt:lpwstr/>
      </vt:variant>
      <vt:variant>
        <vt:i4>7995492</vt:i4>
      </vt:variant>
      <vt:variant>
        <vt:i4>21</vt:i4>
      </vt:variant>
      <vt:variant>
        <vt:i4>0</vt:i4>
      </vt:variant>
      <vt:variant>
        <vt:i4>5</vt:i4>
      </vt:variant>
      <vt:variant>
        <vt:lpwstr>http://www.nevo.co.il/law/70301</vt:lpwstr>
      </vt:variant>
      <vt:variant>
        <vt:lpwstr/>
      </vt:variant>
      <vt:variant>
        <vt:i4>393227</vt:i4>
      </vt:variant>
      <vt:variant>
        <vt:i4>18</vt:i4>
      </vt:variant>
      <vt:variant>
        <vt:i4>0</vt:i4>
      </vt:variant>
      <vt:variant>
        <vt:i4>5</vt:i4>
      </vt:variant>
      <vt:variant>
        <vt:lpwstr>http://www.nevo.co.il/law/70301/40jc</vt:lpwstr>
      </vt:variant>
      <vt:variant>
        <vt:lpwstr/>
      </vt:variant>
      <vt:variant>
        <vt:i4>7995492</vt:i4>
      </vt:variant>
      <vt:variant>
        <vt:i4>15</vt:i4>
      </vt:variant>
      <vt:variant>
        <vt:i4>0</vt:i4>
      </vt:variant>
      <vt:variant>
        <vt:i4>5</vt:i4>
      </vt:variant>
      <vt:variant>
        <vt:lpwstr>http://www.nevo.co.il/law/70301</vt:lpwstr>
      </vt:variant>
      <vt:variant>
        <vt:lpwstr/>
      </vt:variant>
      <vt:variant>
        <vt:i4>4915202</vt:i4>
      </vt:variant>
      <vt:variant>
        <vt:i4>12</vt:i4>
      </vt:variant>
      <vt:variant>
        <vt:i4>0</vt:i4>
      </vt:variant>
      <vt:variant>
        <vt:i4>5</vt:i4>
      </vt:variant>
      <vt:variant>
        <vt:lpwstr>http://www.nevo.co.il/law/70301/40c.a</vt:lpwstr>
      </vt:variant>
      <vt:variant>
        <vt:lpwstr/>
      </vt:variant>
      <vt:variant>
        <vt:i4>8257637</vt:i4>
      </vt:variant>
      <vt:variant>
        <vt:i4>9</vt:i4>
      </vt:variant>
      <vt:variant>
        <vt:i4>0</vt:i4>
      </vt:variant>
      <vt:variant>
        <vt:i4>5</vt:i4>
      </vt:variant>
      <vt:variant>
        <vt:lpwstr>http://www.nevo.co.il/law/4216</vt:lpwstr>
      </vt:variant>
      <vt:variant>
        <vt:lpwstr/>
      </vt:variant>
      <vt:variant>
        <vt:i4>393227</vt:i4>
      </vt:variant>
      <vt:variant>
        <vt:i4>6</vt:i4>
      </vt:variant>
      <vt:variant>
        <vt:i4>0</vt:i4>
      </vt:variant>
      <vt:variant>
        <vt:i4>5</vt:i4>
      </vt:variant>
      <vt:variant>
        <vt:lpwstr>http://www.nevo.co.il/law/70301/40jc</vt:lpwstr>
      </vt:variant>
      <vt:variant>
        <vt:lpwstr/>
      </vt:variant>
      <vt:variant>
        <vt:i4>4915202</vt:i4>
      </vt:variant>
      <vt:variant>
        <vt:i4>3</vt:i4>
      </vt:variant>
      <vt:variant>
        <vt:i4>0</vt:i4>
      </vt:variant>
      <vt:variant>
        <vt:i4>5</vt:i4>
      </vt:variant>
      <vt:variant>
        <vt:lpwstr>http://www.nevo.co.il/law/70301/40c.a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2025-04-22T22:20:00Z</dcterms:created>
  <dcterms:modified xsi:type="dcterms:W3CDTF">2025-04-22T22:20:00Z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520</vt:lpwstr>
  </property>
  <property fmtid="{D5CDD505-2E9C-101B-9397-08002B2CF9AE}" pid="6" name="NEWPARTB">
    <vt:lpwstr>05</vt:lpwstr>
  </property>
  <property fmtid="{D5CDD505-2E9C-101B-9397-08002B2CF9AE}" pid="7" name="NEWPARTC">
    <vt:lpwstr>14</vt:lpwstr>
  </property>
  <property fmtid="{D5CDD505-2E9C-101B-9397-08002B2CF9AE}" pid="8" name="APPELLANT">
    <vt:lpwstr>מדינת ישראל</vt:lpwstr>
  </property>
  <property fmtid="{D5CDD505-2E9C-101B-9397-08002B2CF9AE}" pid="9" name="APPELLEE">
    <vt:lpwstr>שמוליק (שמואל ) מולונה אמברבר</vt:lpwstr>
  </property>
  <property fmtid="{D5CDD505-2E9C-101B-9397-08002B2CF9AE}" pid="10" name="JUDGE">
    <vt:lpwstr>אביטל חן</vt:lpwstr>
  </property>
  <property fmtid="{D5CDD505-2E9C-101B-9397-08002B2CF9AE}" pid="11" name="CITY">
    <vt:lpwstr>י-ם</vt:lpwstr>
  </property>
  <property fmtid="{D5CDD505-2E9C-101B-9397-08002B2CF9AE}" pid="12" name="DATE">
    <vt:lpwstr>20150208</vt:lpwstr>
  </property>
  <property fmtid="{D5CDD505-2E9C-101B-9397-08002B2CF9AE}" pid="13" name="TYPE_N_DATE">
    <vt:lpwstr>38020150208</vt:lpwstr>
  </property>
  <property fmtid="{D5CDD505-2E9C-101B-9397-08002B2CF9AE}" pid="14" name="CASESLISTTMP1">
    <vt:lpwstr>17932979;5698919;11300869;2803812:2</vt:lpwstr>
  </property>
  <property fmtid="{D5CDD505-2E9C-101B-9397-08002B2CF9AE}" pid="15" name="WORDNUMPAGES">
    <vt:lpwstr>7</vt:lpwstr>
  </property>
  <property fmtid="{D5CDD505-2E9C-101B-9397-08002B2CF9AE}" pid="16" name="TYPE_ABS_DATE">
    <vt:lpwstr>380020150208</vt:lpwstr>
  </property>
  <property fmtid="{D5CDD505-2E9C-101B-9397-08002B2CF9AE}" pid="17" name="ISABSTRACT">
    <vt:lpwstr>Y</vt:lpwstr>
  </property>
  <property fmtid="{D5CDD505-2E9C-101B-9397-08002B2CF9AE}" pid="18" name="LAWLISTTMP1">
    <vt:lpwstr>70301/040c.a;40jc</vt:lpwstr>
  </property>
  <property fmtid="{D5CDD505-2E9C-101B-9397-08002B2CF9AE}" pid="19" name="LAWLISTTMP2">
    <vt:lpwstr>4216:2</vt:lpwstr>
  </property>
</Properties>
</file>