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ED74D5" w:rsidRPr="009769D6" w14:paraId="4F210F28" w14:textId="77777777">
        <w:trPr>
          <w:trHeight w:hRule="exact" w:val="418"/>
          <w:jc w:val="center"/>
        </w:trPr>
        <w:tc>
          <w:tcPr>
            <w:tcW w:w="8720" w:type="dxa"/>
            <w:gridSpan w:val="3"/>
          </w:tcPr>
          <w:p w14:paraId="32F3D437" w14:textId="77777777" w:rsidR="00ED74D5" w:rsidRPr="009769D6" w:rsidRDefault="009769D6">
            <w:pPr>
              <w:pStyle w:val="a4"/>
              <w:tabs>
                <w:tab w:val="clear" w:pos="8306"/>
              </w:tabs>
              <w:jc w:val="center"/>
              <w:rPr>
                <w:rFonts w:ascii="Tahoma" w:hAnsi="Tahoma" w:cs="Tahoma"/>
                <w:b/>
                <w:bCs/>
                <w:color w:val="000080"/>
                <w:sz w:val="20"/>
                <w:szCs w:val="20"/>
                <w:rtl/>
              </w:rPr>
            </w:pPr>
            <w:bookmarkStart w:id="0" w:name="LastJudge"/>
            <w:r w:rsidRPr="009769D6">
              <w:rPr>
                <w:rFonts w:ascii="Tahoma" w:hAnsi="Tahoma" w:cs="Tahoma"/>
                <w:b/>
                <w:bCs/>
                <w:color w:val="000080"/>
                <w:sz w:val="20"/>
                <w:szCs w:val="20"/>
                <w:rtl/>
              </w:rPr>
              <w:t>בית משפט השלום בחדרה</w:t>
            </w:r>
          </w:p>
        </w:tc>
      </w:tr>
      <w:tr w:rsidR="00ED74D5" w:rsidRPr="009769D6" w14:paraId="5EADA319" w14:textId="77777777">
        <w:trPr>
          <w:trHeight w:val="337"/>
          <w:jc w:val="center"/>
        </w:trPr>
        <w:tc>
          <w:tcPr>
            <w:tcW w:w="6396" w:type="dxa"/>
          </w:tcPr>
          <w:p w14:paraId="424F4ED1" w14:textId="77777777" w:rsidR="00ED74D5" w:rsidRPr="009769D6" w:rsidRDefault="009769D6">
            <w:pPr>
              <w:rPr>
                <w:b/>
                <w:bCs/>
                <w:sz w:val="26"/>
                <w:szCs w:val="26"/>
                <w:rtl/>
              </w:rPr>
            </w:pPr>
            <w:r w:rsidRPr="009769D6">
              <w:rPr>
                <w:b/>
                <w:bCs/>
                <w:sz w:val="26"/>
                <w:szCs w:val="26"/>
                <w:rtl/>
              </w:rPr>
              <w:t>ת"פ</w:t>
            </w:r>
            <w:r w:rsidRPr="009769D6">
              <w:rPr>
                <w:rFonts w:hint="cs"/>
                <w:b/>
                <w:bCs/>
                <w:sz w:val="26"/>
                <w:szCs w:val="26"/>
                <w:rtl/>
              </w:rPr>
              <w:t xml:space="preserve"> </w:t>
            </w:r>
            <w:r w:rsidRPr="009769D6">
              <w:rPr>
                <w:b/>
                <w:bCs/>
                <w:sz w:val="26"/>
                <w:szCs w:val="26"/>
                <w:rtl/>
              </w:rPr>
              <w:t>1118-06-14</w:t>
            </w:r>
            <w:r w:rsidRPr="009769D6">
              <w:rPr>
                <w:rFonts w:hint="cs"/>
                <w:b/>
                <w:bCs/>
                <w:sz w:val="26"/>
                <w:szCs w:val="26"/>
                <w:rtl/>
              </w:rPr>
              <w:t xml:space="preserve"> </w:t>
            </w:r>
            <w:r w:rsidRPr="009769D6">
              <w:rPr>
                <w:b/>
                <w:bCs/>
                <w:sz w:val="26"/>
                <w:szCs w:val="26"/>
                <w:rtl/>
              </w:rPr>
              <w:t>מדינת ישראל נ' זרבעילוב</w:t>
            </w:r>
          </w:p>
          <w:p w14:paraId="778F873B" w14:textId="77777777" w:rsidR="00ED74D5" w:rsidRPr="009769D6" w:rsidRDefault="00ED74D5">
            <w:pPr>
              <w:rPr>
                <w:b/>
                <w:bCs/>
                <w:sz w:val="26"/>
                <w:szCs w:val="26"/>
                <w:rtl/>
              </w:rPr>
            </w:pPr>
          </w:p>
        </w:tc>
        <w:tc>
          <w:tcPr>
            <w:tcW w:w="236" w:type="dxa"/>
          </w:tcPr>
          <w:p w14:paraId="5843E46F" w14:textId="77777777" w:rsidR="00ED74D5" w:rsidRPr="009769D6" w:rsidRDefault="00ED74D5">
            <w:pPr>
              <w:pStyle w:val="a4"/>
              <w:jc w:val="right"/>
              <w:rPr>
                <w:b/>
                <w:bCs/>
                <w:sz w:val="26"/>
                <w:szCs w:val="26"/>
                <w:rtl/>
              </w:rPr>
            </w:pPr>
          </w:p>
        </w:tc>
        <w:tc>
          <w:tcPr>
            <w:tcW w:w="2088" w:type="dxa"/>
          </w:tcPr>
          <w:p w14:paraId="3F9F55DC" w14:textId="77777777" w:rsidR="00ED74D5" w:rsidRPr="009769D6" w:rsidRDefault="009769D6">
            <w:pPr>
              <w:pStyle w:val="a4"/>
              <w:tabs>
                <w:tab w:val="clear" w:pos="4153"/>
              </w:tabs>
              <w:jc w:val="right"/>
              <w:rPr>
                <w:b/>
                <w:bCs/>
                <w:sz w:val="26"/>
                <w:szCs w:val="26"/>
                <w:rtl/>
              </w:rPr>
            </w:pPr>
            <w:r w:rsidRPr="009769D6">
              <w:rPr>
                <w:b/>
                <w:bCs/>
                <w:sz w:val="26"/>
                <w:szCs w:val="26"/>
                <w:rtl/>
              </w:rPr>
              <w:t>15 יוני 2016</w:t>
            </w:r>
          </w:p>
        </w:tc>
      </w:tr>
    </w:tbl>
    <w:p w14:paraId="4656EF8A" w14:textId="77777777" w:rsidR="00ED74D5" w:rsidRPr="009769D6" w:rsidRDefault="00ED74D5">
      <w:pPr>
        <w:pStyle w:val="a4"/>
        <w:jc w:val="center"/>
        <w:rPr>
          <w:rFonts w:ascii="Tahoma" w:hAnsi="Tahoma" w:cs="Tahoma"/>
          <w:b/>
          <w:bCs/>
          <w:color w:val="000080"/>
          <w:sz w:val="20"/>
          <w:szCs w:val="20"/>
          <w:rtl/>
        </w:rPr>
      </w:pPr>
    </w:p>
    <w:tbl>
      <w:tblPr>
        <w:bidiVisual/>
        <w:tblW w:w="8802" w:type="dxa"/>
        <w:tblInd w:w="-28" w:type="dxa"/>
        <w:tblLook w:val="01E0" w:firstRow="1" w:lastRow="1" w:firstColumn="1" w:lastColumn="1" w:noHBand="0" w:noVBand="0"/>
      </w:tblPr>
      <w:tblGrid>
        <w:gridCol w:w="2880"/>
        <w:gridCol w:w="5838"/>
        <w:gridCol w:w="84"/>
      </w:tblGrid>
      <w:tr w:rsidR="00ED74D5" w:rsidRPr="009769D6" w14:paraId="2CA59708" w14:textId="77777777">
        <w:trPr>
          <w:gridAfter w:val="1"/>
          <w:wAfter w:w="84" w:type="dxa"/>
        </w:trPr>
        <w:tc>
          <w:tcPr>
            <w:tcW w:w="8718" w:type="dxa"/>
            <w:gridSpan w:val="2"/>
            <w:shd w:val="clear" w:color="auto" w:fill="auto"/>
          </w:tcPr>
          <w:p w14:paraId="10306BD5" w14:textId="77777777" w:rsidR="00ED74D5" w:rsidRPr="009769D6" w:rsidRDefault="009769D6">
            <w:pPr>
              <w:rPr>
                <w:rFonts w:ascii="Times New Roman" w:eastAsia="Times New Roman" w:hAnsi="Times New Roman"/>
                <w:b/>
                <w:bCs/>
                <w:sz w:val="26"/>
                <w:szCs w:val="26"/>
                <w:rtl/>
              </w:rPr>
            </w:pPr>
            <w:r w:rsidRPr="009769D6">
              <w:rPr>
                <w:rFonts w:ascii="Times New Roman" w:eastAsia="Times New Roman" w:hAnsi="Times New Roman" w:hint="cs"/>
                <w:b/>
                <w:bCs/>
                <w:sz w:val="26"/>
                <w:szCs w:val="26"/>
                <w:rtl/>
              </w:rPr>
              <w:t>לפני כבוד ה</w:t>
            </w:r>
            <w:r w:rsidRPr="009769D6">
              <w:rPr>
                <w:rFonts w:ascii="Times New Roman" w:eastAsia="Times New Roman" w:hAnsi="Times New Roman" w:hint="cs"/>
                <w:rtl/>
              </w:rPr>
              <w:t>שופטת רקפת סגל מוהר</w:t>
            </w:r>
            <w:r w:rsidRPr="009769D6">
              <w:rPr>
                <w:rStyle w:val="TimesNewRomanTimesNewRoman"/>
                <w:rFonts w:eastAsia="Times New Roman"/>
                <w:rtl/>
              </w:rPr>
              <w:t xml:space="preserve"> </w:t>
            </w:r>
          </w:p>
        </w:tc>
      </w:tr>
      <w:tr w:rsidR="00ED74D5" w:rsidRPr="009769D6" w14:paraId="70417687" w14:textId="77777777">
        <w:trPr>
          <w:cantSplit/>
          <w:trHeight w:val="724"/>
        </w:trPr>
        <w:tc>
          <w:tcPr>
            <w:tcW w:w="2880" w:type="dxa"/>
            <w:shd w:val="clear" w:color="auto" w:fill="auto"/>
          </w:tcPr>
          <w:p w14:paraId="679FE0C6" w14:textId="77777777" w:rsidR="00ED74D5" w:rsidRPr="009769D6" w:rsidRDefault="00ED74D5">
            <w:pPr>
              <w:ind w:left="26"/>
              <w:rPr>
                <w:rFonts w:ascii="Times New Roman" w:eastAsia="Times New Roman" w:hAnsi="Times New Roman"/>
                <w:b/>
                <w:bCs/>
                <w:sz w:val="26"/>
                <w:szCs w:val="26"/>
                <w:rtl/>
              </w:rPr>
            </w:pPr>
            <w:bookmarkStart w:id="1" w:name="FirstAppellant"/>
          </w:p>
          <w:p w14:paraId="7B7F0815" w14:textId="77777777" w:rsidR="00ED74D5" w:rsidRPr="009769D6" w:rsidRDefault="009769D6">
            <w:pPr>
              <w:ind w:left="26"/>
              <w:rPr>
                <w:rFonts w:ascii="Times New Roman" w:eastAsia="Times New Roman" w:hAnsi="Times New Roman"/>
                <w:b/>
                <w:bCs/>
                <w:sz w:val="26"/>
                <w:szCs w:val="26"/>
                <w:rtl/>
              </w:rPr>
            </w:pPr>
            <w:r w:rsidRPr="009769D6">
              <w:rPr>
                <w:rFonts w:ascii="Times New Roman" w:eastAsia="Times New Roman" w:hAnsi="Times New Roman" w:hint="cs"/>
                <w:b/>
                <w:bCs/>
                <w:sz w:val="26"/>
                <w:szCs w:val="26"/>
                <w:rtl/>
              </w:rPr>
              <w:t>המאשימה</w:t>
            </w:r>
          </w:p>
        </w:tc>
        <w:tc>
          <w:tcPr>
            <w:tcW w:w="5922" w:type="dxa"/>
            <w:gridSpan w:val="2"/>
            <w:shd w:val="clear" w:color="auto" w:fill="auto"/>
          </w:tcPr>
          <w:p w14:paraId="53660D02" w14:textId="77777777" w:rsidR="00ED74D5" w:rsidRPr="009769D6" w:rsidRDefault="00ED74D5">
            <w:pPr>
              <w:rPr>
                <w:rFonts w:ascii="Times New Roman" w:eastAsia="Times New Roman" w:hAnsi="Times New Roman" w:cs="Times New Roman"/>
                <w:rtl/>
              </w:rPr>
            </w:pPr>
          </w:p>
          <w:p w14:paraId="0D0DD77A" w14:textId="77777777" w:rsidR="00ED74D5" w:rsidRPr="009769D6" w:rsidRDefault="009769D6">
            <w:pPr>
              <w:rPr>
                <w:rFonts w:ascii="Times New Roman" w:eastAsia="Times New Roman" w:hAnsi="Times New Roman"/>
                <w:b/>
                <w:bCs/>
                <w:sz w:val="26"/>
                <w:szCs w:val="26"/>
                <w:rtl/>
              </w:rPr>
            </w:pPr>
            <w:r w:rsidRPr="009769D6">
              <w:rPr>
                <w:rFonts w:ascii="Times New Roman" w:eastAsia="Times New Roman" w:hAnsi="Times New Roman" w:cs="Times New Roman" w:hint="cs"/>
                <w:rtl/>
              </w:rPr>
              <w:t xml:space="preserve"> </w:t>
            </w:r>
            <w:r w:rsidRPr="009769D6">
              <w:rPr>
                <w:rFonts w:ascii="Times New Roman" w:eastAsia="Times New Roman" w:hAnsi="Times New Roman" w:hint="cs"/>
                <w:rtl/>
              </w:rPr>
              <w:t>מדינת ישראל</w:t>
            </w:r>
          </w:p>
          <w:p w14:paraId="67101D50" w14:textId="77777777" w:rsidR="00ED74D5" w:rsidRPr="009769D6" w:rsidRDefault="00ED74D5">
            <w:pPr>
              <w:rPr>
                <w:rFonts w:ascii="Times New Roman" w:eastAsia="Times New Roman" w:hAnsi="Times New Roman"/>
                <w:b/>
                <w:bCs/>
                <w:sz w:val="26"/>
                <w:szCs w:val="26"/>
                <w:rtl/>
              </w:rPr>
            </w:pPr>
          </w:p>
        </w:tc>
      </w:tr>
      <w:bookmarkEnd w:id="1"/>
      <w:tr w:rsidR="00ED74D5" w:rsidRPr="009769D6" w14:paraId="7D679CB9" w14:textId="77777777">
        <w:tc>
          <w:tcPr>
            <w:tcW w:w="8802" w:type="dxa"/>
            <w:gridSpan w:val="3"/>
            <w:shd w:val="clear" w:color="auto" w:fill="auto"/>
            <w:vAlign w:val="center"/>
          </w:tcPr>
          <w:p w14:paraId="1A6D0B89" w14:textId="77777777" w:rsidR="00ED74D5" w:rsidRPr="009769D6" w:rsidRDefault="00ED74D5">
            <w:pPr>
              <w:jc w:val="center"/>
              <w:rPr>
                <w:rFonts w:ascii="Arial" w:eastAsia="Times New Roman" w:hAnsi="Arial"/>
                <w:b/>
                <w:bCs/>
                <w:sz w:val="26"/>
                <w:szCs w:val="26"/>
                <w:rtl/>
              </w:rPr>
            </w:pPr>
          </w:p>
          <w:p w14:paraId="64604F39" w14:textId="77777777" w:rsidR="00ED74D5" w:rsidRPr="009769D6" w:rsidRDefault="009769D6">
            <w:pPr>
              <w:jc w:val="center"/>
              <w:rPr>
                <w:rFonts w:ascii="Arial" w:eastAsia="Times New Roman" w:hAnsi="Arial"/>
                <w:b/>
                <w:bCs/>
                <w:sz w:val="26"/>
                <w:szCs w:val="26"/>
                <w:rtl/>
              </w:rPr>
            </w:pPr>
            <w:r w:rsidRPr="009769D6">
              <w:rPr>
                <w:rFonts w:ascii="Arial" w:eastAsia="Times New Roman" w:hAnsi="Arial"/>
                <w:b/>
                <w:bCs/>
                <w:sz w:val="26"/>
                <w:szCs w:val="26"/>
                <w:rtl/>
              </w:rPr>
              <w:t>נגד</w:t>
            </w:r>
          </w:p>
          <w:p w14:paraId="5DCC3059" w14:textId="77777777" w:rsidR="00ED74D5" w:rsidRPr="009769D6" w:rsidRDefault="00ED74D5">
            <w:pPr>
              <w:rPr>
                <w:rFonts w:ascii="Arial" w:eastAsia="Times New Roman" w:hAnsi="Arial"/>
                <w:b/>
                <w:bCs/>
                <w:sz w:val="26"/>
                <w:szCs w:val="26"/>
              </w:rPr>
            </w:pPr>
          </w:p>
        </w:tc>
      </w:tr>
      <w:tr w:rsidR="00ED74D5" w:rsidRPr="009769D6" w14:paraId="3DF913A5" w14:textId="77777777">
        <w:tc>
          <w:tcPr>
            <w:tcW w:w="2880" w:type="dxa"/>
            <w:shd w:val="clear" w:color="auto" w:fill="auto"/>
          </w:tcPr>
          <w:p w14:paraId="0AF44F9C" w14:textId="77777777" w:rsidR="00ED74D5" w:rsidRPr="009769D6" w:rsidRDefault="009769D6">
            <w:pPr>
              <w:ind w:left="26"/>
              <w:rPr>
                <w:rFonts w:ascii="Times New Roman" w:eastAsia="Times New Roman" w:hAnsi="Times New Roman"/>
                <w:b/>
                <w:bCs/>
                <w:sz w:val="26"/>
                <w:szCs w:val="26"/>
                <w:rtl/>
              </w:rPr>
            </w:pPr>
            <w:r w:rsidRPr="009769D6">
              <w:rPr>
                <w:rFonts w:ascii="Times New Roman" w:eastAsia="Times New Roman" w:hAnsi="Times New Roman" w:hint="cs"/>
                <w:b/>
                <w:bCs/>
                <w:sz w:val="26"/>
                <w:szCs w:val="26"/>
                <w:rtl/>
              </w:rPr>
              <w:t>הנאשם</w:t>
            </w:r>
          </w:p>
        </w:tc>
        <w:tc>
          <w:tcPr>
            <w:tcW w:w="5922" w:type="dxa"/>
            <w:gridSpan w:val="2"/>
            <w:shd w:val="clear" w:color="auto" w:fill="auto"/>
          </w:tcPr>
          <w:p w14:paraId="599EC473" w14:textId="77777777" w:rsidR="00ED74D5" w:rsidRPr="009769D6" w:rsidRDefault="009769D6">
            <w:pPr>
              <w:rPr>
                <w:rFonts w:ascii="Times New Roman" w:eastAsia="Times New Roman" w:hAnsi="Times New Roman"/>
                <w:b/>
                <w:bCs/>
                <w:sz w:val="26"/>
                <w:szCs w:val="26"/>
                <w:rtl/>
              </w:rPr>
            </w:pPr>
            <w:r w:rsidRPr="009769D6">
              <w:rPr>
                <w:rFonts w:ascii="Times New Roman" w:eastAsia="Times New Roman" w:hAnsi="Times New Roman" w:cs="Times New Roman" w:hint="cs"/>
                <w:rtl/>
              </w:rPr>
              <w:t xml:space="preserve"> </w:t>
            </w:r>
            <w:r w:rsidRPr="009769D6">
              <w:rPr>
                <w:rFonts w:ascii="Times New Roman" w:eastAsia="Times New Roman" w:hAnsi="Times New Roman" w:hint="cs"/>
                <w:rtl/>
              </w:rPr>
              <w:t>אוריאל זרבעילוב</w:t>
            </w:r>
          </w:p>
          <w:p w14:paraId="3AE35322" w14:textId="77777777" w:rsidR="00ED74D5" w:rsidRPr="009769D6" w:rsidRDefault="00ED74D5">
            <w:pPr>
              <w:rPr>
                <w:rFonts w:ascii="Times New Roman" w:eastAsia="Times New Roman" w:hAnsi="Times New Roman"/>
                <w:b/>
                <w:bCs/>
                <w:sz w:val="26"/>
                <w:szCs w:val="26"/>
                <w:rtl/>
              </w:rPr>
            </w:pPr>
          </w:p>
        </w:tc>
      </w:tr>
    </w:tbl>
    <w:p w14:paraId="1773880C" w14:textId="77777777" w:rsidR="00ED74D5" w:rsidRPr="009769D6" w:rsidRDefault="00ED74D5">
      <w:pPr>
        <w:spacing w:line="360" w:lineRule="auto"/>
        <w:jc w:val="both"/>
        <w:rPr>
          <w:rtl/>
        </w:rPr>
      </w:pPr>
    </w:p>
    <w:p w14:paraId="4636E570" w14:textId="77777777" w:rsidR="00ED74D5" w:rsidRPr="009769D6" w:rsidRDefault="009769D6">
      <w:pPr>
        <w:spacing w:line="360" w:lineRule="auto"/>
        <w:jc w:val="both"/>
        <w:rPr>
          <w:sz w:val="6"/>
          <w:szCs w:val="6"/>
          <w:rtl/>
        </w:rPr>
      </w:pPr>
      <w:r w:rsidRPr="009769D6">
        <w:rPr>
          <w:sz w:val="6"/>
          <w:szCs w:val="6"/>
          <w:rtl/>
        </w:rPr>
        <w:t>&lt;#2#&gt;</w:t>
      </w:r>
    </w:p>
    <w:p w14:paraId="430CD28D" w14:textId="77777777" w:rsidR="00ED74D5" w:rsidRPr="009769D6" w:rsidRDefault="009769D6">
      <w:pPr>
        <w:pStyle w:val="12"/>
        <w:rPr>
          <w:u w:val="none"/>
          <w:rtl/>
        </w:rPr>
      </w:pPr>
      <w:r w:rsidRPr="009769D6">
        <w:rPr>
          <w:rFonts w:hint="cs"/>
          <w:u w:val="none"/>
          <w:rtl/>
        </w:rPr>
        <w:t>נוכחים:</w:t>
      </w:r>
    </w:p>
    <w:p w14:paraId="5DF65565" w14:textId="77777777" w:rsidR="00ED74D5" w:rsidRPr="009769D6" w:rsidRDefault="009769D6">
      <w:pPr>
        <w:pStyle w:val="12"/>
        <w:rPr>
          <w:u w:val="none"/>
          <w:rtl/>
        </w:rPr>
      </w:pPr>
      <w:bookmarkStart w:id="2" w:name="FirstLawyer"/>
      <w:r w:rsidRPr="009769D6">
        <w:rPr>
          <w:rFonts w:hint="cs"/>
          <w:u w:val="none"/>
          <w:rtl/>
        </w:rPr>
        <w:t>ב"כ</w:t>
      </w:r>
      <w:bookmarkEnd w:id="2"/>
      <w:r w:rsidRPr="009769D6">
        <w:rPr>
          <w:rFonts w:hint="cs"/>
          <w:u w:val="none"/>
          <w:rtl/>
        </w:rPr>
        <w:t xml:space="preserve"> המאשימה: עו"ד יהונתן קנימח</w:t>
      </w:r>
    </w:p>
    <w:p w14:paraId="4E36EC4A" w14:textId="77777777" w:rsidR="00ED74D5" w:rsidRPr="009769D6" w:rsidRDefault="009769D6">
      <w:pPr>
        <w:pStyle w:val="12"/>
        <w:rPr>
          <w:u w:val="none"/>
          <w:rtl/>
        </w:rPr>
      </w:pPr>
      <w:r w:rsidRPr="009769D6">
        <w:rPr>
          <w:rFonts w:hint="cs"/>
          <w:u w:val="none"/>
          <w:rtl/>
        </w:rPr>
        <w:t>הנאשם: בעצמו</w:t>
      </w:r>
    </w:p>
    <w:p w14:paraId="2C13C29A" w14:textId="77777777" w:rsidR="00ED74D5" w:rsidRPr="009769D6" w:rsidRDefault="009769D6">
      <w:pPr>
        <w:pStyle w:val="12"/>
        <w:rPr>
          <w:u w:val="none"/>
          <w:rtl/>
        </w:rPr>
      </w:pPr>
      <w:r w:rsidRPr="009769D6">
        <w:rPr>
          <w:rFonts w:hint="cs"/>
          <w:u w:val="none"/>
          <w:rtl/>
        </w:rPr>
        <w:t>ב"כ הנאשם: עו"ד שרית תורן-תאלר</w:t>
      </w:r>
    </w:p>
    <w:p w14:paraId="0D1D611F" w14:textId="77777777" w:rsidR="00ED74D5" w:rsidRPr="009769D6" w:rsidRDefault="00ED74D5">
      <w:pPr>
        <w:pStyle w:val="12"/>
        <w:rPr>
          <w:b w:val="0"/>
          <w:bCs w:val="0"/>
          <w:u w:val="none"/>
          <w:rtl/>
        </w:rPr>
      </w:pPr>
    </w:p>
    <w:p w14:paraId="3B238734" w14:textId="77777777" w:rsidR="00C127C1" w:rsidRDefault="009769D6" w:rsidP="00763123">
      <w:pPr>
        <w:spacing w:after="120" w:line="240" w:lineRule="exact"/>
        <w:ind w:left="283" w:hanging="283"/>
        <w:jc w:val="both"/>
        <w:rPr>
          <w:rFonts w:ascii="Arial" w:hAnsi="Arial"/>
          <w:b/>
          <w:color w:val="FF0000"/>
          <w:sz w:val="28"/>
          <w:rtl/>
        </w:rPr>
      </w:pPr>
      <w:r w:rsidRPr="009769D6">
        <w:rPr>
          <w:rFonts w:ascii="Arial" w:hAnsi="Arial"/>
          <w:b/>
          <w:color w:val="FF0000"/>
          <w:sz w:val="28"/>
          <w:rtl/>
        </w:rPr>
        <w:t>במסמך זה הושמטו פרוטוקולי</w:t>
      </w:r>
      <w:bookmarkStart w:id="3" w:name="LawTable"/>
      <w:bookmarkEnd w:id="3"/>
    </w:p>
    <w:p w14:paraId="5D069E6B" w14:textId="77777777" w:rsidR="00C127C1" w:rsidRPr="00C127C1" w:rsidRDefault="00C127C1" w:rsidP="00C127C1">
      <w:pPr>
        <w:spacing w:after="120" w:line="240" w:lineRule="exact"/>
        <w:ind w:left="283" w:hanging="283"/>
        <w:jc w:val="both"/>
        <w:rPr>
          <w:rFonts w:ascii="FrankRuehl" w:hAnsi="FrankRuehl" w:cs="FrankRuehl"/>
          <w:color w:val="FF0000"/>
          <w:rtl/>
        </w:rPr>
      </w:pPr>
    </w:p>
    <w:p w14:paraId="61F8687A" w14:textId="77777777" w:rsidR="00C127C1" w:rsidRPr="00C127C1" w:rsidRDefault="00C127C1" w:rsidP="00C127C1">
      <w:pPr>
        <w:spacing w:after="120" w:line="240" w:lineRule="exact"/>
        <w:ind w:left="283" w:hanging="283"/>
        <w:jc w:val="both"/>
        <w:rPr>
          <w:rFonts w:ascii="FrankRuehl" w:hAnsi="FrankRuehl" w:cs="FrankRuehl"/>
          <w:color w:val="FF0000"/>
          <w:rtl/>
        </w:rPr>
      </w:pPr>
      <w:r w:rsidRPr="00C127C1">
        <w:rPr>
          <w:rFonts w:ascii="FrankRuehl" w:hAnsi="FrankRuehl" w:cs="FrankRuehl"/>
          <w:color w:val="FF0000"/>
          <w:rtl/>
        </w:rPr>
        <w:t xml:space="preserve">חקיקה שאוזכרה: </w:t>
      </w:r>
    </w:p>
    <w:p w14:paraId="11CD08F5" w14:textId="77777777" w:rsidR="00C127C1" w:rsidRPr="00C127C1" w:rsidRDefault="00C127C1" w:rsidP="00C127C1">
      <w:pPr>
        <w:spacing w:after="120" w:line="240" w:lineRule="exact"/>
        <w:ind w:left="283" w:hanging="283"/>
        <w:jc w:val="both"/>
        <w:rPr>
          <w:rFonts w:ascii="FrankRuehl" w:hAnsi="FrankRuehl" w:cs="FrankRuehl"/>
          <w:color w:val="0000FF"/>
          <w:u w:val="single"/>
          <w:rtl/>
        </w:rPr>
      </w:pPr>
      <w:hyperlink r:id="rId6" w:history="1">
        <w:r w:rsidRPr="00C127C1">
          <w:rPr>
            <w:rStyle w:val="Hyperlink"/>
            <w:rFonts w:ascii="FrankRuehl" w:hAnsi="FrankRuehl" w:cs="FrankRuehl"/>
            <w:rtl/>
          </w:rPr>
          <w:t>חוק העונשין, תשל"ז-1977</w:t>
        </w:r>
      </w:hyperlink>
      <w:r w:rsidRPr="00C127C1">
        <w:rPr>
          <w:rFonts w:ascii="FrankRuehl" w:hAnsi="FrankRuehl" w:cs="FrankRuehl"/>
          <w:color w:val="0000FF"/>
          <w:u w:val="single"/>
          <w:rtl/>
        </w:rPr>
        <w:t xml:space="preserve">: סע'  </w:t>
      </w:r>
      <w:hyperlink r:id="rId7" w:history="1">
        <w:r w:rsidRPr="00C127C1">
          <w:rPr>
            <w:rStyle w:val="Hyperlink"/>
            <w:rFonts w:ascii="FrankRuehl" w:hAnsi="FrankRuehl" w:cs="FrankRuehl"/>
          </w:rPr>
          <w:t>413.</w:t>
        </w:r>
      </w:hyperlink>
      <w:r w:rsidRPr="00C127C1">
        <w:rPr>
          <w:rFonts w:ascii="FrankRuehl" w:hAnsi="FrankRuehl" w:cs="FrankRuehl"/>
          <w:color w:val="0000FF"/>
          <w:u w:val="single"/>
          <w:rtl/>
        </w:rPr>
        <w:t xml:space="preserve">, </w:t>
      </w:r>
      <w:hyperlink r:id="rId8" w:history="1">
        <w:r w:rsidRPr="00C127C1">
          <w:rPr>
            <w:rStyle w:val="Hyperlink"/>
            <w:rFonts w:ascii="FrankRuehl" w:hAnsi="FrankRuehl" w:cs="FrankRuehl"/>
          </w:rPr>
          <w:t>447(</w:t>
        </w:r>
        <w:r w:rsidRPr="00C127C1">
          <w:rPr>
            <w:rStyle w:val="Hyperlink"/>
            <w:rFonts w:ascii="FrankRuehl" w:hAnsi="FrankRuehl" w:cs="FrankRuehl"/>
            <w:rtl/>
          </w:rPr>
          <w:t>א</w:t>
        </w:r>
        <w:r w:rsidRPr="00C127C1">
          <w:rPr>
            <w:rStyle w:val="Hyperlink"/>
            <w:rFonts w:ascii="FrankRuehl" w:hAnsi="FrankRuehl" w:cs="FrankRuehl"/>
          </w:rPr>
          <w:t>)</w:t>
        </w:r>
      </w:hyperlink>
      <w:r w:rsidRPr="00C127C1">
        <w:rPr>
          <w:rFonts w:ascii="FrankRuehl" w:hAnsi="FrankRuehl" w:cs="FrankRuehl"/>
          <w:color w:val="0000FF"/>
          <w:u w:val="single"/>
          <w:rtl/>
        </w:rPr>
        <w:t xml:space="preserve">, </w:t>
      </w:r>
      <w:hyperlink r:id="rId9" w:history="1">
        <w:r w:rsidRPr="00C127C1">
          <w:rPr>
            <w:rStyle w:val="Hyperlink"/>
            <w:rFonts w:ascii="FrankRuehl" w:hAnsi="FrankRuehl" w:cs="FrankRuehl"/>
            <w:rtl/>
          </w:rPr>
          <w:t>פרק יא</w:t>
        </w:r>
      </w:hyperlink>
    </w:p>
    <w:p w14:paraId="01DD636B" w14:textId="77777777" w:rsidR="00C127C1" w:rsidRPr="00C127C1" w:rsidRDefault="00C127C1" w:rsidP="00C127C1">
      <w:pPr>
        <w:spacing w:after="120" w:line="240" w:lineRule="exact"/>
        <w:ind w:left="283" w:hanging="283"/>
        <w:jc w:val="both"/>
        <w:rPr>
          <w:rFonts w:ascii="FrankRuehl" w:hAnsi="FrankRuehl" w:cs="FrankRuehl"/>
          <w:color w:val="0000FF"/>
          <w:u w:val="single"/>
          <w:rtl/>
        </w:rPr>
      </w:pPr>
      <w:hyperlink r:id="rId10" w:history="1">
        <w:r w:rsidRPr="00C127C1">
          <w:rPr>
            <w:rStyle w:val="Hyperlink"/>
            <w:rFonts w:ascii="FrankRuehl" w:hAnsi="FrankRuehl" w:cs="FrankRuehl"/>
            <w:rtl/>
          </w:rPr>
          <w:t>פקודת הסמים המסוכנים [נוסח חדש], תשל"ג-1973</w:t>
        </w:r>
      </w:hyperlink>
    </w:p>
    <w:p w14:paraId="253BAD21" w14:textId="77777777" w:rsidR="00C127C1" w:rsidRPr="00C127C1" w:rsidRDefault="00C127C1" w:rsidP="00C127C1">
      <w:pPr>
        <w:spacing w:after="120" w:line="240" w:lineRule="exact"/>
        <w:ind w:left="283" w:hanging="283"/>
        <w:jc w:val="both"/>
        <w:rPr>
          <w:rFonts w:ascii="FrankRuehl" w:hAnsi="FrankRuehl" w:cs="FrankRuehl"/>
          <w:rtl/>
        </w:rPr>
      </w:pPr>
    </w:p>
    <w:p w14:paraId="7D6D99BD" w14:textId="77777777" w:rsidR="00C127C1" w:rsidRPr="00C127C1" w:rsidRDefault="00C127C1" w:rsidP="00763123">
      <w:pPr>
        <w:spacing w:after="120" w:line="240" w:lineRule="exact"/>
        <w:ind w:left="283" w:hanging="283"/>
        <w:jc w:val="both"/>
        <w:rPr>
          <w:rFonts w:ascii="Arial" w:hAnsi="Arial"/>
          <w:sz w:val="28"/>
          <w:rtl/>
        </w:rPr>
      </w:pPr>
      <w:bookmarkStart w:id="4" w:name="LawTable_End"/>
      <w:bookmarkEnd w:id="4"/>
    </w:p>
    <w:p w14:paraId="70AFD4D4" w14:textId="77777777" w:rsidR="00C127C1" w:rsidRPr="00C127C1" w:rsidRDefault="00C127C1" w:rsidP="00763123">
      <w:pPr>
        <w:spacing w:after="120" w:line="240" w:lineRule="exact"/>
        <w:ind w:left="283" w:hanging="283"/>
        <w:jc w:val="both"/>
        <w:rPr>
          <w:rFonts w:ascii="Arial" w:hAnsi="Arial"/>
          <w:b/>
          <w:color w:val="FF0000"/>
          <w:sz w:val="28"/>
          <w:rtl/>
        </w:rPr>
      </w:pPr>
    </w:p>
    <w:p w14:paraId="2484BBE2" w14:textId="77777777" w:rsidR="00763123" w:rsidRPr="00763123" w:rsidRDefault="009769D6" w:rsidP="00763123">
      <w:pPr>
        <w:spacing w:after="120" w:line="240" w:lineRule="exact"/>
        <w:ind w:left="283" w:hanging="283"/>
        <w:jc w:val="both"/>
        <w:rPr>
          <w:rFonts w:ascii="FrankRuehl" w:hAnsi="FrankRuehl" w:cs="FrankRuehl"/>
          <w:rtl/>
        </w:rPr>
      </w:pPr>
      <w:r w:rsidRPr="00C127C1">
        <w:rPr>
          <w:rFonts w:ascii="Arial" w:hAnsi="Arial"/>
          <w:b/>
          <w:color w:val="FF0000"/>
          <w:sz w:val="28"/>
          <w:rtl/>
        </w:rPr>
        <w:t>ם</w:t>
      </w:r>
    </w:p>
    <w:p w14:paraId="1328921D" w14:textId="77777777" w:rsidR="009769D6" w:rsidRPr="009769D6" w:rsidRDefault="009769D6" w:rsidP="009769D6">
      <w:pPr>
        <w:spacing w:line="360" w:lineRule="auto"/>
        <w:jc w:val="center"/>
        <w:rPr>
          <w:rFonts w:ascii="Arial" w:hAnsi="Arial"/>
          <w:b/>
          <w:bCs/>
          <w:sz w:val="28"/>
          <w:szCs w:val="28"/>
          <w:u w:val="single"/>
          <w:rtl/>
        </w:rPr>
      </w:pPr>
      <w:bookmarkStart w:id="5" w:name="PsakDin"/>
      <w:bookmarkEnd w:id="0"/>
      <w:r w:rsidRPr="009769D6">
        <w:rPr>
          <w:rFonts w:ascii="Arial" w:hAnsi="Arial"/>
          <w:b/>
          <w:bCs/>
          <w:sz w:val="28"/>
          <w:szCs w:val="28"/>
          <w:u w:val="single"/>
          <w:rtl/>
        </w:rPr>
        <w:t>גזר דין</w:t>
      </w:r>
    </w:p>
    <w:bookmarkEnd w:id="5"/>
    <w:p w14:paraId="167A212E" w14:textId="77777777" w:rsidR="00ED74D5" w:rsidRDefault="009769D6">
      <w:pPr>
        <w:spacing w:line="360" w:lineRule="auto"/>
        <w:rPr>
          <w:b/>
          <w:bCs/>
          <w:u w:val="single"/>
        </w:rPr>
      </w:pPr>
      <w:r>
        <w:rPr>
          <w:rFonts w:hint="cs"/>
          <w:b/>
          <w:bCs/>
          <w:u w:val="single"/>
          <w:rtl/>
        </w:rPr>
        <w:t>רקע</w:t>
      </w:r>
    </w:p>
    <w:p w14:paraId="66578F7D" w14:textId="77777777" w:rsidR="00ED74D5" w:rsidRDefault="009769D6">
      <w:pPr>
        <w:spacing w:line="360" w:lineRule="auto"/>
        <w:jc w:val="both"/>
        <w:rPr>
          <w:rtl/>
        </w:rPr>
      </w:pPr>
      <w:bookmarkStart w:id="6" w:name="ABSTRACT_START"/>
      <w:bookmarkEnd w:id="6"/>
      <w:r>
        <w:rPr>
          <w:rFonts w:hint="cs"/>
          <w:rtl/>
        </w:rPr>
        <w:t xml:space="preserve">בתאריכים 29.10.14 ו- 15.3.16 הורשע הנאשם על פי הודאתו, בשלוש העבירות של הסגת גבול פלילית לפי </w:t>
      </w:r>
      <w:hyperlink r:id="rId11" w:history="1">
        <w:r w:rsidR="00763123" w:rsidRPr="00763123">
          <w:rPr>
            <w:color w:val="0000FF"/>
            <w:u w:val="single"/>
            <w:rtl/>
          </w:rPr>
          <w:t>סעיף 447(א)</w:t>
        </w:r>
      </w:hyperlink>
      <w:r>
        <w:rPr>
          <w:rFonts w:hint="cs"/>
          <w:rtl/>
        </w:rPr>
        <w:t xml:space="preserve"> ל</w:t>
      </w:r>
      <w:hyperlink r:id="rId12" w:history="1">
        <w:r w:rsidRPr="009769D6">
          <w:rPr>
            <w:color w:val="0000FF"/>
            <w:u w:val="single"/>
            <w:rtl/>
          </w:rPr>
          <w:t>חוק העונשין</w:t>
        </w:r>
      </w:hyperlink>
      <w:r>
        <w:rPr>
          <w:rFonts w:hint="cs"/>
          <w:rtl/>
        </w:rPr>
        <w:t xml:space="preserve">, תשל"ז-1977 אשר יוחסו לו בתיק זה ובשני התיקים הנוספים שצורפו על ידו - </w:t>
      </w:r>
      <w:hyperlink r:id="rId13" w:history="1">
        <w:r w:rsidRPr="009769D6">
          <w:rPr>
            <w:color w:val="0000FF"/>
            <w:u w:val="single"/>
            <w:rtl/>
          </w:rPr>
          <w:t>ת"פ (חדרה) 3210-07-14</w:t>
        </w:r>
      </w:hyperlink>
      <w:r>
        <w:rPr>
          <w:rFonts w:hint="cs"/>
          <w:rtl/>
        </w:rPr>
        <w:t xml:space="preserve"> ו</w:t>
      </w:r>
      <w:hyperlink r:id="rId14" w:history="1">
        <w:r w:rsidRPr="009769D6">
          <w:rPr>
            <w:color w:val="0000FF"/>
            <w:u w:val="single"/>
            <w:rtl/>
          </w:rPr>
          <w:t>ת"פ (חדרה) 13502-12-14</w:t>
        </w:r>
      </w:hyperlink>
      <w:r>
        <w:rPr>
          <w:rFonts w:hint="cs"/>
          <w:rtl/>
        </w:rPr>
        <w:t xml:space="preserve"> שכתב האישום בו תוקן.  </w:t>
      </w:r>
    </w:p>
    <w:p w14:paraId="4828ADF0" w14:textId="77777777" w:rsidR="00ED74D5" w:rsidRDefault="009769D6">
      <w:pPr>
        <w:spacing w:line="360" w:lineRule="auto"/>
        <w:rPr>
          <w:rtl/>
        </w:rPr>
      </w:pPr>
      <w:bookmarkStart w:id="7" w:name="ABSTRACT_END"/>
      <w:bookmarkEnd w:id="7"/>
      <w:r>
        <w:rPr>
          <w:rFonts w:hint="cs"/>
          <w:rtl/>
        </w:rPr>
        <w:t>בהתאם לעובדות שלושת כתבי האישום שהוגשו כנגדו בתיקים הנ"ל, בתאריכים 24.2.14,  30.6.14 ו- 29.9.14 , בפרדס חנה, בשעות אחר הצהריים ו/או הערב המוקדמות, נכנס הנאשם אל בתיהן של משפחת פיליפובסקי המתגוררת ברח' האורנים 28, משפחת ירמייב המתגוררת ברח' התקומה 8  והגב' ג'ין ברומנד המתגוררת ברח' האדנים 14, פתח את מקררי הבתים, שתה מים ו/או משקאות חריפים ועזב.</w:t>
      </w:r>
    </w:p>
    <w:p w14:paraId="5BA5AFDF" w14:textId="77777777" w:rsidR="00ED74D5" w:rsidRDefault="009769D6">
      <w:pPr>
        <w:spacing w:line="360" w:lineRule="auto"/>
        <w:rPr>
          <w:rtl/>
        </w:rPr>
      </w:pPr>
      <w:r>
        <w:rPr>
          <w:rFonts w:hint="cs"/>
          <w:rtl/>
        </w:rPr>
        <w:t xml:space="preserve">הנאשם הודה בכך שביצע את המעשים הללו במטרה לעבור עבירות. </w:t>
      </w:r>
    </w:p>
    <w:p w14:paraId="7E58D620" w14:textId="77777777" w:rsidR="00ED74D5" w:rsidRDefault="009769D6">
      <w:pPr>
        <w:spacing w:line="360" w:lineRule="auto"/>
        <w:jc w:val="both"/>
        <w:rPr>
          <w:rtl/>
        </w:rPr>
      </w:pPr>
      <w:r>
        <w:rPr>
          <w:rFonts w:hint="cs"/>
          <w:rtl/>
        </w:rPr>
        <w:lastRenderedPageBreak/>
        <w:t xml:space="preserve">טיעוני הצדדים לעונש נשמעו עוד ביום 27.5.15 ובעקבותיהם – בעיקר לנוכח טענות הנאשם ובאת כוחו בדבר התגייסותו לתהליך שיקום וגמילה מהתמכרותו לאלכוהול, החלטתי להפנותו אל שירות המבחן לצורך קבלת תסקיר לעונש, לרבות בחינת האפשרות לפיקוחו של האחרון אחר תהליך זה.  </w:t>
      </w:r>
    </w:p>
    <w:p w14:paraId="311B7AD8" w14:textId="77777777" w:rsidR="00ED74D5" w:rsidRDefault="00ED74D5">
      <w:pPr>
        <w:spacing w:before="100" w:beforeAutospacing="1" w:after="100" w:afterAutospacing="1" w:line="360" w:lineRule="auto"/>
        <w:ind w:right="360"/>
        <w:jc w:val="both"/>
        <w:rPr>
          <w:b/>
          <w:bCs/>
          <w:u w:val="single"/>
          <w:rtl/>
        </w:rPr>
      </w:pPr>
    </w:p>
    <w:p w14:paraId="064475A2" w14:textId="77777777" w:rsidR="00ED74D5" w:rsidRDefault="00ED74D5">
      <w:pPr>
        <w:spacing w:before="100" w:beforeAutospacing="1" w:after="100" w:afterAutospacing="1" w:line="360" w:lineRule="auto"/>
        <w:ind w:right="360"/>
        <w:jc w:val="both"/>
        <w:rPr>
          <w:b/>
          <w:bCs/>
          <w:u w:val="single"/>
          <w:rtl/>
        </w:rPr>
      </w:pPr>
    </w:p>
    <w:p w14:paraId="0B616E12" w14:textId="77777777" w:rsidR="00ED74D5" w:rsidRDefault="00ED74D5">
      <w:pPr>
        <w:spacing w:before="100" w:beforeAutospacing="1" w:after="100" w:afterAutospacing="1" w:line="360" w:lineRule="auto"/>
        <w:ind w:right="360"/>
        <w:jc w:val="both"/>
        <w:rPr>
          <w:b/>
          <w:bCs/>
          <w:u w:val="single"/>
          <w:rtl/>
        </w:rPr>
      </w:pPr>
    </w:p>
    <w:p w14:paraId="33C84E14" w14:textId="77777777" w:rsidR="00ED74D5" w:rsidRDefault="009769D6">
      <w:pPr>
        <w:spacing w:before="100" w:beforeAutospacing="1" w:after="100" w:afterAutospacing="1" w:line="360" w:lineRule="auto"/>
        <w:ind w:right="360"/>
        <w:jc w:val="both"/>
        <w:rPr>
          <w:rtl/>
        </w:rPr>
      </w:pPr>
      <w:r>
        <w:rPr>
          <w:rFonts w:hint="cs"/>
          <w:b/>
          <w:bCs/>
          <w:u w:val="single"/>
          <w:rtl/>
        </w:rPr>
        <w:t>תסקירי שירות המבחן</w:t>
      </w:r>
      <w:r>
        <w:rPr>
          <w:rFonts w:hint="cs"/>
          <w:rtl/>
        </w:rPr>
        <w:t xml:space="preserve"> </w:t>
      </w:r>
    </w:p>
    <w:p w14:paraId="26682F2E" w14:textId="77777777" w:rsidR="00ED74D5" w:rsidRDefault="009769D6">
      <w:pPr>
        <w:spacing w:before="100" w:beforeAutospacing="1" w:after="100" w:afterAutospacing="1" w:line="360" w:lineRule="auto"/>
        <w:ind w:right="360"/>
        <w:jc w:val="both"/>
        <w:rPr>
          <w:rtl/>
        </w:rPr>
      </w:pPr>
      <w:r>
        <w:rPr>
          <w:rFonts w:hint="cs"/>
          <w:rtl/>
        </w:rPr>
        <w:t xml:space="preserve">בתסקיר הראשון מיום 21.12.15 סקרה קצינת המבחן את קורות חייו של הנאשם, אדם בן 50, גרוש ואב לשני ילדים בני 26 ו- 8 שנים, העובד כקבלן פיגומים. הנאשם אשר עד אותו שלב צבר לחובתו 17 הרשעות קודמות בעבירות שונות של אלימות (גם בתוך המשפחה), סמים, רכוש, תעבורה והעסקת עובד זר, טען בפני קצינת המבחן כי הוא שב והסתבך בכל אלה על רקע התמכרותו לחומרים מסוכנים, נטל אחריות על מעשיו ויחד עם זה טען כי הוא אינו זוכר את שארע בכל אחד מן האירועים שכן היה נתון תחת השפעת אלכוהול. </w:t>
      </w:r>
    </w:p>
    <w:p w14:paraId="05E6D05B" w14:textId="77777777" w:rsidR="00ED74D5" w:rsidRDefault="009769D6">
      <w:pPr>
        <w:spacing w:before="100" w:beforeAutospacing="1" w:after="100" w:afterAutospacing="1" w:line="360" w:lineRule="auto"/>
        <w:ind w:right="360"/>
        <w:jc w:val="both"/>
        <w:rPr>
          <w:rtl/>
        </w:rPr>
      </w:pPr>
      <w:r>
        <w:rPr>
          <w:rFonts w:hint="cs"/>
          <w:rtl/>
        </w:rPr>
        <w:t xml:space="preserve">בהקשר זה אציין כי גם בפני טען הנאשם טענות דומות, בשעה שמיד עם הודאתו בביצוע שתיים מתוך 3 העבירות שבביצוען הוא הורשע בסופו של דבר, אמר: </w:t>
      </w:r>
      <w:r>
        <w:rPr>
          <w:rFonts w:hint="cs"/>
          <w:b/>
          <w:bCs/>
          <w:rtl/>
        </w:rPr>
        <w:t xml:space="preserve">"יתכן שמה שכתוב בכתבי האישום נכון כיוון שכשאני שותה וודקה, אני לא אלים ולא כלום, פשוט לפעמים אני שוכח מה שאני עושה וכשאני נכנס, אני נכנס לאנשים שאני מכיר... אני מכיר את האנשים האלה, הם כולם בשכונה שלי" </w:t>
      </w:r>
      <w:r>
        <w:rPr>
          <w:rFonts w:hint="cs"/>
          <w:rtl/>
        </w:rPr>
        <w:t xml:space="preserve">(ר' בפרוטוקול מיום 29.10.14).  </w:t>
      </w:r>
    </w:p>
    <w:p w14:paraId="02D3E1F8" w14:textId="77777777" w:rsidR="00ED74D5" w:rsidRDefault="009769D6">
      <w:pPr>
        <w:spacing w:before="100" w:beforeAutospacing="1" w:after="100" w:afterAutospacing="1" w:line="360" w:lineRule="auto"/>
        <w:ind w:right="360"/>
        <w:jc w:val="both"/>
        <w:rPr>
          <w:rtl/>
        </w:rPr>
      </w:pPr>
      <w:r>
        <w:rPr>
          <w:rFonts w:hint="cs"/>
          <w:rtl/>
        </w:rPr>
        <w:t xml:space="preserve">במסגרת התסקיר שהוגש כאמור ציינה קצינת המבחן כי הנאשם מוכר לשירות המבחן מאז שנת 2008 וכי במהלך השנים 2009-2010 הוא היה נתון תחת צו מבחן שבסופו של דבר הופקע בעקבות ניתוק הקשר שלו עם היחידה להתמכרויות בחדרה. </w:t>
      </w:r>
    </w:p>
    <w:p w14:paraId="15908F55" w14:textId="77777777" w:rsidR="00ED74D5" w:rsidRDefault="009769D6">
      <w:pPr>
        <w:spacing w:before="100" w:beforeAutospacing="1" w:after="100" w:afterAutospacing="1" w:line="360" w:lineRule="auto"/>
        <w:ind w:right="360"/>
        <w:jc w:val="both"/>
        <w:rPr>
          <w:rtl/>
        </w:rPr>
      </w:pPr>
      <w:r>
        <w:rPr>
          <w:rFonts w:hint="cs"/>
          <w:rtl/>
        </w:rPr>
        <w:t xml:space="preserve">בחודש דצמבר 2014 פנה הנאשם ביוזמתו אל היחידה להתמכרויות בפרדס חנה, הופנה לגמילה ב"אשפוזית" ובמהלך הזמן שלאחר מכן התחזקה מחויבותו להליך הטיפולי אף כי הוא מעד פעמיים לשימוש בסמים ובאלכוהול אך התנקה בכוחות עצמו, שב לטיפול ולראשונה בחייו שכר דירה לבדו ועזב את בית אמו. דא עקא, שנכון למועד הגשת התסקיר ניתק הנאשם את הקשר שלו עם היחידה ובשיחה שקיימה עמו קצינת המבחן טען כי היתה לו מעידה נוספת והצהיר על כוונתו לשוב למפגשים הטיפוליים. בסיכום התסקיר ציינה קצינת המבחן כי להתרשמותה מדובר במי שלראשונה מבטא נכונות פנימית לערוך שינוי מהותי בחייו ולפיכך המליצה על דחיית הדיון בעניינו ב-3 חודשים נוספים לשם מעקב אחר מצבו. </w:t>
      </w:r>
    </w:p>
    <w:p w14:paraId="65D7781C" w14:textId="77777777" w:rsidR="00ED74D5" w:rsidRDefault="009769D6">
      <w:pPr>
        <w:spacing w:before="100" w:beforeAutospacing="1" w:after="100" w:afterAutospacing="1" w:line="360" w:lineRule="auto"/>
        <w:ind w:right="360"/>
        <w:jc w:val="both"/>
        <w:rPr>
          <w:rtl/>
        </w:rPr>
      </w:pPr>
      <w:r>
        <w:rPr>
          <w:rFonts w:hint="cs"/>
          <w:rtl/>
        </w:rPr>
        <w:lastRenderedPageBreak/>
        <w:t>בפתח הדיון שהתקיים בפני ביום 28.12.15, הסתבר כי במהלך התקופה בה ניתק הנאשם את הקשר שלו עם היחידה להתמכרויות, הוגש כנגדו כתב אישום נוסף בגין ארוע דומה לאלה שבגינם הוא הורשע כאן. לבקשת הנאשם ובאת כוחו נדחה הדיון פעם נוספת, הן על מנת לאפשר לו לבחון את שאלת צירופו של התיק הנוסף לתיק זה גם כן והן לצורך קבלת תסקיר משלים של שירות המבחן.</w:t>
      </w:r>
    </w:p>
    <w:p w14:paraId="1627BEEA" w14:textId="77777777" w:rsidR="00ED74D5" w:rsidRDefault="009769D6">
      <w:pPr>
        <w:spacing w:before="100" w:beforeAutospacing="1" w:after="100" w:afterAutospacing="1" w:line="360" w:lineRule="auto"/>
        <w:ind w:right="360"/>
        <w:jc w:val="both"/>
        <w:rPr>
          <w:rtl/>
        </w:rPr>
      </w:pPr>
      <w:r>
        <w:rPr>
          <w:rFonts w:hint="cs"/>
          <w:rtl/>
        </w:rPr>
        <w:t xml:space="preserve">בתסקיר המשלים מיום 5.4.16 דיווחה קצינת המבחן על ועדת החלטה שהתקיימה בעניינו של הנאשם ביום 10.1.16, בה הוצע לו להשתלב במסגרת טיפולית אינטנסיבית שיכול ותהווה פתרון מתאים למצבו שהתאפיין במוטיבציה גבוהה לשינוי עם מעידות חוזרות ונשנות ואולם הוא סרב להצעה מכיוון שחשש שהדבר יפגע בעסק שבבעלותו ובפרנסתו. במצב דברים זה הוצעה לנאשם אלטרנטיבה של שיחות פרטניות ביחידה, השתלבות בטיפול קבוצתי, ביצוע בדיקות שתן שבועיות והשתתפות בקבוצת </w:t>
      </w:r>
      <w:r>
        <w:t>NA</w:t>
      </w:r>
      <w:r>
        <w:rPr>
          <w:rFonts w:hint="cs"/>
          <w:rtl/>
        </w:rPr>
        <w:t xml:space="preserve"> והוא נענה להצעה. אלא שגם שבמהלך תקופת דחיה זו מעד הנאשם בארוע של שתיית אלכוהול, ניתק את הקשר עם היחידה, התנקה בעצמו ושב לטיפול.</w:t>
      </w:r>
    </w:p>
    <w:p w14:paraId="0DD3CA56" w14:textId="77777777" w:rsidR="00ED74D5" w:rsidRDefault="009769D6">
      <w:pPr>
        <w:spacing w:before="100" w:beforeAutospacing="1" w:after="100" w:afterAutospacing="1" w:line="360" w:lineRule="auto"/>
        <w:ind w:right="360"/>
        <w:jc w:val="both"/>
        <w:rPr>
          <w:rtl/>
        </w:rPr>
      </w:pPr>
      <w:r>
        <w:rPr>
          <w:rFonts w:hint="cs"/>
          <w:rtl/>
        </w:rPr>
        <w:t>בסיכום המלצותיה, ציינה קצינת המבחן את התלבטויותיה הרבות  הנעוצות במצבו המורכב של הנאשם כפי שתואר לעיל ובסופו של דבר נמנעה היא מהמלצה טיפולית.</w:t>
      </w:r>
    </w:p>
    <w:p w14:paraId="110608FB" w14:textId="77777777" w:rsidR="00ED74D5" w:rsidRDefault="009769D6">
      <w:pPr>
        <w:spacing w:before="100" w:beforeAutospacing="1" w:after="100" w:afterAutospacing="1" w:line="360" w:lineRule="auto"/>
        <w:ind w:right="360"/>
        <w:jc w:val="both"/>
        <w:rPr>
          <w:rtl/>
        </w:rPr>
      </w:pPr>
      <w:r>
        <w:rPr>
          <w:rFonts w:hint="cs"/>
          <w:rtl/>
        </w:rPr>
        <w:t xml:space="preserve">בדיון האחרון שהתקיים בפני ביום 25.5.16 הודיעה ב"כ הנאשם על החלטתו לנהל הוכחות בתיק הנוסף והאחרון שהוגש כנגדו והציגה בפני את מכתבה העדכני של העו"ס המטפלת בו ביחידה להתמכרויות בפרדס חנה בו ציינה העו"ס כי ביום 5.6.16 צפויה להתקיים בעניינו ועדת אבחון נוספת לשם גיבוש תכנית טיפולית שתתאים לו, לנוכח הרצון הגדול שהוא מבטא לעריכת שינוי בחייו </w:t>
      </w:r>
      <w:r>
        <w:rPr>
          <w:rFonts w:hint="cs"/>
          <w:b/>
          <w:bCs/>
          <w:rtl/>
        </w:rPr>
        <w:t xml:space="preserve">(נ/3). </w:t>
      </w:r>
      <w:r>
        <w:rPr>
          <w:rFonts w:hint="cs"/>
          <w:rtl/>
        </w:rPr>
        <w:t xml:space="preserve">  </w:t>
      </w:r>
    </w:p>
    <w:p w14:paraId="2F934074" w14:textId="77777777" w:rsidR="00ED74D5" w:rsidRDefault="009769D6">
      <w:pPr>
        <w:spacing w:before="100" w:beforeAutospacing="1" w:after="100" w:afterAutospacing="1" w:line="360" w:lineRule="auto"/>
        <w:ind w:right="360"/>
        <w:jc w:val="both"/>
        <w:rPr>
          <w:rtl/>
        </w:rPr>
      </w:pPr>
      <w:r>
        <w:rPr>
          <w:rFonts w:hint="cs"/>
          <w:rtl/>
        </w:rPr>
        <w:t xml:space="preserve">לנוכח דברים אלה, הוריתי לב"כ הנאשם להגיש לתיק בית המשפט את תכנית הטיפול שתגובש עבור הנאשם בטרם יינתן גזר דינו. </w:t>
      </w:r>
    </w:p>
    <w:p w14:paraId="3F1C6F9E" w14:textId="77777777" w:rsidR="00ED74D5" w:rsidRDefault="009769D6">
      <w:pPr>
        <w:spacing w:before="100" w:beforeAutospacing="1" w:after="100" w:afterAutospacing="1" w:line="360" w:lineRule="auto"/>
        <w:ind w:right="720"/>
        <w:jc w:val="both"/>
        <w:rPr>
          <w:b/>
          <w:bCs/>
          <w:u w:val="single"/>
          <w:rtl/>
        </w:rPr>
      </w:pPr>
      <w:r>
        <w:rPr>
          <w:rFonts w:hint="cs"/>
          <w:b/>
          <w:bCs/>
          <w:u w:val="single"/>
          <w:rtl/>
        </w:rPr>
        <w:t>טיעוני הצדדים לעונש וראיותיהם</w:t>
      </w:r>
    </w:p>
    <w:p w14:paraId="40F2D332" w14:textId="77777777" w:rsidR="00ED74D5" w:rsidRDefault="009769D6">
      <w:pPr>
        <w:spacing w:before="100" w:beforeAutospacing="1" w:after="100" w:afterAutospacing="1" w:line="360" w:lineRule="auto"/>
        <w:ind w:right="360"/>
        <w:jc w:val="both"/>
        <w:rPr>
          <w:rtl/>
        </w:rPr>
      </w:pPr>
      <w:r>
        <w:rPr>
          <w:rFonts w:hint="cs"/>
          <w:rtl/>
        </w:rPr>
        <w:t>בטיעון למתחם ענישה הולם הנע בין מאסר על תנאי ל- 8 חודשי מאסר בפועל לכל עבירה, הדגישה בשעתה ב"כ המאשימה את הערכים המוגנים העומדים בבסיס עבירת הסגת הגבול הפלילית, עמדה על כך שהנאשם ביצע את 3 העבירות שבגינן הורשע בתוך תקופה של 7 חודשים וטענה כי מדובר באדם רצידיביסט שצבר לחובתו הרשעות קודמות רבות (</w:t>
      </w:r>
      <w:r>
        <w:rPr>
          <w:rFonts w:hint="cs"/>
          <w:b/>
          <w:bCs/>
          <w:rtl/>
        </w:rPr>
        <w:t>ת/1</w:t>
      </w:r>
      <w:r>
        <w:rPr>
          <w:rFonts w:hint="cs"/>
          <w:rtl/>
        </w:rPr>
        <w:t xml:space="preserve">) ובכך בחר למעשה בדרך חיים עבריינית.  ב"כ המאשימה ביקשה כי אגזור על הנאשם עונשי מאסר נפרדים ומצטברים בגין 3 העבירות וכי אוסיף עליהם גם רכיבים של מאסר על תנאי וקנס. </w:t>
      </w:r>
    </w:p>
    <w:p w14:paraId="3E9CF3FD" w14:textId="77777777" w:rsidR="00ED74D5" w:rsidRDefault="009769D6">
      <w:pPr>
        <w:spacing w:before="100" w:beforeAutospacing="1" w:after="100" w:afterAutospacing="1" w:line="360" w:lineRule="auto"/>
        <w:ind w:right="360"/>
        <w:jc w:val="both"/>
        <w:rPr>
          <w:rtl/>
        </w:rPr>
      </w:pPr>
      <w:r>
        <w:rPr>
          <w:rFonts w:hint="cs"/>
          <w:rtl/>
        </w:rPr>
        <w:t xml:space="preserve">מנגד טענה ב"כ הנאשם כי מדובר באדם שנמצא בעיצומו של הליך שיקום, כי מעידותיו במסגרת תהליך זה אך טבעיות הן וכי לנוכח רצונו העז בשינוי והמאמצים הרבים שהוא  משקיע בכך יש </w:t>
      </w:r>
    </w:p>
    <w:p w14:paraId="26490E0C" w14:textId="77777777" w:rsidR="00ED74D5" w:rsidRDefault="009769D6">
      <w:pPr>
        <w:spacing w:before="100" w:beforeAutospacing="1" w:after="100" w:afterAutospacing="1" w:line="360" w:lineRule="auto"/>
        <w:ind w:right="360"/>
        <w:jc w:val="both"/>
        <w:rPr>
          <w:rtl/>
        </w:rPr>
      </w:pPr>
      <w:r>
        <w:rPr>
          <w:rFonts w:hint="cs"/>
          <w:rtl/>
        </w:rPr>
        <w:t xml:space="preserve">מקום לבוא לקראתו בדרך של הסתפקות בהטלת עונש צופה פני עתיד בלבד.  </w:t>
      </w:r>
    </w:p>
    <w:p w14:paraId="5BACB3BB" w14:textId="77777777" w:rsidR="00ED74D5" w:rsidRDefault="009769D6">
      <w:pPr>
        <w:spacing w:before="100" w:beforeAutospacing="1" w:after="100" w:afterAutospacing="1" w:line="360" w:lineRule="auto"/>
        <w:ind w:right="360"/>
        <w:jc w:val="both"/>
        <w:rPr>
          <w:rtl/>
        </w:rPr>
      </w:pPr>
      <w:r>
        <w:rPr>
          <w:rFonts w:hint="cs"/>
          <w:rtl/>
        </w:rPr>
        <w:t xml:space="preserve">הנאשם עצמו אמר: </w:t>
      </w:r>
      <w:r>
        <w:rPr>
          <w:rFonts w:hint="cs"/>
          <w:b/>
          <w:bCs/>
          <w:rtl/>
        </w:rPr>
        <w:t>"... אני מצטער על כל מה שעשיתי. לראשונה בחיי אני עושה את הדרך הזאת"</w:t>
      </w:r>
      <w:r>
        <w:rPr>
          <w:rFonts w:hint="cs"/>
          <w:rtl/>
        </w:rPr>
        <w:t xml:space="preserve"> (ר' בפרוטוקול מיום 27.5.15) וכן: </w:t>
      </w:r>
      <w:r>
        <w:rPr>
          <w:rFonts w:hint="cs"/>
          <w:b/>
          <w:bCs/>
          <w:rtl/>
        </w:rPr>
        <w:t>"אני עושה את כל המאמצים. קשה קצת. אני ממשיך לעבוד..."</w:t>
      </w:r>
      <w:r>
        <w:rPr>
          <w:rFonts w:hint="cs"/>
          <w:rtl/>
        </w:rPr>
        <w:t xml:space="preserve"> והוסיף כי אחרי 30 שנים של אורח חיים התמכרותי ועברייני דומה מצבו לזה של </w:t>
      </w:r>
      <w:r>
        <w:rPr>
          <w:rFonts w:hint="cs"/>
          <w:b/>
          <w:bCs/>
          <w:rtl/>
        </w:rPr>
        <w:t>"מי ששימש רוב חייו כמנכ"ל ונתנו לו לעבוד בנקיון"</w:t>
      </w:r>
      <w:r>
        <w:rPr>
          <w:rFonts w:hint="cs"/>
          <w:rtl/>
        </w:rPr>
        <w:t xml:space="preserve">... (ר' בפרוטוקול מיום 25.5.16). </w:t>
      </w:r>
    </w:p>
    <w:p w14:paraId="0B77F0D1" w14:textId="77777777" w:rsidR="00ED74D5" w:rsidRDefault="009769D6">
      <w:pPr>
        <w:spacing w:before="100" w:beforeAutospacing="1" w:after="100" w:afterAutospacing="1" w:line="360" w:lineRule="auto"/>
        <w:ind w:right="360"/>
        <w:jc w:val="both"/>
        <w:rPr>
          <w:rtl/>
        </w:rPr>
      </w:pPr>
      <w:r>
        <w:rPr>
          <w:rFonts w:hint="cs"/>
          <w:rtl/>
        </w:rPr>
        <w:t xml:space="preserve">בתאריך 7.6.16 הגישה ב"כ הנאשם לתיק בית המשפט את החלטתה של ועדת האבחון שהתקיימה בעניינו ביום 5.6.16 ממנה עולה כי הלה הופנה לפסיכיאטר והוא מיועד לעבור בדיקות שתן ו"ינשוף" ולהשתלב בטיפול פרטני ובקבוצת </w:t>
      </w:r>
      <w:r>
        <w:t>NA</w:t>
      </w:r>
      <w:r>
        <w:rPr>
          <w:rFonts w:hint="cs"/>
          <w:rtl/>
        </w:rPr>
        <w:t xml:space="preserve">.    </w:t>
      </w:r>
    </w:p>
    <w:p w14:paraId="135E3A46" w14:textId="77777777" w:rsidR="00ED74D5" w:rsidRDefault="009769D6">
      <w:pPr>
        <w:spacing w:before="100" w:beforeAutospacing="1" w:after="100" w:afterAutospacing="1" w:line="360" w:lineRule="auto"/>
        <w:ind w:left="720" w:right="360" w:hanging="720"/>
        <w:jc w:val="both"/>
        <w:rPr>
          <w:b/>
          <w:bCs/>
          <w:u w:val="single"/>
          <w:rtl/>
        </w:rPr>
      </w:pPr>
      <w:r>
        <w:rPr>
          <w:rFonts w:hint="cs"/>
          <w:b/>
          <w:bCs/>
          <w:u w:val="single"/>
          <w:rtl/>
        </w:rPr>
        <w:t>דיון וגזירת הדין</w:t>
      </w:r>
    </w:p>
    <w:p w14:paraId="20EE59B0" w14:textId="77777777" w:rsidR="00ED74D5" w:rsidRDefault="009769D6">
      <w:pPr>
        <w:autoSpaceDE w:val="0"/>
        <w:autoSpaceDN w:val="0"/>
        <w:adjustRightInd w:val="0"/>
        <w:spacing w:line="360" w:lineRule="auto"/>
        <w:ind w:left="720" w:hanging="720"/>
        <w:jc w:val="both"/>
        <w:rPr>
          <w:color w:val="000000"/>
          <w:rtl/>
        </w:rPr>
      </w:pPr>
      <w:r>
        <w:rPr>
          <w:rFonts w:hint="cs"/>
          <w:color w:val="000000"/>
          <w:rtl/>
        </w:rPr>
        <w:t xml:space="preserve">גזירת דינו של נאשם מחייבת את בית המשפט לילך במסלול שלבי אשר השלב הראשון בו הוא </w:t>
      </w:r>
    </w:p>
    <w:p w14:paraId="72F368A3" w14:textId="77777777" w:rsidR="00ED74D5" w:rsidRDefault="009769D6">
      <w:pPr>
        <w:autoSpaceDE w:val="0"/>
        <w:autoSpaceDN w:val="0"/>
        <w:adjustRightInd w:val="0"/>
        <w:spacing w:line="360" w:lineRule="auto"/>
        <w:ind w:left="720" w:hanging="720"/>
        <w:rPr>
          <w:color w:val="000000"/>
          <w:rtl/>
        </w:rPr>
      </w:pPr>
      <w:r>
        <w:rPr>
          <w:rFonts w:hint="cs"/>
          <w:color w:val="000000"/>
          <w:rtl/>
        </w:rPr>
        <w:t>קביעת</w:t>
      </w:r>
      <w:r>
        <w:rPr>
          <w:rFonts w:hint="cs"/>
          <w:color w:val="000000"/>
        </w:rPr>
        <w:t xml:space="preserve"> </w:t>
      </w:r>
      <w:r>
        <w:rPr>
          <w:rFonts w:hint="cs"/>
          <w:color w:val="000000"/>
          <w:rtl/>
        </w:rPr>
        <w:t>מתחם</w:t>
      </w:r>
      <w:r>
        <w:rPr>
          <w:rFonts w:hint="cs"/>
          <w:color w:val="000000"/>
        </w:rPr>
        <w:t xml:space="preserve"> </w:t>
      </w:r>
      <w:r>
        <w:rPr>
          <w:rFonts w:hint="cs"/>
          <w:color w:val="000000"/>
          <w:rtl/>
        </w:rPr>
        <w:t>עונש</w:t>
      </w:r>
      <w:r>
        <w:rPr>
          <w:rFonts w:hint="cs"/>
          <w:color w:val="000000"/>
        </w:rPr>
        <w:t xml:space="preserve"> </w:t>
      </w:r>
      <w:r>
        <w:rPr>
          <w:rFonts w:hint="cs"/>
          <w:color w:val="000000"/>
          <w:rtl/>
        </w:rPr>
        <w:t>הולם לעבירה.  זאת, תוך התחשבות</w:t>
      </w:r>
      <w:r>
        <w:rPr>
          <w:rFonts w:hint="cs"/>
          <w:color w:val="000000"/>
        </w:rPr>
        <w:t xml:space="preserve"> </w:t>
      </w:r>
      <w:r>
        <w:rPr>
          <w:rFonts w:hint="cs"/>
          <w:color w:val="000000"/>
          <w:rtl/>
        </w:rPr>
        <w:t>בערך</w:t>
      </w:r>
      <w:r>
        <w:rPr>
          <w:rFonts w:hint="cs"/>
          <w:color w:val="000000"/>
        </w:rPr>
        <w:t xml:space="preserve"> </w:t>
      </w:r>
      <w:r>
        <w:rPr>
          <w:rFonts w:hint="cs"/>
          <w:color w:val="000000"/>
          <w:rtl/>
        </w:rPr>
        <w:t>החברתי</w:t>
      </w:r>
      <w:r>
        <w:rPr>
          <w:rFonts w:hint="cs"/>
          <w:color w:val="000000"/>
        </w:rPr>
        <w:t xml:space="preserve"> </w:t>
      </w:r>
      <w:r>
        <w:rPr>
          <w:rFonts w:hint="cs"/>
          <w:color w:val="000000"/>
          <w:rtl/>
        </w:rPr>
        <w:t>שנפגע, במידת</w:t>
      </w:r>
      <w:r>
        <w:rPr>
          <w:rFonts w:hint="cs"/>
          <w:color w:val="000000"/>
        </w:rPr>
        <w:t xml:space="preserve"> </w:t>
      </w:r>
      <w:r>
        <w:rPr>
          <w:rFonts w:hint="cs"/>
          <w:color w:val="000000"/>
          <w:rtl/>
        </w:rPr>
        <w:t>הפגיעה</w:t>
      </w:r>
      <w:r>
        <w:rPr>
          <w:rFonts w:hint="cs"/>
          <w:color w:val="000000"/>
        </w:rPr>
        <w:t xml:space="preserve"> </w:t>
      </w:r>
      <w:r>
        <w:rPr>
          <w:rFonts w:hint="cs"/>
          <w:color w:val="000000"/>
          <w:rtl/>
        </w:rPr>
        <w:t>בו,</w:t>
      </w:r>
    </w:p>
    <w:p w14:paraId="7F021BCA" w14:textId="77777777" w:rsidR="00ED74D5" w:rsidRDefault="009769D6">
      <w:pPr>
        <w:autoSpaceDE w:val="0"/>
        <w:autoSpaceDN w:val="0"/>
        <w:adjustRightInd w:val="0"/>
        <w:spacing w:line="360" w:lineRule="auto"/>
        <w:ind w:left="720" w:hanging="720"/>
        <w:rPr>
          <w:rFonts w:ascii="Times New Roman"/>
          <w:color w:val="000000"/>
          <w:rtl/>
        </w:rPr>
      </w:pPr>
      <w:r>
        <w:rPr>
          <w:rFonts w:hint="cs"/>
          <w:color w:val="000000"/>
          <w:rtl/>
        </w:rPr>
        <w:t>במדיניות</w:t>
      </w:r>
      <w:r>
        <w:rPr>
          <w:rFonts w:hint="cs"/>
          <w:color w:val="000000"/>
        </w:rPr>
        <w:t xml:space="preserve"> </w:t>
      </w:r>
      <w:r>
        <w:rPr>
          <w:rFonts w:hint="cs"/>
          <w:color w:val="000000"/>
          <w:rtl/>
        </w:rPr>
        <w:t>הענישה</w:t>
      </w:r>
      <w:r>
        <w:rPr>
          <w:rFonts w:hint="cs"/>
          <w:color w:val="000000"/>
        </w:rPr>
        <w:t xml:space="preserve"> </w:t>
      </w:r>
      <w:r>
        <w:rPr>
          <w:rFonts w:hint="cs"/>
          <w:color w:val="000000"/>
          <w:rtl/>
        </w:rPr>
        <w:t>הנוהגת</w:t>
      </w:r>
      <w:r>
        <w:rPr>
          <w:rFonts w:hint="cs"/>
          <w:color w:val="000000"/>
        </w:rPr>
        <w:t xml:space="preserve"> </w:t>
      </w:r>
      <w:r>
        <w:rPr>
          <w:rFonts w:hint="cs"/>
          <w:color w:val="000000"/>
          <w:rtl/>
        </w:rPr>
        <w:t>ובנסיבות</w:t>
      </w:r>
      <w:r>
        <w:rPr>
          <w:rFonts w:hint="cs"/>
          <w:color w:val="000000"/>
        </w:rPr>
        <w:t xml:space="preserve"> </w:t>
      </w:r>
      <w:r>
        <w:rPr>
          <w:rFonts w:hint="cs"/>
          <w:color w:val="000000"/>
          <w:rtl/>
        </w:rPr>
        <w:t>הקשורות</w:t>
      </w:r>
      <w:r>
        <w:rPr>
          <w:rFonts w:hint="cs"/>
          <w:color w:val="000000"/>
        </w:rPr>
        <w:t xml:space="preserve"> </w:t>
      </w:r>
      <w:r>
        <w:rPr>
          <w:rFonts w:hint="cs"/>
          <w:color w:val="000000"/>
          <w:rtl/>
        </w:rPr>
        <w:t>בביצוע</w:t>
      </w:r>
      <w:r>
        <w:rPr>
          <w:rFonts w:hint="cs"/>
          <w:color w:val="000000"/>
        </w:rPr>
        <w:t xml:space="preserve"> </w:t>
      </w:r>
      <w:r>
        <w:rPr>
          <w:rFonts w:hint="cs"/>
          <w:color w:val="000000"/>
          <w:rtl/>
        </w:rPr>
        <w:t>העבירה.</w:t>
      </w:r>
      <w:r>
        <w:rPr>
          <w:rFonts w:hint="cs"/>
          <w:color w:val="000000"/>
        </w:rPr>
        <w:t xml:space="preserve"> </w:t>
      </w:r>
    </w:p>
    <w:p w14:paraId="0EF107DA" w14:textId="77777777" w:rsidR="00ED74D5" w:rsidRDefault="009769D6">
      <w:pPr>
        <w:autoSpaceDE w:val="0"/>
        <w:autoSpaceDN w:val="0"/>
        <w:adjustRightInd w:val="0"/>
        <w:spacing w:line="360" w:lineRule="auto"/>
        <w:jc w:val="both"/>
        <w:rPr>
          <w:color w:val="000000"/>
          <w:rtl/>
        </w:rPr>
      </w:pPr>
      <w:r>
        <w:rPr>
          <w:rFonts w:hint="cs"/>
          <w:color w:val="000000"/>
          <w:rtl/>
        </w:rPr>
        <w:t xml:space="preserve">הערכים המוגנים בעבירות שבביצוען הורשע הנאשם הם שלום הציבור, בטחונו ובטחון רכושו ומידת הפגיעה בהם בנסיבותיו של מקרה זה, בינונית בעיני. </w:t>
      </w:r>
    </w:p>
    <w:p w14:paraId="4FC6E639" w14:textId="77777777" w:rsidR="00ED74D5" w:rsidRDefault="009769D6">
      <w:pPr>
        <w:spacing w:line="360" w:lineRule="auto"/>
        <w:jc w:val="both"/>
        <w:textAlignment w:val="top"/>
        <w:rPr>
          <w:rtl/>
        </w:rPr>
      </w:pPr>
      <w:r>
        <w:rPr>
          <w:rFonts w:hint="cs"/>
          <w:rtl/>
        </w:rPr>
        <w:t xml:space="preserve">לא אחת נקבע, כי יש להחמיר בעונשם של עברייני הרכוש, לרבות אלה הנכנסים או מתפרצים לבתיהם </w:t>
      </w:r>
    </w:p>
    <w:p w14:paraId="1C7B031C" w14:textId="77777777" w:rsidR="00ED74D5" w:rsidRDefault="009769D6">
      <w:pPr>
        <w:autoSpaceDE w:val="0"/>
        <w:autoSpaceDN w:val="0"/>
        <w:adjustRightInd w:val="0"/>
        <w:spacing w:line="360" w:lineRule="auto"/>
        <w:rPr>
          <w:color w:val="000000"/>
          <w:rtl/>
        </w:rPr>
      </w:pPr>
      <w:r>
        <w:rPr>
          <w:rFonts w:hint="cs"/>
          <w:rtl/>
        </w:rPr>
        <w:t xml:space="preserve">של אחרים, שהיו </w:t>
      </w:r>
      <w:r>
        <w:rPr>
          <w:rFonts w:hint="cs"/>
          <w:b/>
          <w:bCs/>
          <w:rtl/>
        </w:rPr>
        <w:t>"למכת מדינה, למקור דאגה וטרוניה לאזרחים רבים ולפגיעה בתחושת ביטחונם"</w:t>
      </w:r>
      <w:r>
        <w:rPr>
          <w:rFonts w:hint="cs"/>
          <w:rtl/>
        </w:rPr>
        <w:t xml:space="preserve"> (ר' </w:t>
      </w:r>
      <w:hyperlink r:id="rId15" w:history="1">
        <w:r w:rsidRPr="009769D6">
          <w:rPr>
            <w:color w:val="0000FF"/>
            <w:u w:val="single"/>
            <w:rtl/>
          </w:rPr>
          <w:t>רע"פ 1708/08</w:t>
        </w:r>
      </w:hyperlink>
      <w:r>
        <w:rPr>
          <w:rFonts w:hint="cs"/>
          <w:rtl/>
        </w:rPr>
        <w:t xml:space="preserve"> </w:t>
      </w:r>
      <w:r>
        <w:rPr>
          <w:rFonts w:hint="cs"/>
          <w:b/>
          <w:bCs/>
          <w:rtl/>
        </w:rPr>
        <w:t>מרדכי לוי נ' מדינת ישראל</w:t>
      </w:r>
      <w:r>
        <w:rPr>
          <w:rFonts w:hint="cs"/>
          <w:rtl/>
        </w:rPr>
        <w:t>).</w:t>
      </w:r>
      <w:r>
        <w:rPr>
          <w:rFonts w:hint="cs"/>
          <w:color w:val="000000"/>
          <w:rtl/>
        </w:rPr>
        <w:t xml:space="preserve"> ואכן, בתי המשפט רואים בחומרה עבירות מסוג זה ואולם קשת העונשים הנגזרים בגינן, רחבה היא ומתחם הענישה ההולם הנגזר ממנה בנסיבות הקשורות בביצוע העבירות במקרה זה, צריך לנוע, אף לדעתי, בין מאסר על תנאי </w:t>
      </w:r>
    </w:p>
    <w:p w14:paraId="3632F9F3" w14:textId="77777777" w:rsidR="00ED74D5" w:rsidRDefault="009769D6">
      <w:pPr>
        <w:autoSpaceDE w:val="0"/>
        <w:autoSpaceDN w:val="0"/>
        <w:adjustRightInd w:val="0"/>
        <w:spacing w:line="360" w:lineRule="auto"/>
        <w:rPr>
          <w:color w:val="000000"/>
          <w:rtl/>
        </w:rPr>
      </w:pPr>
      <w:r>
        <w:rPr>
          <w:rFonts w:hint="cs"/>
          <w:color w:val="000000"/>
          <w:rtl/>
        </w:rPr>
        <w:t xml:space="preserve">ל- 8 חודשי </w:t>
      </w:r>
      <w:r>
        <w:rPr>
          <w:rFonts w:hint="cs"/>
          <w:rtl/>
        </w:rPr>
        <w:t xml:space="preserve">מאסר בפועל, </w:t>
      </w:r>
      <w:r>
        <w:rPr>
          <w:rFonts w:hint="cs"/>
          <w:color w:val="000000"/>
          <w:rtl/>
        </w:rPr>
        <w:t xml:space="preserve">שלצידם מאסר על תנאי, קנס ופיצוי. </w:t>
      </w:r>
    </w:p>
    <w:p w14:paraId="5CABC2A1" w14:textId="77777777" w:rsidR="00ED74D5" w:rsidRDefault="009769D6">
      <w:pPr>
        <w:autoSpaceDE w:val="0"/>
        <w:autoSpaceDN w:val="0"/>
        <w:adjustRightInd w:val="0"/>
        <w:spacing w:line="360" w:lineRule="auto"/>
        <w:rPr>
          <w:color w:val="000000"/>
          <w:rtl/>
        </w:rPr>
      </w:pPr>
      <w:r>
        <w:rPr>
          <w:rFonts w:hint="cs"/>
          <w:color w:val="000000"/>
          <w:rtl/>
        </w:rPr>
        <w:t xml:space="preserve">מכיוון שלטעמי יש לראות בעבירות נשוא 3 התיקים שצורפו "מקשה אחת", שכן מדובר במעשים המאופיינים בתבנית התנהגות חוזרת והן בוצעו במהלך תקופה של מספר חודשים, הנני קובעת כי מתחם הענישה לעיל יתייחס לשלושתן יחדיו. </w:t>
      </w:r>
    </w:p>
    <w:p w14:paraId="44569525" w14:textId="77777777" w:rsidR="00ED74D5" w:rsidRDefault="00ED74D5">
      <w:pPr>
        <w:spacing w:line="360" w:lineRule="auto"/>
        <w:jc w:val="both"/>
        <w:textAlignment w:val="top"/>
        <w:rPr>
          <w:rFonts w:ascii="Times New Roman" w:hAnsi="Times New Roman"/>
          <w:rtl/>
        </w:rPr>
      </w:pPr>
    </w:p>
    <w:p w14:paraId="48A4938B" w14:textId="77777777" w:rsidR="00ED74D5" w:rsidRDefault="009769D6">
      <w:pPr>
        <w:tabs>
          <w:tab w:val="right" w:pos="8640"/>
        </w:tabs>
        <w:autoSpaceDE w:val="0"/>
        <w:autoSpaceDN w:val="0"/>
        <w:adjustRightInd w:val="0"/>
        <w:spacing w:line="360" w:lineRule="auto"/>
        <w:jc w:val="both"/>
        <w:rPr>
          <w:color w:val="000000"/>
          <w:rtl/>
        </w:rPr>
      </w:pPr>
      <w:r>
        <w:rPr>
          <w:rFonts w:hint="cs"/>
          <w:color w:val="000000"/>
          <w:rtl/>
        </w:rPr>
        <w:t>השלב השני בגזירת הדין, בגדרי</w:t>
      </w:r>
      <w:r>
        <w:rPr>
          <w:rFonts w:hint="cs"/>
          <w:color w:val="000000"/>
        </w:rPr>
        <w:t xml:space="preserve"> </w:t>
      </w:r>
      <w:r>
        <w:rPr>
          <w:rFonts w:hint="cs"/>
          <w:color w:val="000000"/>
          <w:rtl/>
        </w:rPr>
        <w:t>מתחם</w:t>
      </w:r>
      <w:r>
        <w:rPr>
          <w:rFonts w:hint="cs"/>
          <w:color w:val="000000"/>
        </w:rPr>
        <w:t xml:space="preserve"> </w:t>
      </w:r>
      <w:r>
        <w:rPr>
          <w:rFonts w:hint="cs"/>
          <w:color w:val="000000"/>
          <w:rtl/>
        </w:rPr>
        <w:t>העונש</w:t>
      </w:r>
      <w:r>
        <w:rPr>
          <w:rFonts w:hint="cs"/>
          <w:color w:val="000000"/>
        </w:rPr>
        <w:t xml:space="preserve"> </w:t>
      </w:r>
      <w:r>
        <w:rPr>
          <w:rFonts w:hint="cs"/>
          <w:color w:val="000000"/>
          <w:rtl/>
        </w:rPr>
        <w:t>ההולם שנקבע הוא התחשבות</w:t>
      </w:r>
      <w:r>
        <w:rPr>
          <w:rFonts w:hint="cs"/>
          <w:color w:val="000000"/>
        </w:rPr>
        <w:t xml:space="preserve"> </w:t>
      </w:r>
      <w:r>
        <w:rPr>
          <w:rFonts w:hint="cs"/>
          <w:color w:val="000000"/>
          <w:rtl/>
        </w:rPr>
        <w:t xml:space="preserve">בנסיבות שאינן </w:t>
      </w:r>
    </w:p>
    <w:p w14:paraId="6CBD12EF" w14:textId="77777777" w:rsidR="00ED74D5" w:rsidRDefault="009769D6">
      <w:pPr>
        <w:tabs>
          <w:tab w:val="right" w:pos="8640"/>
        </w:tabs>
        <w:autoSpaceDE w:val="0"/>
        <w:autoSpaceDN w:val="0"/>
        <w:adjustRightInd w:val="0"/>
        <w:spacing w:line="360" w:lineRule="auto"/>
        <w:jc w:val="both"/>
        <w:rPr>
          <w:color w:val="000000"/>
          <w:rtl/>
        </w:rPr>
      </w:pPr>
      <w:r>
        <w:rPr>
          <w:rFonts w:hint="cs"/>
          <w:color w:val="000000"/>
          <w:rtl/>
        </w:rPr>
        <w:t>קשורות</w:t>
      </w:r>
      <w:r>
        <w:rPr>
          <w:rFonts w:hint="cs"/>
          <w:color w:val="000000"/>
        </w:rPr>
        <w:t xml:space="preserve"> </w:t>
      </w:r>
      <w:r>
        <w:rPr>
          <w:rFonts w:hint="cs"/>
          <w:color w:val="000000"/>
          <w:rtl/>
        </w:rPr>
        <w:t>בביצוע</w:t>
      </w:r>
      <w:r>
        <w:rPr>
          <w:rFonts w:hint="cs"/>
          <w:color w:val="000000"/>
        </w:rPr>
        <w:t xml:space="preserve"> </w:t>
      </w:r>
      <w:r>
        <w:rPr>
          <w:rFonts w:hint="cs"/>
          <w:color w:val="000000"/>
          <w:rtl/>
        </w:rPr>
        <w:t>העבירות</w:t>
      </w:r>
      <w:r>
        <w:rPr>
          <w:rFonts w:hint="cs"/>
          <w:color w:val="000000"/>
        </w:rPr>
        <w:t xml:space="preserve">  </w:t>
      </w:r>
      <w:r>
        <w:rPr>
          <w:rFonts w:hint="cs"/>
          <w:color w:val="000000"/>
          <w:rtl/>
        </w:rPr>
        <w:t>ובהן פגיעת</w:t>
      </w:r>
      <w:r>
        <w:rPr>
          <w:rFonts w:hint="cs"/>
          <w:color w:val="000000"/>
        </w:rPr>
        <w:t xml:space="preserve"> </w:t>
      </w:r>
      <w:r>
        <w:rPr>
          <w:rFonts w:hint="cs"/>
          <w:color w:val="000000"/>
          <w:rtl/>
        </w:rPr>
        <w:t>העונש</w:t>
      </w:r>
      <w:r>
        <w:rPr>
          <w:rFonts w:hint="cs"/>
          <w:color w:val="000000"/>
        </w:rPr>
        <w:t xml:space="preserve"> </w:t>
      </w:r>
      <w:r>
        <w:rPr>
          <w:rFonts w:hint="cs"/>
          <w:color w:val="000000"/>
          <w:rtl/>
        </w:rPr>
        <w:t>בנאשם</w:t>
      </w:r>
      <w:r>
        <w:rPr>
          <w:rFonts w:hint="cs"/>
          <w:color w:val="000000"/>
        </w:rPr>
        <w:t xml:space="preserve"> </w:t>
      </w:r>
      <w:r>
        <w:rPr>
          <w:rFonts w:hint="cs"/>
          <w:color w:val="000000"/>
          <w:rtl/>
        </w:rPr>
        <w:t>ובמשפחתו, נטילת אחריות  מצדו למעשיו, חלוף</w:t>
      </w:r>
      <w:r>
        <w:rPr>
          <w:rFonts w:hint="cs"/>
          <w:color w:val="000000"/>
        </w:rPr>
        <w:t xml:space="preserve"> </w:t>
      </w:r>
      <w:r>
        <w:rPr>
          <w:rFonts w:hint="cs"/>
          <w:color w:val="000000"/>
          <w:rtl/>
        </w:rPr>
        <w:t>הזמן</w:t>
      </w:r>
      <w:r>
        <w:rPr>
          <w:rFonts w:hint="cs"/>
          <w:color w:val="000000"/>
        </w:rPr>
        <w:t xml:space="preserve"> </w:t>
      </w:r>
      <w:r>
        <w:rPr>
          <w:rFonts w:hint="cs"/>
          <w:color w:val="000000"/>
          <w:rtl/>
        </w:rPr>
        <w:t>מעת</w:t>
      </w:r>
      <w:r>
        <w:rPr>
          <w:rFonts w:hint="cs"/>
          <w:color w:val="000000"/>
        </w:rPr>
        <w:t xml:space="preserve"> </w:t>
      </w:r>
      <w:r>
        <w:rPr>
          <w:rFonts w:hint="cs"/>
          <w:color w:val="000000"/>
          <w:rtl/>
        </w:rPr>
        <w:t>ביצוע</w:t>
      </w:r>
      <w:r>
        <w:rPr>
          <w:rFonts w:hint="cs"/>
          <w:color w:val="000000"/>
        </w:rPr>
        <w:t xml:space="preserve"> </w:t>
      </w:r>
      <w:r>
        <w:rPr>
          <w:rFonts w:hint="cs"/>
          <w:color w:val="000000"/>
          <w:rtl/>
        </w:rPr>
        <w:t>העבירות, עשיית הנאשם לתיקון הנזק שנגרם  ועברו</w:t>
      </w:r>
      <w:r>
        <w:rPr>
          <w:rFonts w:hint="cs"/>
          <w:color w:val="000000"/>
        </w:rPr>
        <w:t xml:space="preserve"> </w:t>
      </w:r>
      <w:r>
        <w:rPr>
          <w:rFonts w:hint="cs"/>
          <w:color w:val="000000"/>
          <w:rtl/>
        </w:rPr>
        <w:t>הפלילי.</w:t>
      </w:r>
    </w:p>
    <w:p w14:paraId="2C8C5A0E" w14:textId="77777777" w:rsidR="00ED74D5" w:rsidRDefault="009769D6">
      <w:pPr>
        <w:tabs>
          <w:tab w:val="right" w:pos="8640"/>
        </w:tabs>
        <w:autoSpaceDE w:val="0"/>
        <w:autoSpaceDN w:val="0"/>
        <w:adjustRightInd w:val="0"/>
        <w:spacing w:line="360" w:lineRule="auto"/>
        <w:jc w:val="both"/>
        <w:rPr>
          <w:color w:val="000000"/>
          <w:rtl/>
        </w:rPr>
      </w:pPr>
      <w:r>
        <w:rPr>
          <w:rFonts w:hint="cs"/>
          <w:color w:val="000000"/>
          <w:rtl/>
        </w:rPr>
        <w:t xml:space="preserve">גליון הרישום הפלילי של הנאשם </w:t>
      </w:r>
      <w:r>
        <w:rPr>
          <w:rFonts w:hint="cs"/>
          <w:b/>
          <w:bCs/>
          <w:color w:val="000000"/>
          <w:rtl/>
        </w:rPr>
        <w:t xml:space="preserve">(ת/1) </w:t>
      </w:r>
      <w:r>
        <w:rPr>
          <w:rFonts w:hint="cs"/>
          <w:color w:val="000000"/>
          <w:rtl/>
        </w:rPr>
        <w:t>מלמד על תחילת הסתבכותו בפלילים עוד</w:t>
      </w:r>
      <w:r>
        <w:rPr>
          <w:rFonts w:hint="cs"/>
          <w:b/>
          <w:bCs/>
          <w:color w:val="000000"/>
          <w:rtl/>
        </w:rPr>
        <w:t xml:space="preserve"> </w:t>
      </w:r>
      <w:r>
        <w:rPr>
          <w:rFonts w:hint="cs"/>
          <w:color w:val="000000"/>
          <w:rtl/>
        </w:rPr>
        <w:t>בשנת 1980</w:t>
      </w:r>
      <w:r>
        <w:rPr>
          <w:rFonts w:hint="cs"/>
          <w:b/>
          <w:bCs/>
          <w:color w:val="000000"/>
          <w:rtl/>
        </w:rPr>
        <w:t xml:space="preserve"> </w:t>
      </w:r>
      <w:r>
        <w:rPr>
          <w:rFonts w:hint="cs"/>
          <w:color w:val="000000"/>
          <w:rtl/>
        </w:rPr>
        <w:t xml:space="preserve">עת היה נער כבן 15. מאז ועד שנת 2010 הורשע הנאשם בעבירות רבות ושונות שעיקרן אלימות, רכוש וסמים והוא נדון לעונשי מאסר בפועל, מאסרים על תנאי, קנסות, התחייבויות וצווי מבחן. </w:t>
      </w:r>
    </w:p>
    <w:p w14:paraId="1F678F0C" w14:textId="77777777" w:rsidR="00ED74D5" w:rsidRDefault="009769D6">
      <w:pPr>
        <w:tabs>
          <w:tab w:val="right" w:pos="8640"/>
        </w:tabs>
        <w:autoSpaceDE w:val="0"/>
        <w:autoSpaceDN w:val="0"/>
        <w:adjustRightInd w:val="0"/>
        <w:spacing w:line="360" w:lineRule="auto"/>
        <w:rPr>
          <w:color w:val="000000"/>
          <w:rtl/>
        </w:rPr>
      </w:pPr>
      <w:r>
        <w:rPr>
          <w:rFonts w:hint="cs"/>
          <w:color w:val="000000"/>
          <w:rtl/>
        </w:rPr>
        <w:t xml:space="preserve">מאז שנת 2011 ועד כה לא נרשמו לחובת הנאשם הרשעות נוספות ולהתרשמותי העבירות שבוצעו על ידו במהלך שנת 2014 וכתבי האישום שהוגשו בעקבותיהן, כמו גם הולדת בנו הצעיר (ר' בתסקירים) גיבשו אצלו את התובנה שבגילו המבוגר (51 כיום) הגיע הזמן לעריכת שינוי באורח חייו.  </w:t>
      </w:r>
    </w:p>
    <w:p w14:paraId="62E78F88" w14:textId="77777777" w:rsidR="00ED74D5" w:rsidRDefault="00ED74D5">
      <w:pPr>
        <w:tabs>
          <w:tab w:val="right" w:pos="8640"/>
        </w:tabs>
        <w:autoSpaceDE w:val="0"/>
        <w:autoSpaceDN w:val="0"/>
        <w:adjustRightInd w:val="0"/>
        <w:spacing w:line="360" w:lineRule="auto"/>
        <w:rPr>
          <w:b/>
          <w:bCs/>
          <w:color w:val="000000"/>
          <w:rtl/>
        </w:rPr>
      </w:pPr>
    </w:p>
    <w:p w14:paraId="687A3BE1" w14:textId="77777777" w:rsidR="00ED74D5" w:rsidRDefault="009769D6">
      <w:pPr>
        <w:tabs>
          <w:tab w:val="right" w:pos="8640"/>
        </w:tabs>
        <w:spacing w:line="360" w:lineRule="auto"/>
        <w:rPr>
          <w:rtl/>
        </w:rPr>
      </w:pPr>
      <w:r>
        <w:rPr>
          <w:rFonts w:hint="cs"/>
          <w:rtl/>
        </w:rPr>
        <w:t>לאחר שנתתי דעתי לטיעוני הצדדים בעניינו של הנאשם , שקלתי את חומרת העבירות, נסיבות ביצוען, נסיבותיו האישיות המורכבות, עברו הפלילי, האחריות שהוא נטל על מעשיו, הנזק שייגרם לבני משפחתו ולפרנסתו שבה – כך נראה – הוא אוחז בכח למען לא תישמט מידיו אף היא, אם הוא ייכנס לכלא, וכן החלטת ועדת האבחון שנערכה בעניינו לאחרונה, אני מחליטה ליתן לו את ההזדמנות להשלים את הליך השיקום החשוב בו הוא החל ואשר בו הוא עושה כמיטב יכולתו להתמיד, וגוזרת עליו את העונשים הבאים:</w:t>
      </w:r>
    </w:p>
    <w:p w14:paraId="34582106" w14:textId="77777777" w:rsidR="00ED74D5" w:rsidRDefault="00ED74D5">
      <w:pPr>
        <w:tabs>
          <w:tab w:val="right" w:pos="8640"/>
        </w:tabs>
        <w:spacing w:line="360" w:lineRule="auto"/>
        <w:rPr>
          <w:rtl/>
        </w:rPr>
      </w:pPr>
    </w:p>
    <w:p w14:paraId="33F7A771" w14:textId="77777777" w:rsidR="00ED74D5" w:rsidRDefault="009769D6">
      <w:pPr>
        <w:tabs>
          <w:tab w:val="right" w:pos="8640"/>
        </w:tabs>
        <w:spacing w:line="360" w:lineRule="auto"/>
        <w:rPr>
          <w:rtl/>
        </w:rPr>
      </w:pPr>
      <w:r>
        <w:rPr>
          <w:rFonts w:hint="cs"/>
          <w:rtl/>
        </w:rPr>
        <w:t xml:space="preserve">א.      8  חודשי מאסר על תנאי, שלא יעבור בתוך 3 שנים, עבירה לפי </w:t>
      </w:r>
      <w:hyperlink r:id="rId16" w:history="1">
        <w:r w:rsidR="00763123" w:rsidRPr="00763123">
          <w:rPr>
            <w:color w:val="0000FF"/>
            <w:u w:val="single"/>
            <w:rtl/>
          </w:rPr>
          <w:t>פרק יא</w:t>
        </w:r>
      </w:hyperlink>
      <w:r>
        <w:rPr>
          <w:rFonts w:hint="cs"/>
          <w:rtl/>
        </w:rPr>
        <w:t xml:space="preserve"> ל</w:t>
      </w:r>
      <w:hyperlink r:id="rId17" w:history="1">
        <w:r w:rsidRPr="009769D6">
          <w:rPr>
            <w:color w:val="0000FF"/>
            <w:u w:val="single"/>
            <w:rtl/>
          </w:rPr>
          <w:t>חוק העונשין</w:t>
        </w:r>
      </w:hyperlink>
      <w:r>
        <w:rPr>
          <w:rFonts w:hint="cs"/>
          <w:rtl/>
        </w:rPr>
        <w:t>, תשל"ז-</w:t>
      </w:r>
    </w:p>
    <w:p w14:paraId="3EDF5FBC" w14:textId="77777777" w:rsidR="00ED74D5" w:rsidRDefault="009769D6">
      <w:pPr>
        <w:tabs>
          <w:tab w:val="right" w:pos="8640"/>
        </w:tabs>
        <w:spacing w:line="360" w:lineRule="auto"/>
        <w:rPr>
          <w:rtl/>
        </w:rPr>
      </w:pPr>
      <w:r>
        <w:rPr>
          <w:rFonts w:hint="cs"/>
          <w:rtl/>
        </w:rPr>
        <w:t xml:space="preserve">          1977, למעט עבירה לפי </w:t>
      </w:r>
      <w:hyperlink r:id="rId18" w:history="1">
        <w:r w:rsidR="00763123" w:rsidRPr="00763123">
          <w:rPr>
            <w:color w:val="0000FF"/>
            <w:u w:val="single"/>
            <w:rtl/>
          </w:rPr>
          <w:t>סעיף 413.</w:t>
        </w:r>
      </w:hyperlink>
    </w:p>
    <w:p w14:paraId="1A68864B" w14:textId="77777777" w:rsidR="00ED74D5" w:rsidRDefault="009769D6">
      <w:pPr>
        <w:tabs>
          <w:tab w:val="right" w:pos="8640"/>
        </w:tabs>
        <w:spacing w:line="360" w:lineRule="auto"/>
        <w:rPr>
          <w:rtl/>
        </w:rPr>
      </w:pPr>
      <w:r>
        <w:rPr>
          <w:rFonts w:hint="cs"/>
          <w:rtl/>
        </w:rPr>
        <w:t xml:space="preserve">ב.       4 חודשי מאסר על תנאי שלא יעבור בתוך 3 שנים מהיום עבירה כלשהי על </w:t>
      </w:r>
      <w:hyperlink r:id="rId19" w:history="1">
        <w:r w:rsidRPr="009769D6">
          <w:rPr>
            <w:color w:val="0000FF"/>
            <w:u w:val="single"/>
            <w:rtl/>
          </w:rPr>
          <w:t xml:space="preserve">פקודת הסמים </w:t>
        </w:r>
        <w:r w:rsidRPr="009769D6">
          <w:rPr>
            <w:color w:val="0000FF"/>
            <w:u w:val="single"/>
            <w:rtl/>
          </w:rPr>
          <w:cr/>
          <w:t xml:space="preserve">          המסוכנים</w:t>
        </w:r>
      </w:hyperlink>
      <w:r>
        <w:rPr>
          <w:rFonts w:hint="cs"/>
          <w:rtl/>
        </w:rPr>
        <w:t xml:space="preserve"> (נוסח חדש) תשל"א – 1971. </w:t>
      </w:r>
    </w:p>
    <w:p w14:paraId="36F49A4D" w14:textId="77777777" w:rsidR="00ED74D5" w:rsidRDefault="009769D6">
      <w:pPr>
        <w:tabs>
          <w:tab w:val="right" w:pos="8640"/>
        </w:tabs>
        <w:spacing w:line="360" w:lineRule="auto"/>
        <w:rPr>
          <w:rtl/>
        </w:rPr>
      </w:pPr>
      <w:r>
        <w:rPr>
          <w:rFonts w:hint="cs"/>
          <w:rtl/>
        </w:rPr>
        <w:t xml:space="preserve">ג.       פיצוי סמלי בסך  300 ₪ לכל אחד מהמתלוננים ב- 3 התיקים. סכומי הפיצוי יופקדו בקופת </w:t>
      </w:r>
    </w:p>
    <w:p w14:paraId="60D05882" w14:textId="77777777" w:rsidR="00ED74D5" w:rsidRDefault="009769D6">
      <w:pPr>
        <w:tabs>
          <w:tab w:val="right" w:pos="8640"/>
        </w:tabs>
        <w:spacing w:line="360" w:lineRule="auto"/>
        <w:rPr>
          <w:rtl/>
        </w:rPr>
      </w:pPr>
      <w:r>
        <w:rPr>
          <w:rFonts w:hint="cs"/>
          <w:rtl/>
        </w:rPr>
        <w:t xml:space="preserve">          בית המשפט לא יאוחר מיום 31.7.16 ויועברו לידי המתלוננים בהתאם לפרטים שיימסרו על </w:t>
      </w:r>
    </w:p>
    <w:p w14:paraId="33E05994" w14:textId="77777777" w:rsidR="00ED74D5" w:rsidRDefault="009769D6">
      <w:pPr>
        <w:tabs>
          <w:tab w:val="right" w:pos="8640"/>
        </w:tabs>
        <w:spacing w:line="360" w:lineRule="auto"/>
        <w:rPr>
          <w:rtl/>
        </w:rPr>
      </w:pPr>
      <w:r>
        <w:rPr>
          <w:rFonts w:hint="cs"/>
          <w:rtl/>
        </w:rPr>
        <w:t xml:space="preserve">          ידי  המאשימה.</w:t>
      </w:r>
    </w:p>
    <w:p w14:paraId="40D96140" w14:textId="77777777" w:rsidR="00ED74D5" w:rsidRDefault="009769D6">
      <w:pPr>
        <w:tabs>
          <w:tab w:val="right" w:pos="8640"/>
        </w:tabs>
        <w:spacing w:line="360" w:lineRule="auto"/>
        <w:rPr>
          <w:rtl/>
        </w:rPr>
      </w:pPr>
      <w:r>
        <w:rPr>
          <w:rFonts w:hint="cs"/>
          <w:rtl/>
        </w:rPr>
        <w:t xml:space="preserve">ד.       צו פיקוח של שירות המבחן למשך 18 חודשים מהיום, במסגרתו יתחייב הנאשם להמשך </w:t>
      </w:r>
    </w:p>
    <w:p w14:paraId="6E74AFF6" w14:textId="77777777" w:rsidR="00ED74D5" w:rsidRDefault="009769D6">
      <w:pPr>
        <w:tabs>
          <w:tab w:val="right" w:pos="8640"/>
        </w:tabs>
        <w:spacing w:line="360" w:lineRule="auto"/>
        <w:rPr>
          <w:rtl/>
        </w:rPr>
      </w:pPr>
      <w:r>
        <w:rPr>
          <w:rFonts w:hint="cs"/>
          <w:rtl/>
        </w:rPr>
        <w:t xml:space="preserve">          השתתפותו והשלמת תכניות הטיפול בהן החל לקחת חלק (ביחידה לטיפול בהתמכרויות </w:t>
      </w:r>
    </w:p>
    <w:p w14:paraId="0D8F56CC" w14:textId="77777777" w:rsidR="00ED74D5" w:rsidRDefault="009769D6">
      <w:pPr>
        <w:tabs>
          <w:tab w:val="right" w:pos="8640"/>
        </w:tabs>
        <w:spacing w:line="360" w:lineRule="auto"/>
        <w:rPr>
          <w:rtl/>
        </w:rPr>
      </w:pPr>
      <w:r>
        <w:rPr>
          <w:rFonts w:hint="cs"/>
          <w:rtl/>
        </w:rPr>
        <w:t xml:space="preserve">          בפרדס חנה).</w:t>
      </w:r>
    </w:p>
    <w:p w14:paraId="4F018F46" w14:textId="77777777" w:rsidR="00ED74D5" w:rsidRDefault="00ED74D5">
      <w:pPr>
        <w:tabs>
          <w:tab w:val="right" w:pos="8640"/>
        </w:tabs>
        <w:spacing w:line="360" w:lineRule="auto"/>
        <w:rPr>
          <w:b/>
          <w:bCs/>
          <w:u w:val="single"/>
          <w:rtl/>
        </w:rPr>
      </w:pPr>
    </w:p>
    <w:p w14:paraId="09E24EFE" w14:textId="77777777" w:rsidR="00ED74D5" w:rsidRDefault="009769D6">
      <w:pPr>
        <w:tabs>
          <w:tab w:val="right" w:pos="8640"/>
        </w:tabs>
        <w:spacing w:line="360" w:lineRule="auto"/>
        <w:rPr>
          <w:rtl/>
        </w:rPr>
      </w:pPr>
      <w:r>
        <w:rPr>
          <w:rFonts w:hint="cs"/>
          <w:b/>
          <w:bCs/>
          <w:u w:val="single"/>
          <w:rtl/>
        </w:rPr>
        <w:t>זכות ערעור בתוך 45 יום מהיום לבית המשפט המחוזי בחיפה.</w:t>
      </w:r>
    </w:p>
    <w:p w14:paraId="49FD2297" w14:textId="77777777" w:rsidR="00ED74D5" w:rsidRDefault="009769D6">
      <w:pPr>
        <w:pStyle w:val="David"/>
        <w:rPr>
          <w:sz w:val="6"/>
          <w:szCs w:val="6"/>
          <w:rtl/>
        </w:rPr>
      </w:pPr>
      <w:r>
        <w:rPr>
          <w:sz w:val="6"/>
          <w:szCs w:val="6"/>
          <w:rtl/>
        </w:rPr>
        <w:t>&lt;#4#&gt;</w:t>
      </w:r>
    </w:p>
    <w:p w14:paraId="0F24DD2A" w14:textId="77777777" w:rsidR="00ED74D5" w:rsidRPr="009769D6" w:rsidRDefault="009769D6">
      <w:pPr>
        <w:jc w:val="right"/>
        <w:rPr>
          <w:color w:val="FFFFFF"/>
          <w:sz w:val="2"/>
          <w:szCs w:val="2"/>
          <w:rtl/>
        </w:rPr>
      </w:pPr>
      <w:r w:rsidRPr="009769D6">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ED74D5" w14:paraId="0375D9FE" w14:textId="77777777">
        <w:trPr>
          <w:trHeight w:val="316"/>
          <w:jc w:val="right"/>
        </w:trPr>
        <w:tc>
          <w:tcPr>
            <w:tcW w:w="3936" w:type="dxa"/>
            <w:shd w:val="clear" w:color="auto" w:fill="auto"/>
          </w:tcPr>
          <w:p w14:paraId="144553BA" w14:textId="77777777" w:rsidR="00ED74D5" w:rsidRDefault="009769D6">
            <w:pPr>
              <w:jc w:val="center"/>
              <w:rPr>
                <w:rFonts w:ascii="Times New Roman" w:eastAsia="Times New Roman" w:hAnsi="Times New Roman" w:cs="Times New Roman"/>
              </w:rPr>
            </w:pPr>
            <w:r w:rsidRPr="009769D6">
              <w:rPr>
                <w:b/>
                <w:bCs/>
                <w:color w:val="FFFFFF"/>
                <w:sz w:val="2"/>
                <w:szCs w:val="2"/>
                <w:rtl/>
              </w:rPr>
              <w:t>54678313</w:t>
            </w:r>
            <w:r>
              <w:rPr>
                <w:b/>
                <w:bCs/>
                <w:rtl/>
              </w:rPr>
              <w:t xml:space="preserve">ניתנה והודעה היום ט' סיוון תשע"ו, 15/06/2016 במעמד הנוכחים. </w:t>
            </w:r>
          </w:p>
          <w:p w14:paraId="42A9B447" w14:textId="77777777" w:rsidR="00ED74D5" w:rsidRDefault="00ED74D5">
            <w:pPr>
              <w:jc w:val="center"/>
              <w:rPr>
                <w:rFonts w:ascii="Times New Roman" w:eastAsia="Times New Roman" w:hAnsi="Times New Roman" w:cs="Times New Roman"/>
                <w:rtl/>
              </w:rPr>
            </w:pPr>
          </w:p>
        </w:tc>
      </w:tr>
      <w:tr w:rsidR="00ED74D5" w14:paraId="26C71E39" w14:textId="77777777">
        <w:trPr>
          <w:trHeight w:val="361"/>
          <w:jc w:val="right"/>
        </w:trPr>
        <w:tc>
          <w:tcPr>
            <w:tcW w:w="3936" w:type="dxa"/>
            <w:shd w:val="clear" w:color="auto" w:fill="auto"/>
          </w:tcPr>
          <w:p w14:paraId="5B38A2B7" w14:textId="77777777" w:rsidR="00ED74D5" w:rsidRDefault="009769D6">
            <w:pPr>
              <w:jc w:val="center"/>
              <w:rPr>
                <w:rFonts w:ascii="Times New Roman" w:eastAsia="Times New Roman" w:hAnsi="Times New Roman"/>
                <w:b/>
                <w:bCs/>
                <w:rtl/>
              </w:rPr>
            </w:pPr>
            <w:r>
              <w:rPr>
                <w:rFonts w:ascii="Times New Roman" w:eastAsia="Times New Roman" w:hAnsi="Times New Roman" w:hint="cs"/>
                <w:b/>
                <w:bCs/>
                <w:rtl/>
              </w:rPr>
              <w:t>רקפת סגל מוהר</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3FDF3F15" w14:textId="77777777" w:rsidR="00ED74D5" w:rsidRDefault="009769D6">
      <w:pPr>
        <w:jc w:val="both"/>
        <w:rPr>
          <w:rtl/>
        </w:rPr>
      </w:pPr>
      <w:r>
        <w:rPr>
          <w:rtl/>
        </w:rPr>
        <w:t xml:space="preserve"> </w:t>
      </w:r>
    </w:p>
    <w:p w14:paraId="7283E251" w14:textId="77777777" w:rsidR="00ED74D5" w:rsidRDefault="009769D6">
      <w:r>
        <w:rPr>
          <w:rtl/>
        </w:rPr>
        <w:t>הוקלד</w:t>
      </w:r>
      <w:r>
        <w:t xml:space="preserve"> </w:t>
      </w:r>
      <w:r>
        <w:rPr>
          <w:rtl/>
        </w:rPr>
        <w:t>על</w:t>
      </w:r>
      <w:r>
        <w:t xml:space="preserve"> </w:t>
      </w:r>
      <w:r>
        <w:rPr>
          <w:rtl/>
        </w:rPr>
        <w:t>ידי</w:t>
      </w:r>
      <w:r>
        <w:t xml:space="preserve"> </w:t>
      </w:r>
      <w:r>
        <w:rPr>
          <w:rtl/>
        </w:rPr>
        <w:t>בטי</w:t>
      </w:r>
      <w:r>
        <w:t xml:space="preserve"> </w:t>
      </w:r>
      <w:r>
        <w:rPr>
          <w:rtl/>
        </w:rPr>
        <w:t>ברייטברט</w:t>
      </w:r>
    </w:p>
    <w:p w14:paraId="488E2786" w14:textId="77777777" w:rsidR="009769D6" w:rsidRPr="009769D6" w:rsidRDefault="009769D6" w:rsidP="009769D6">
      <w:pPr>
        <w:keepNext/>
        <w:rPr>
          <w:color w:val="000000"/>
          <w:sz w:val="22"/>
          <w:szCs w:val="22"/>
          <w:rtl/>
        </w:rPr>
      </w:pPr>
    </w:p>
    <w:p w14:paraId="108F2151" w14:textId="77777777" w:rsidR="009769D6" w:rsidRPr="009769D6" w:rsidRDefault="009769D6" w:rsidP="009769D6">
      <w:pPr>
        <w:keepNext/>
        <w:rPr>
          <w:color w:val="000000"/>
          <w:sz w:val="22"/>
          <w:szCs w:val="22"/>
          <w:rtl/>
        </w:rPr>
      </w:pPr>
      <w:r w:rsidRPr="009769D6">
        <w:rPr>
          <w:color w:val="000000"/>
          <w:sz w:val="22"/>
          <w:szCs w:val="22"/>
          <w:rtl/>
        </w:rPr>
        <w:t>רקפת סגל מוהר 54678313</w:t>
      </w:r>
    </w:p>
    <w:p w14:paraId="5DFDC789" w14:textId="77777777" w:rsidR="009769D6" w:rsidRDefault="009769D6" w:rsidP="009769D6">
      <w:r w:rsidRPr="009769D6">
        <w:rPr>
          <w:color w:val="000000"/>
          <w:rtl/>
        </w:rPr>
        <w:t>נוסח מסמך זה כפוף לשינויי ניסוח ועריכה</w:t>
      </w:r>
    </w:p>
    <w:p w14:paraId="6BDCCBED" w14:textId="77777777" w:rsidR="009769D6" w:rsidRDefault="009769D6" w:rsidP="009769D6">
      <w:pPr>
        <w:rPr>
          <w:rtl/>
        </w:rPr>
      </w:pPr>
    </w:p>
    <w:p w14:paraId="1088384A" w14:textId="77777777" w:rsidR="009769D6" w:rsidRDefault="009769D6" w:rsidP="009769D6">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54E425A8" w14:textId="77777777" w:rsidR="00ED74D5" w:rsidRDefault="00ED74D5" w:rsidP="009769D6">
      <w:pPr>
        <w:jc w:val="center"/>
        <w:rPr>
          <w:rFonts w:hint="cs"/>
          <w:color w:val="0000FF"/>
          <w:u w:val="single"/>
          <w:rtl/>
        </w:rPr>
      </w:pPr>
    </w:p>
    <w:p w14:paraId="4F856F67" w14:textId="77777777" w:rsidR="00DB3E7B" w:rsidRDefault="00DB3E7B" w:rsidP="009769D6">
      <w:pPr>
        <w:jc w:val="center"/>
        <w:rPr>
          <w:rFonts w:hint="cs"/>
          <w:color w:val="0000FF"/>
          <w:u w:val="single"/>
          <w:rtl/>
        </w:rPr>
      </w:pPr>
    </w:p>
    <w:p w14:paraId="4D0FA64C" w14:textId="77777777" w:rsidR="00DB3E7B" w:rsidRPr="009769D6" w:rsidRDefault="00DB3E7B" w:rsidP="009769D6">
      <w:pPr>
        <w:jc w:val="center"/>
        <w:rPr>
          <w:color w:val="0000FF"/>
          <w:u w:val="single"/>
        </w:rPr>
      </w:pPr>
    </w:p>
    <w:sectPr w:rsidR="00DB3E7B" w:rsidRPr="009769D6" w:rsidSect="009769D6">
      <w:headerReference w:type="even" r:id="rId21"/>
      <w:headerReference w:type="default" r:id="rId22"/>
      <w:footerReference w:type="even" r:id="rId23"/>
      <w:footerReference w:type="default" r:id="rId2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8397C" w14:textId="77777777" w:rsidR="00DC1E39" w:rsidRDefault="00DC1E39">
      <w:r>
        <w:separator/>
      </w:r>
    </w:p>
  </w:endnote>
  <w:endnote w:type="continuationSeparator" w:id="0">
    <w:p w14:paraId="714FFCFC" w14:textId="77777777" w:rsidR="00DC1E39" w:rsidRDefault="00DC1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915D9" w14:textId="77777777" w:rsidR="00DC1E39" w:rsidRDefault="00DC1E39" w:rsidP="009769D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18</w:t>
    </w:r>
    <w:r>
      <w:rPr>
        <w:rFonts w:ascii="FrankRuehl" w:hAnsi="FrankRuehl" w:cs="FrankRuehl"/>
        <w:rtl/>
      </w:rPr>
      <w:fldChar w:fldCharType="end"/>
    </w:r>
  </w:p>
  <w:p w14:paraId="2547FFE6" w14:textId="77777777" w:rsidR="00DC1E39" w:rsidRPr="009769D6" w:rsidRDefault="00DC1E39" w:rsidP="009769D6">
    <w:pPr>
      <w:pStyle w:val="a5"/>
      <w:pBdr>
        <w:top w:val="single" w:sz="4" w:space="1" w:color="auto"/>
        <w:between w:val="single" w:sz="4" w:space="0" w:color="auto"/>
      </w:pBdr>
      <w:spacing w:after="60"/>
      <w:jc w:val="center"/>
      <w:rPr>
        <w:rFonts w:ascii="FrankRuehl" w:hAnsi="FrankRuehl" w:cs="FrankRuehl"/>
        <w:color w:val="000000"/>
      </w:rPr>
    </w:pPr>
    <w:r w:rsidRPr="009769D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58498" w14:textId="77777777" w:rsidR="00DC1E39" w:rsidRDefault="00DC1E39" w:rsidP="009769D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C2845">
      <w:rPr>
        <w:rFonts w:ascii="FrankRuehl" w:hAnsi="FrankRuehl" w:cs="FrankRuehl"/>
        <w:noProof/>
        <w:rtl/>
      </w:rPr>
      <w:t>1</w:t>
    </w:r>
    <w:r>
      <w:rPr>
        <w:rFonts w:ascii="FrankRuehl" w:hAnsi="FrankRuehl" w:cs="FrankRuehl"/>
        <w:rtl/>
      </w:rPr>
      <w:fldChar w:fldCharType="end"/>
    </w:r>
  </w:p>
  <w:p w14:paraId="24FC8A92" w14:textId="77777777" w:rsidR="00DC1E39" w:rsidRPr="009769D6" w:rsidRDefault="00DC1E39" w:rsidP="009769D6">
    <w:pPr>
      <w:pStyle w:val="a5"/>
      <w:pBdr>
        <w:top w:val="single" w:sz="4" w:space="1" w:color="auto"/>
        <w:between w:val="single" w:sz="4" w:space="0" w:color="auto"/>
      </w:pBdr>
      <w:spacing w:after="60"/>
      <w:jc w:val="center"/>
      <w:rPr>
        <w:rFonts w:ascii="FrankRuehl" w:hAnsi="FrankRuehl" w:cs="FrankRuehl"/>
        <w:color w:val="000000"/>
      </w:rPr>
    </w:pPr>
    <w:r w:rsidRPr="009769D6">
      <w:rPr>
        <w:rFonts w:ascii="FrankRuehl" w:hAnsi="FrankRuehl" w:cs="FrankRuehl"/>
        <w:color w:val="000000"/>
      </w:rPr>
      <w:pict w14:anchorId="253100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C640A" w14:textId="77777777" w:rsidR="00DC1E39" w:rsidRDefault="00DC1E39">
      <w:r>
        <w:separator/>
      </w:r>
    </w:p>
  </w:footnote>
  <w:footnote w:type="continuationSeparator" w:id="0">
    <w:p w14:paraId="236509F9" w14:textId="77777777" w:rsidR="00DC1E39" w:rsidRDefault="00DC1E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E5C17" w14:textId="77777777" w:rsidR="00DC1E39" w:rsidRPr="009769D6" w:rsidRDefault="00DC1E39" w:rsidP="009769D6">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(חד') 1118-06-14</w:t>
    </w:r>
    <w:r>
      <w:rPr>
        <w:color w:val="000000"/>
        <w:sz w:val="22"/>
        <w:szCs w:val="22"/>
        <w:rtl/>
      </w:rPr>
      <w:tab/>
      <w:t xml:space="preserve"> מדינת ישראל נ' אוריאל זרבעילוב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598AA" w14:textId="77777777" w:rsidR="00DC1E39" w:rsidRPr="009769D6" w:rsidRDefault="00DC1E39" w:rsidP="009769D6">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(חד') 1118-06-14</w:t>
    </w:r>
    <w:r>
      <w:rPr>
        <w:color w:val="000000"/>
        <w:sz w:val="22"/>
        <w:szCs w:val="22"/>
        <w:rtl/>
      </w:rPr>
      <w:tab/>
      <w:t xml:space="preserve"> מדינת ישראל נ' אוריאל זרבעילוב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D74D5"/>
    <w:rsid w:val="001C2845"/>
    <w:rsid w:val="003923B8"/>
    <w:rsid w:val="006963F0"/>
    <w:rsid w:val="00763123"/>
    <w:rsid w:val="009769D6"/>
    <w:rsid w:val="00AF703D"/>
    <w:rsid w:val="00BC1F85"/>
    <w:rsid w:val="00C127C1"/>
    <w:rsid w:val="00CF7496"/>
    <w:rsid w:val="00D71063"/>
    <w:rsid w:val="00D836E0"/>
    <w:rsid w:val="00DB3E7B"/>
    <w:rsid w:val="00DC1E39"/>
    <w:rsid w:val="00ED74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FEE60FE"/>
  <w15:chartTrackingRefBased/>
  <w15:docId w15:val="{E8A2075F-CBFA-4CF5-AB47-1AAB8FCF9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3282"/>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D43282"/>
  </w:style>
  <w:style w:type="paragraph" w:styleId="a4">
    <w:name w:val="header"/>
    <w:basedOn w:val="a"/>
    <w:rsid w:val="00D43282"/>
    <w:pPr>
      <w:tabs>
        <w:tab w:val="center" w:pos="4153"/>
        <w:tab w:val="right" w:pos="8306"/>
      </w:tabs>
    </w:pPr>
  </w:style>
  <w:style w:type="paragraph" w:styleId="a5">
    <w:name w:val="footer"/>
    <w:basedOn w:val="a"/>
    <w:rsid w:val="00D43282"/>
    <w:pPr>
      <w:tabs>
        <w:tab w:val="center" w:pos="4153"/>
        <w:tab w:val="right" w:pos="8306"/>
      </w:tabs>
    </w:pPr>
  </w:style>
  <w:style w:type="character" w:styleId="a6">
    <w:name w:val="page number"/>
    <w:basedOn w:val="a0"/>
    <w:rsid w:val="00D43282"/>
  </w:style>
  <w:style w:type="character" w:customStyle="1" w:styleId="TimesNewRomanTimesNewRoman">
    <w:name w:val="סגנון (לטיני) Times New Roman (עברית ושפות אחרות) Times New Roman..."/>
    <w:rsid w:val="00D43282"/>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D43282"/>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D43282"/>
    <w:pPr>
      <w:spacing w:line="360" w:lineRule="auto"/>
      <w:jc w:val="both"/>
    </w:pPr>
    <w:rPr>
      <w:rFonts w:ascii="Times New Roman" w:eastAsia="Times New Roman" w:hAnsi="Times New Roman"/>
    </w:rPr>
  </w:style>
  <w:style w:type="character" w:styleId="Hyperlink">
    <w:name w:val="Hyperlink"/>
    <w:rsid w:val="009769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47.a" TargetMode="External"/><Relationship Id="rId13" Type="http://schemas.openxmlformats.org/officeDocument/2006/relationships/hyperlink" Target="http://www.nevo.co.il/case/17021014" TargetMode="External"/><Relationship Id="rId18" Type="http://schemas.openxmlformats.org/officeDocument/2006/relationships/hyperlink" Target="http://www.nevo.co.il/law/70301/413"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70301/413"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jaC"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47.a"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5786637" TargetMode="External"/><Relationship Id="rId23" Type="http://schemas.openxmlformats.org/officeDocument/2006/relationships/footer" Target="footer1.xml"/><Relationship Id="rId10" Type="http://schemas.openxmlformats.org/officeDocument/2006/relationships/hyperlink" Target="http://www.nevo.co.il/law/4216" TargetMode="External"/><Relationship Id="rId19"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70301/jaC" TargetMode="External"/><Relationship Id="rId14" Type="http://schemas.openxmlformats.org/officeDocument/2006/relationships/hyperlink" Target="http://www.nevo.co.il/case/18714060"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1623</Words>
  <Characters>8117</Characters>
  <Application>Microsoft Office Word</Application>
  <DocSecurity>0</DocSecurity>
  <Lines>67</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9721</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8257637</vt:i4>
      </vt:variant>
      <vt:variant>
        <vt:i4>39</vt:i4>
      </vt:variant>
      <vt:variant>
        <vt:i4>0</vt:i4>
      </vt:variant>
      <vt:variant>
        <vt:i4>5</vt:i4>
      </vt:variant>
      <vt:variant>
        <vt:lpwstr>http://www.nevo.co.il/law/4216</vt:lpwstr>
      </vt:variant>
      <vt:variant>
        <vt:lpwstr/>
      </vt:variant>
      <vt:variant>
        <vt:i4>6553697</vt:i4>
      </vt:variant>
      <vt:variant>
        <vt:i4>36</vt:i4>
      </vt:variant>
      <vt:variant>
        <vt:i4>0</vt:i4>
      </vt:variant>
      <vt:variant>
        <vt:i4>5</vt:i4>
      </vt:variant>
      <vt:variant>
        <vt:lpwstr>http://www.nevo.co.il/law/70301/413</vt:lpwstr>
      </vt:variant>
      <vt:variant>
        <vt:lpwstr/>
      </vt:variant>
      <vt:variant>
        <vt:i4>7995492</vt:i4>
      </vt:variant>
      <vt:variant>
        <vt:i4>33</vt:i4>
      </vt:variant>
      <vt:variant>
        <vt:i4>0</vt:i4>
      </vt:variant>
      <vt:variant>
        <vt:i4>5</vt:i4>
      </vt:variant>
      <vt:variant>
        <vt:lpwstr>http://www.nevo.co.il/law/70301</vt:lpwstr>
      </vt:variant>
      <vt:variant>
        <vt:lpwstr/>
      </vt:variant>
      <vt:variant>
        <vt:i4>3407935</vt:i4>
      </vt:variant>
      <vt:variant>
        <vt:i4>30</vt:i4>
      </vt:variant>
      <vt:variant>
        <vt:i4>0</vt:i4>
      </vt:variant>
      <vt:variant>
        <vt:i4>5</vt:i4>
      </vt:variant>
      <vt:variant>
        <vt:lpwstr>http://www.nevo.co.il/law/70301/jaC</vt:lpwstr>
      </vt:variant>
      <vt:variant>
        <vt:lpwstr/>
      </vt:variant>
      <vt:variant>
        <vt:i4>3932278</vt:i4>
      </vt:variant>
      <vt:variant>
        <vt:i4>27</vt:i4>
      </vt:variant>
      <vt:variant>
        <vt:i4>0</vt:i4>
      </vt:variant>
      <vt:variant>
        <vt:i4>5</vt:i4>
      </vt:variant>
      <vt:variant>
        <vt:lpwstr>http://www.nevo.co.il/case/5786637</vt:lpwstr>
      </vt:variant>
      <vt:variant>
        <vt:lpwstr/>
      </vt:variant>
      <vt:variant>
        <vt:i4>3407997</vt:i4>
      </vt:variant>
      <vt:variant>
        <vt:i4>24</vt:i4>
      </vt:variant>
      <vt:variant>
        <vt:i4>0</vt:i4>
      </vt:variant>
      <vt:variant>
        <vt:i4>5</vt:i4>
      </vt:variant>
      <vt:variant>
        <vt:lpwstr>http://www.nevo.co.il/case/18714060</vt:lpwstr>
      </vt:variant>
      <vt:variant>
        <vt:lpwstr/>
      </vt:variant>
      <vt:variant>
        <vt:i4>3211377</vt:i4>
      </vt:variant>
      <vt:variant>
        <vt:i4>21</vt:i4>
      </vt:variant>
      <vt:variant>
        <vt:i4>0</vt:i4>
      </vt:variant>
      <vt:variant>
        <vt:i4>5</vt:i4>
      </vt:variant>
      <vt:variant>
        <vt:lpwstr>http://www.nevo.co.il/case/17021014</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5177430</vt:i4>
      </vt:variant>
      <vt:variant>
        <vt:i4>15</vt:i4>
      </vt:variant>
      <vt:variant>
        <vt:i4>0</vt:i4>
      </vt:variant>
      <vt:variant>
        <vt:i4>5</vt:i4>
      </vt:variant>
      <vt:variant>
        <vt:lpwstr>http://www.nevo.co.il/law/70301/447.a</vt:lpwstr>
      </vt:variant>
      <vt:variant>
        <vt:lpwstr/>
      </vt:variant>
      <vt:variant>
        <vt:i4>8257637</vt:i4>
      </vt:variant>
      <vt:variant>
        <vt:i4>12</vt:i4>
      </vt:variant>
      <vt:variant>
        <vt:i4>0</vt:i4>
      </vt:variant>
      <vt:variant>
        <vt:i4>5</vt:i4>
      </vt:variant>
      <vt:variant>
        <vt:lpwstr>http://www.nevo.co.il/law/4216</vt:lpwstr>
      </vt:variant>
      <vt:variant>
        <vt:lpwstr/>
      </vt:variant>
      <vt:variant>
        <vt:i4>3407935</vt:i4>
      </vt:variant>
      <vt:variant>
        <vt:i4>9</vt:i4>
      </vt:variant>
      <vt:variant>
        <vt:i4>0</vt:i4>
      </vt:variant>
      <vt:variant>
        <vt:i4>5</vt:i4>
      </vt:variant>
      <vt:variant>
        <vt:lpwstr>http://www.nevo.co.il/law/70301/jaC</vt:lpwstr>
      </vt:variant>
      <vt:variant>
        <vt:lpwstr/>
      </vt:variant>
      <vt:variant>
        <vt:i4>5177430</vt:i4>
      </vt:variant>
      <vt:variant>
        <vt:i4>6</vt:i4>
      </vt:variant>
      <vt:variant>
        <vt:i4>0</vt:i4>
      </vt:variant>
      <vt:variant>
        <vt:i4>5</vt:i4>
      </vt:variant>
      <vt:variant>
        <vt:lpwstr>http://www.nevo.co.il/law/70301/447.a</vt:lpwstr>
      </vt:variant>
      <vt:variant>
        <vt:lpwstr/>
      </vt:variant>
      <vt:variant>
        <vt:i4>6553697</vt:i4>
      </vt:variant>
      <vt:variant>
        <vt:i4>3</vt:i4>
      </vt:variant>
      <vt:variant>
        <vt:i4>0</vt:i4>
      </vt:variant>
      <vt:variant>
        <vt:i4>5</vt:i4>
      </vt:variant>
      <vt:variant>
        <vt:lpwstr>http://www.nevo.co.il/law/70301/413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2025-04-22T22:21:00Z</dcterms:created>
  <dcterms:modified xsi:type="dcterms:W3CDTF">2025-04-22T22:21:00Z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1118</vt:lpwstr>
  </property>
  <property fmtid="{D5CDD505-2E9C-101B-9397-08002B2CF9AE}" pid="6" name="NEWPARTB">
    <vt:lpwstr>06</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אוריאל זרבעילוב</vt:lpwstr>
  </property>
  <property fmtid="{D5CDD505-2E9C-101B-9397-08002B2CF9AE}" pid="10" name="LAWYER">
    <vt:lpwstr>יהונתן קנימח;שרית תורן תאלר</vt:lpwstr>
  </property>
  <property fmtid="{D5CDD505-2E9C-101B-9397-08002B2CF9AE}" pid="11" name="JUDGE">
    <vt:lpwstr>רקפת סגל מוהר</vt:lpwstr>
  </property>
  <property fmtid="{D5CDD505-2E9C-101B-9397-08002B2CF9AE}" pid="12" name="CITY">
    <vt:lpwstr>חד'</vt:lpwstr>
  </property>
  <property fmtid="{D5CDD505-2E9C-101B-9397-08002B2CF9AE}" pid="13" name="DATE">
    <vt:lpwstr>20160615</vt:lpwstr>
  </property>
  <property fmtid="{D5CDD505-2E9C-101B-9397-08002B2CF9AE}" pid="14" name="TYPE_N_DATE">
    <vt:lpwstr>38020160615</vt:lpwstr>
  </property>
  <property fmtid="{D5CDD505-2E9C-101B-9397-08002B2CF9AE}" pid="15" name="WORDNUMPAGES">
    <vt:lpwstr>5</vt:lpwstr>
  </property>
  <property fmtid="{D5CDD505-2E9C-101B-9397-08002B2CF9AE}" pid="16" name="TYPE_ABS_DATE">
    <vt:lpwstr>380020160615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17021014;18714060;5786637</vt:lpwstr>
  </property>
  <property fmtid="{D5CDD505-2E9C-101B-9397-08002B2CF9AE}" pid="36" name="LAWLISTTMP1">
    <vt:lpwstr>70301/447.a;jaC;413</vt:lpwstr>
  </property>
  <property fmtid="{D5CDD505-2E9C-101B-9397-08002B2CF9AE}" pid="37" name="LAWLISTTMP2">
    <vt:lpwstr>4216</vt:lpwstr>
  </property>
</Properties>
</file>