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5F124D" w:rsidRPr="00D05292" w14:paraId="2C1E1F1E" w14:textId="77777777">
        <w:trPr>
          <w:trHeight w:hRule="exact" w:val="418"/>
          <w:jc w:val="center"/>
        </w:trPr>
        <w:tc>
          <w:tcPr>
            <w:tcW w:w="8720" w:type="dxa"/>
            <w:gridSpan w:val="3"/>
          </w:tcPr>
          <w:p w14:paraId="09160082" w14:textId="77777777" w:rsidR="005F124D" w:rsidRPr="00D05292" w:rsidRDefault="00D05292">
            <w:pPr>
              <w:pStyle w:val="a4"/>
              <w:tabs>
                <w:tab w:val="clear" w:pos="8306"/>
              </w:tabs>
              <w:jc w:val="center"/>
              <w:rPr>
                <w:rFonts w:ascii="Tahoma" w:hAnsi="Tahoma" w:cs="Tahoma"/>
                <w:b/>
                <w:bCs/>
                <w:color w:val="000080"/>
                <w:sz w:val="20"/>
                <w:szCs w:val="20"/>
                <w:rtl/>
              </w:rPr>
            </w:pPr>
            <w:bookmarkStart w:id="0" w:name="LastJudge"/>
            <w:r w:rsidRPr="00D05292">
              <w:rPr>
                <w:rFonts w:ascii="Tahoma" w:hAnsi="Tahoma" w:cs="Tahoma" w:hint="cs"/>
                <w:b/>
                <w:bCs/>
                <w:color w:val="000080"/>
                <w:sz w:val="20"/>
                <w:szCs w:val="20"/>
                <w:rtl/>
              </w:rPr>
              <w:t>בתי המשפט</w:t>
            </w:r>
          </w:p>
        </w:tc>
      </w:tr>
      <w:tr w:rsidR="005F124D" w:rsidRPr="00D05292" w14:paraId="335FB7D9" w14:textId="77777777">
        <w:trPr>
          <w:trHeight w:val="709"/>
          <w:jc w:val="center"/>
        </w:trPr>
        <w:tc>
          <w:tcPr>
            <w:tcW w:w="4805" w:type="dxa"/>
          </w:tcPr>
          <w:p w14:paraId="1A9C9BF7" w14:textId="77777777" w:rsidR="005F124D" w:rsidRPr="00D05292" w:rsidRDefault="00D05292">
            <w:pPr>
              <w:rPr>
                <w:b/>
                <w:bCs/>
                <w:sz w:val="28"/>
                <w:szCs w:val="28"/>
                <w:rtl/>
              </w:rPr>
            </w:pPr>
            <w:r w:rsidRPr="00D05292">
              <w:rPr>
                <w:rFonts w:hint="cs"/>
                <w:b/>
                <w:bCs/>
                <w:sz w:val="28"/>
                <w:szCs w:val="28"/>
                <w:rtl/>
              </w:rPr>
              <w:t>בית משפט השלום קריית גת</w:t>
            </w:r>
          </w:p>
        </w:tc>
        <w:tc>
          <w:tcPr>
            <w:tcW w:w="236" w:type="dxa"/>
            <w:vMerge w:val="restart"/>
          </w:tcPr>
          <w:p w14:paraId="051812F3" w14:textId="77777777" w:rsidR="005F124D" w:rsidRPr="00D05292" w:rsidRDefault="005F124D">
            <w:pPr>
              <w:pStyle w:val="a4"/>
              <w:jc w:val="right"/>
              <w:rPr>
                <w:b/>
                <w:bCs/>
                <w:sz w:val="28"/>
                <w:szCs w:val="28"/>
                <w:rtl/>
              </w:rPr>
            </w:pPr>
          </w:p>
        </w:tc>
        <w:tc>
          <w:tcPr>
            <w:tcW w:w="3679" w:type="dxa"/>
            <w:vMerge w:val="restart"/>
          </w:tcPr>
          <w:p w14:paraId="079B9AF2" w14:textId="77777777" w:rsidR="005F124D" w:rsidRPr="00D05292" w:rsidRDefault="00D05292">
            <w:pPr>
              <w:jc w:val="right"/>
              <w:rPr>
                <w:b/>
                <w:bCs/>
                <w:sz w:val="28"/>
                <w:szCs w:val="28"/>
                <w:rtl/>
              </w:rPr>
            </w:pPr>
            <w:r w:rsidRPr="00D05292">
              <w:rPr>
                <w:b/>
                <w:bCs/>
                <w:sz w:val="28"/>
                <w:szCs w:val="28"/>
                <w:rtl/>
              </w:rPr>
              <w:t>ת"פ</w:t>
            </w:r>
            <w:r w:rsidRPr="00D05292">
              <w:rPr>
                <w:rFonts w:hint="cs"/>
                <w:b/>
                <w:bCs/>
                <w:sz w:val="28"/>
                <w:szCs w:val="28"/>
                <w:rtl/>
              </w:rPr>
              <w:t xml:space="preserve"> </w:t>
            </w:r>
            <w:r w:rsidRPr="00D05292">
              <w:rPr>
                <w:b/>
                <w:bCs/>
                <w:sz w:val="28"/>
                <w:szCs w:val="28"/>
                <w:rtl/>
              </w:rPr>
              <w:t>4495-06-14</w:t>
            </w:r>
          </w:p>
          <w:p w14:paraId="7793DEE6" w14:textId="77777777" w:rsidR="005F124D" w:rsidRPr="00D05292" w:rsidRDefault="005F124D">
            <w:pPr>
              <w:pStyle w:val="a4"/>
              <w:tabs>
                <w:tab w:val="clear" w:pos="4153"/>
              </w:tabs>
              <w:jc w:val="right"/>
              <w:rPr>
                <w:b/>
                <w:bCs/>
                <w:sz w:val="20"/>
                <w:szCs w:val="20"/>
                <w:rtl/>
              </w:rPr>
            </w:pPr>
          </w:p>
          <w:p w14:paraId="7EDB051A" w14:textId="77777777" w:rsidR="005F124D" w:rsidRPr="00D05292" w:rsidRDefault="00D05292">
            <w:pPr>
              <w:pStyle w:val="a4"/>
              <w:tabs>
                <w:tab w:val="clear" w:pos="4153"/>
              </w:tabs>
              <w:jc w:val="right"/>
              <w:rPr>
                <w:b/>
                <w:bCs/>
                <w:sz w:val="28"/>
                <w:szCs w:val="28"/>
                <w:rtl/>
              </w:rPr>
            </w:pPr>
            <w:r w:rsidRPr="00D05292">
              <w:rPr>
                <w:b/>
                <w:bCs/>
                <w:sz w:val="28"/>
                <w:szCs w:val="28"/>
                <w:rtl/>
              </w:rPr>
              <w:t>26 אוקטובר 2016</w:t>
            </w:r>
          </w:p>
        </w:tc>
      </w:tr>
      <w:tr w:rsidR="005F124D" w:rsidRPr="00D05292" w14:paraId="3914BC12" w14:textId="77777777">
        <w:trPr>
          <w:trHeight w:val="547"/>
          <w:jc w:val="center"/>
        </w:trPr>
        <w:tc>
          <w:tcPr>
            <w:tcW w:w="4805" w:type="dxa"/>
          </w:tcPr>
          <w:p w14:paraId="7A1CCDFB" w14:textId="77777777" w:rsidR="005F124D" w:rsidRPr="00D05292" w:rsidRDefault="00D05292">
            <w:pPr>
              <w:rPr>
                <w:b/>
                <w:bCs/>
                <w:sz w:val="28"/>
                <w:szCs w:val="28"/>
                <w:rtl/>
              </w:rPr>
            </w:pPr>
            <w:r w:rsidRPr="00D05292">
              <w:rPr>
                <w:rFonts w:hint="cs"/>
                <w:b/>
                <w:bCs/>
                <w:sz w:val="28"/>
                <w:szCs w:val="28"/>
                <w:rtl/>
              </w:rPr>
              <w:t>בפני: כב' ה</w:t>
            </w:r>
            <w:r w:rsidRPr="00D05292">
              <w:rPr>
                <w:b/>
                <w:bCs/>
                <w:sz w:val="28"/>
                <w:szCs w:val="28"/>
                <w:rtl/>
              </w:rPr>
              <w:t>שופטת דינה כהן</w:t>
            </w:r>
          </w:p>
        </w:tc>
        <w:tc>
          <w:tcPr>
            <w:tcW w:w="236" w:type="dxa"/>
            <w:vMerge/>
          </w:tcPr>
          <w:p w14:paraId="3E170155" w14:textId="77777777" w:rsidR="005F124D" w:rsidRPr="00D05292" w:rsidRDefault="005F124D">
            <w:pPr>
              <w:pStyle w:val="a4"/>
              <w:jc w:val="right"/>
              <w:rPr>
                <w:b/>
                <w:bCs/>
                <w:sz w:val="28"/>
                <w:szCs w:val="28"/>
                <w:rtl/>
              </w:rPr>
            </w:pPr>
          </w:p>
        </w:tc>
        <w:tc>
          <w:tcPr>
            <w:tcW w:w="3679" w:type="dxa"/>
            <w:vMerge/>
          </w:tcPr>
          <w:p w14:paraId="139AEA21" w14:textId="77777777" w:rsidR="005F124D" w:rsidRPr="00D05292" w:rsidRDefault="005F124D">
            <w:pPr>
              <w:jc w:val="right"/>
              <w:rPr>
                <w:b/>
                <w:bCs/>
                <w:sz w:val="28"/>
                <w:szCs w:val="28"/>
                <w:rtl/>
              </w:rPr>
            </w:pPr>
          </w:p>
        </w:tc>
      </w:tr>
    </w:tbl>
    <w:p w14:paraId="6B7FCE56" w14:textId="77777777" w:rsidR="005F124D" w:rsidRPr="00D05292" w:rsidRDefault="005F124D">
      <w:pPr>
        <w:pStyle w:val="a4"/>
        <w:jc w:val="center"/>
        <w:rPr>
          <w:rFonts w:ascii="Tahoma" w:hAnsi="Tahoma" w:cs="Tahoma"/>
          <w:b/>
          <w:bCs/>
          <w:color w:val="000080"/>
          <w:sz w:val="20"/>
          <w:szCs w:val="20"/>
          <w:rtl/>
        </w:rPr>
      </w:pPr>
    </w:p>
    <w:p w14:paraId="211BA43E" w14:textId="77777777" w:rsidR="005F124D" w:rsidRPr="00D05292" w:rsidRDefault="005F124D">
      <w:pPr>
        <w:rPr>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5F124D" w:rsidRPr="00D05292" w14:paraId="30324172" w14:textId="77777777">
        <w:tc>
          <w:tcPr>
            <w:tcW w:w="945" w:type="dxa"/>
            <w:shd w:val="clear" w:color="auto" w:fill="auto"/>
          </w:tcPr>
          <w:p w14:paraId="3C78A0B0" w14:textId="77777777" w:rsidR="005F124D" w:rsidRPr="00D05292" w:rsidRDefault="00D05292">
            <w:pPr>
              <w:jc w:val="left"/>
              <w:rPr>
                <w:rFonts w:ascii="Times New Roman" w:eastAsia="Times New Roman" w:hAnsi="Times New Roman"/>
                <w:b/>
                <w:bCs/>
                <w:sz w:val="26"/>
                <w:rtl/>
              </w:rPr>
            </w:pPr>
            <w:bookmarkStart w:id="1" w:name="FirstAppellant"/>
            <w:r w:rsidRPr="00D05292">
              <w:rPr>
                <w:rFonts w:ascii="Times New Roman" w:eastAsia="Times New Roman" w:hAnsi="Times New Roman" w:hint="cs"/>
                <w:b/>
                <w:bCs/>
                <w:sz w:val="26"/>
                <w:rtl/>
              </w:rPr>
              <w:t>בעניין:</w:t>
            </w:r>
          </w:p>
        </w:tc>
        <w:tc>
          <w:tcPr>
            <w:tcW w:w="7857" w:type="dxa"/>
            <w:gridSpan w:val="4"/>
            <w:shd w:val="clear" w:color="auto" w:fill="auto"/>
          </w:tcPr>
          <w:p w14:paraId="7AB94252" w14:textId="77777777" w:rsidR="005F124D" w:rsidRPr="00D05292" w:rsidRDefault="00D05292">
            <w:pPr>
              <w:jc w:val="left"/>
              <w:rPr>
                <w:rFonts w:ascii="Times New Roman" w:eastAsia="Times New Roman" w:hAnsi="Times New Roman"/>
                <w:b/>
                <w:bCs/>
                <w:sz w:val="26"/>
                <w:rtl/>
              </w:rPr>
            </w:pPr>
            <w:r w:rsidRPr="00D05292">
              <w:rPr>
                <w:rFonts w:ascii="Times New Roman" w:eastAsia="Times New Roman" w:hAnsi="Times New Roman" w:hint="cs"/>
                <w:b/>
                <w:bCs/>
                <w:sz w:val="26"/>
                <w:rtl/>
              </w:rPr>
              <w:t>מדינת ישראל</w:t>
            </w:r>
          </w:p>
        </w:tc>
      </w:tr>
      <w:bookmarkEnd w:id="1"/>
      <w:tr w:rsidR="005F124D" w:rsidRPr="00D05292" w14:paraId="2368B8B9" w14:textId="77777777">
        <w:trPr>
          <w:gridAfter w:val="1"/>
          <w:wAfter w:w="106" w:type="dxa"/>
        </w:trPr>
        <w:tc>
          <w:tcPr>
            <w:tcW w:w="945" w:type="dxa"/>
            <w:shd w:val="clear" w:color="auto" w:fill="auto"/>
          </w:tcPr>
          <w:p w14:paraId="13057D6C" w14:textId="77777777" w:rsidR="005F124D" w:rsidRPr="00D05292" w:rsidRDefault="005F124D">
            <w:pPr>
              <w:ind w:left="26"/>
              <w:jc w:val="left"/>
              <w:rPr>
                <w:rFonts w:ascii="Times New Roman" w:eastAsia="Times New Roman" w:hAnsi="Times New Roman"/>
                <w:b/>
                <w:bCs/>
                <w:sz w:val="26"/>
                <w:rtl/>
              </w:rPr>
            </w:pPr>
          </w:p>
        </w:tc>
        <w:tc>
          <w:tcPr>
            <w:tcW w:w="6416" w:type="dxa"/>
            <w:shd w:val="clear" w:color="auto" w:fill="auto"/>
          </w:tcPr>
          <w:p w14:paraId="54A944E4" w14:textId="77777777" w:rsidR="005F124D" w:rsidRPr="00D05292" w:rsidRDefault="005F124D">
            <w:pPr>
              <w:jc w:val="left"/>
              <w:rPr>
                <w:rFonts w:ascii="Times New Roman" w:eastAsia="Times New Roman" w:hAnsi="Times New Roman"/>
                <w:b/>
                <w:bCs/>
                <w:sz w:val="26"/>
                <w:rtl/>
              </w:rPr>
            </w:pPr>
          </w:p>
        </w:tc>
        <w:tc>
          <w:tcPr>
            <w:tcW w:w="1335" w:type="dxa"/>
            <w:gridSpan w:val="2"/>
            <w:shd w:val="clear" w:color="auto" w:fill="auto"/>
          </w:tcPr>
          <w:p w14:paraId="7CC4C28E" w14:textId="77777777" w:rsidR="005F124D" w:rsidRPr="00D05292" w:rsidRDefault="00D05292">
            <w:pPr>
              <w:ind w:left="26"/>
              <w:jc w:val="left"/>
              <w:rPr>
                <w:rFonts w:ascii="Times New Roman" w:eastAsia="Times New Roman" w:hAnsi="Times New Roman"/>
                <w:b/>
                <w:bCs/>
                <w:sz w:val="26"/>
                <w:rtl/>
              </w:rPr>
            </w:pPr>
            <w:r w:rsidRPr="00D05292">
              <w:rPr>
                <w:rFonts w:ascii="Times New Roman" w:eastAsia="Times New Roman" w:hAnsi="Times New Roman" w:hint="cs"/>
                <w:b/>
                <w:bCs/>
                <w:sz w:val="26"/>
                <w:rtl/>
              </w:rPr>
              <w:t>המאשימה</w:t>
            </w:r>
          </w:p>
        </w:tc>
      </w:tr>
      <w:tr w:rsidR="005F124D" w:rsidRPr="00D05292" w14:paraId="629A8972" w14:textId="77777777">
        <w:trPr>
          <w:gridAfter w:val="1"/>
          <w:wAfter w:w="106" w:type="dxa"/>
        </w:trPr>
        <w:tc>
          <w:tcPr>
            <w:tcW w:w="8696" w:type="dxa"/>
            <w:gridSpan w:val="4"/>
            <w:shd w:val="clear" w:color="auto" w:fill="auto"/>
          </w:tcPr>
          <w:p w14:paraId="038363DB" w14:textId="77777777" w:rsidR="005F124D" w:rsidRPr="00D05292" w:rsidRDefault="00D05292">
            <w:pPr>
              <w:jc w:val="center"/>
              <w:rPr>
                <w:rFonts w:ascii="Arial" w:eastAsia="Times New Roman" w:hAnsi="Arial"/>
                <w:b/>
                <w:bCs/>
                <w:sz w:val="26"/>
              </w:rPr>
            </w:pPr>
            <w:r w:rsidRPr="00D05292">
              <w:rPr>
                <w:rFonts w:ascii="Arial" w:eastAsia="Times New Roman" w:hAnsi="Arial"/>
                <w:b/>
                <w:bCs/>
                <w:sz w:val="26"/>
                <w:rtl/>
              </w:rPr>
              <w:t>נ</w:t>
            </w:r>
            <w:r w:rsidRPr="00D05292">
              <w:rPr>
                <w:rFonts w:ascii="Arial" w:eastAsia="Times New Roman" w:hAnsi="Arial" w:hint="cs"/>
                <w:b/>
                <w:bCs/>
                <w:sz w:val="26"/>
                <w:rtl/>
              </w:rPr>
              <w:t xml:space="preserve"> </w:t>
            </w:r>
            <w:r w:rsidRPr="00D05292">
              <w:rPr>
                <w:rFonts w:ascii="Arial" w:eastAsia="Times New Roman" w:hAnsi="Arial"/>
                <w:b/>
                <w:bCs/>
                <w:sz w:val="26"/>
                <w:rtl/>
              </w:rPr>
              <w:t>ג</w:t>
            </w:r>
            <w:r w:rsidRPr="00D05292">
              <w:rPr>
                <w:rFonts w:ascii="Arial" w:eastAsia="Times New Roman" w:hAnsi="Arial" w:hint="cs"/>
                <w:b/>
                <w:bCs/>
                <w:sz w:val="26"/>
                <w:rtl/>
              </w:rPr>
              <w:t xml:space="preserve"> </w:t>
            </w:r>
            <w:r w:rsidRPr="00D05292">
              <w:rPr>
                <w:rFonts w:ascii="Arial" w:eastAsia="Times New Roman" w:hAnsi="Arial"/>
                <w:b/>
                <w:bCs/>
                <w:sz w:val="26"/>
                <w:rtl/>
              </w:rPr>
              <w:t>ד</w:t>
            </w:r>
          </w:p>
        </w:tc>
      </w:tr>
      <w:tr w:rsidR="005F124D" w:rsidRPr="00D05292" w14:paraId="4871C818" w14:textId="77777777">
        <w:trPr>
          <w:gridAfter w:val="1"/>
          <w:wAfter w:w="106" w:type="dxa"/>
        </w:trPr>
        <w:tc>
          <w:tcPr>
            <w:tcW w:w="945" w:type="dxa"/>
            <w:shd w:val="clear" w:color="auto" w:fill="auto"/>
          </w:tcPr>
          <w:p w14:paraId="5D97BFCA" w14:textId="77777777" w:rsidR="005F124D" w:rsidRPr="00D05292" w:rsidRDefault="005F124D">
            <w:pPr>
              <w:ind w:left="26"/>
              <w:rPr>
                <w:rFonts w:ascii="Times New Roman" w:eastAsia="Times New Roman" w:hAnsi="Times New Roman"/>
                <w:b/>
                <w:bCs/>
                <w:sz w:val="26"/>
                <w:rtl/>
              </w:rPr>
            </w:pPr>
          </w:p>
        </w:tc>
        <w:tc>
          <w:tcPr>
            <w:tcW w:w="6435" w:type="dxa"/>
            <w:gridSpan w:val="2"/>
            <w:shd w:val="clear" w:color="auto" w:fill="auto"/>
          </w:tcPr>
          <w:p w14:paraId="21A59F5F" w14:textId="77777777" w:rsidR="005F124D" w:rsidRPr="00D05292" w:rsidRDefault="00D05292">
            <w:pPr>
              <w:jc w:val="left"/>
              <w:rPr>
                <w:b/>
                <w:bCs/>
                <w:sz w:val="26"/>
                <w:rtl/>
              </w:rPr>
            </w:pPr>
            <w:r w:rsidRPr="00D05292">
              <w:rPr>
                <w:rFonts w:ascii="Times New Roman" w:eastAsia="Times New Roman" w:hAnsi="Times New Roman" w:hint="cs"/>
                <w:rtl/>
              </w:rPr>
              <w:t>שי שמעון בנישו</w:t>
            </w:r>
            <w:r w:rsidRPr="00D05292">
              <w:rPr>
                <w:rFonts w:ascii="Times New Roman" w:eastAsia="Times New Roman" w:hAnsi="Times New Roman" w:hint="cs"/>
                <w:b/>
                <w:bCs/>
                <w:sz w:val="26"/>
                <w:rtl/>
              </w:rPr>
              <w:t xml:space="preserve"> </w:t>
            </w:r>
            <w:r w:rsidRPr="00D05292">
              <w:rPr>
                <w:rFonts w:ascii="Times New Roman" w:eastAsia="Times New Roman" w:hAnsi="Times New Roman" w:hint="cs"/>
                <w:rtl/>
              </w:rPr>
              <w:t>ת.ז.</w:t>
            </w:r>
            <w:r w:rsidRPr="00D05292">
              <w:rPr>
                <w:rFonts w:ascii="Times New Roman" w:eastAsia="Times New Roman" w:hAnsi="Times New Roman" w:hint="cs"/>
                <w:b/>
                <w:bCs/>
                <w:sz w:val="26"/>
                <w:rtl/>
              </w:rPr>
              <w:t xml:space="preserve"> </w:t>
            </w:r>
            <w:r>
              <w:rPr>
                <w:rFonts w:ascii="Times New Roman" w:eastAsia="Times New Roman" w:hAnsi="Times New Roman"/>
              </w:rPr>
              <w:t>xxxxxxxxx</w:t>
            </w:r>
          </w:p>
        </w:tc>
        <w:tc>
          <w:tcPr>
            <w:tcW w:w="1316" w:type="dxa"/>
            <w:shd w:val="clear" w:color="auto" w:fill="auto"/>
          </w:tcPr>
          <w:p w14:paraId="69DFC412" w14:textId="77777777" w:rsidR="005F124D" w:rsidRPr="00D05292" w:rsidRDefault="005F124D">
            <w:pPr>
              <w:rPr>
                <w:rFonts w:ascii="Times New Roman" w:eastAsia="Times New Roman" w:hAnsi="Times New Roman"/>
                <w:b/>
                <w:bCs/>
                <w:sz w:val="26"/>
                <w:rtl/>
              </w:rPr>
            </w:pPr>
          </w:p>
        </w:tc>
      </w:tr>
      <w:tr w:rsidR="005F124D" w:rsidRPr="00D05292" w14:paraId="08F00BF9" w14:textId="77777777">
        <w:trPr>
          <w:gridAfter w:val="1"/>
          <w:wAfter w:w="106" w:type="dxa"/>
        </w:trPr>
        <w:tc>
          <w:tcPr>
            <w:tcW w:w="945" w:type="dxa"/>
            <w:shd w:val="clear" w:color="auto" w:fill="auto"/>
          </w:tcPr>
          <w:p w14:paraId="50162D97" w14:textId="77777777" w:rsidR="005F124D" w:rsidRPr="00D05292" w:rsidRDefault="005F124D">
            <w:pPr>
              <w:ind w:left="26"/>
              <w:jc w:val="left"/>
              <w:rPr>
                <w:rFonts w:ascii="Times New Roman" w:eastAsia="Times New Roman" w:hAnsi="Times New Roman"/>
                <w:b/>
                <w:bCs/>
                <w:sz w:val="26"/>
                <w:rtl/>
              </w:rPr>
            </w:pPr>
          </w:p>
        </w:tc>
        <w:tc>
          <w:tcPr>
            <w:tcW w:w="6435" w:type="dxa"/>
            <w:gridSpan w:val="2"/>
            <w:shd w:val="clear" w:color="auto" w:fill="auto"/>
          </w:tcPr>
          <w:p w14:paraId="7DDFD0C5" w14:textId="77777777" w:rsidR="005F124D" w:rsidRPr="00D05292" w:rsidRDefault="005F124D">
            <w:pPr>
              <w:jc w:val="left"/>
              <w:rPr>
                <w:rFonts w:ascii="Times New Roman" w:eastAsia="Times New Roman" w:hAnsi="Times New Roman"/>
                <w:b/>
                <w:bCs/>
                <w:sz w:val="26"/>
                <w:rtl/>
              </w:rPr>
            </w:pPr>
          </w:p>
        </w:tc>
        <w:tc>
          <w:tcPr>
            <w:tcW w:w="1316" w:type="dxa"/>
            <w:shd w:val="clear" w:color="auto" w:fill="auto"/>
          </w:tcPr>
          <w:p w14:paraId="0E590A62" w14:textId="77777777" w:rsidR="005F124D" w:rsidRPr="00D05292" w:rsidRDefault="00D05292">
            <w:pPr>
              <w:jc w:val="left"/>
              <w:rPr>
                <w:rFonts w:ascii="Times New Roman" w:eastAsia="Times New Roman" w:hAnsi="Times New Roman"/>
                <w:b/>
                <w:bCs/>
                <w:sz w:val="26"/>
                <w:rtl/>
              </w:rPr>
            </w:pPr>
            <w:r w:rsidRPr="00D05292">
              <w:rPr>
                <w:rFonts w:ascii="Times New Roman" w:eastAsia="Times New Roman" w:hAnsi="Times New Roman" w:hint="cs"/>
                <w:b/>
                <w:bCs/>
                <w:sz w:val="26"/>
                <w:rtl/>
              </w:rPr>
              <w:t>הנאשם</w:t>
            </w:r>
          </w:p>
        </w:tc>
      </w:tr>
    </w:tbl>
    <w:p w14:paraId="7C081609" w14:textId="77777777" w:rsidR="005F124D" w:rsidRPr="00D05292" w:rsidRDefault="005F124D">
      <w:pPr>
        <w:rPr>
          <w:rtl/>
        </w:rPr>
      </w:pPr>
    </w:p>
    <w:p w14:paraId="5D425B84" w14:textId="77777777" w:rsidR="005F124D" w:rsidRPr="00D05292" w:rsidRDefault="00D05292">
      <w:pPr>
        <w:spacing w:line="240" w:lineRule="auto"/>
        <w:rPr>
          <w:sz w:val="6"/>
          <w:szCs w:val="6"/>
          <w:rtl/>
        </w:rPr>
      </w:pPr>
      <w:r w:rsidRPr="00D05292">
        <w:rPr>
          <w:sz w:val="6"/>
          <w:szCs w:val="6"/>
          <w:rtl/>
        </w:rPr>
        <w:t>&lt;#2#&gt;</w:t>
      </w:r>
    </w:p>
    <w:p w14:paraId="55BDC7B8" w14:textId="77777777" w:rsidR="005F124D" w:rsidRPr="00D05292" w:rsidRDefault="00D05292">
      <w:pPr>
        <w:spacing w:line="240" w:lineRule="auto"/>
        <w:rPr>
          <w:b/>
          <w:bCs/>
          <w:szCs w:val="24"/>
          <w:rtl/>
        </w:rPr>
      </w:pPr>
      <w:r w:rsidRPr="00D05292">
        <w:rPr>
          <w:szCs w:val="24"/>
          <w:rtl/>
        </w:rPr>
        <w:t xml:space="preserve"> </w:t>
      </w:r>
      <w:r w:rsidRPr="00D05292">
        <w:rPr>
          <w:rFonts w:hint="cs"/>
          <w:b/>
          <w:bCs/>
          <w:szCs w:val="24"/>
          <w:rtl/>
        </w:rPr>
        <w:t>נוכחים:</w:t>
      </w:r>
    </w:p>
    <w:p w14:paraId="6CA3C5D8" w14:textId="77777777" w:rsidR="005F124D" w:rsidRPr="00D05292" w:rsidRDefault="00D05292">
      <w:pPr>
        <w:spacing w:line="240" w:lineRule="auto"/>
        <w:rPr>
          <w:szCs w:val="24"/>
          <w:rtl/>
        </w:rPr>
      </w:pPr>
      <w:bookmarkStart w:id="2" w:name="FirstLawyer"/>
      <w:r w:rsidRPr="00D05292">
        <w:rPr>
          <w:rFonts w:hint="cs"/>
          <w:szCs w:val="24"/>
          <w:rtl/>
        </w:rPr>
        <w:t>ב"כ</w:t>
      </w:r>
      <w:bookmarkEnd w:id="2"/>
      <w:r w:rsidRPr="00D05292">
        <w:rPr>
          <w:rFonts w:hint="cs"/>
          <w:szCs w:val="24"/>
          <w:rtl/>
        </w:rPr>
        <w:t xml:space="preserve"> המאשימה עו"ד קלייר עמיאל</w:t>
      </w:r>
    </w:p>
    <w:p w14:paraId="61E9CDCD" w14:textId="77777777" w:rsidR="005F124D" w:rsidRPr="00D05292" w:rsidRDefault="00D05292">
      <w:pPr>
        <w:spacing w:line="240" w:lineRule="auto"/>
        <w:rPr>
          <w:szCs w:val="24"/>
          <w:rtl/>
        </w:rPr>
      </w:pPr>
      <w:r w:rsidRPr="00D05292">
        <w:rPr>
          <w:rFonts w:hint="cs"/>
          <w:szCs w:val="24"/>
          <w:rtl/>
        </w:rPr>
        <w:t>ב"כ הנאשם עו"ד אורלי אמוץ ממשרד עו"ד בן יהודה</w:t>
      </w:r>
    </w:p>
    <w:p w14:paraId="618925AF" w14:textId="77777777" w:rsidR="005F124D" w:rsidRPr="00D05292" w:rsidRDefault="00D05292">
      <w:pPr>
        <w:spacing w:line="240" w:lineRule="auto"/>
        <w:rPr>
          <w:szCs w:val="24"/>
          <w:rtl/>
        </w:rPr>
      </w:pPr>
      <w:r w:rsidRPr="00D05292">
        <w:rPr>
          <w:rFonts w:hint="cs"/>
          <w:szCs w:val="24"/>
          <w:rtl/>
        </w:rPr>
        <w:t>הנאשם בעצמו</w:t>
      </w:r>
    </w:p>
    <w:p w14:paraId="6577A036" w14:textId="77777777" w:rsidR="005F124D" w:rsidRPr="00D05292" w:rsidRDefault="005F124D">
      <w:pPr>
        <w:spacing w:line="240" w:lineRule="auto"/>
        <w:rPr>
          <w:szCs w:val="24"/>
          <w:rtl/>
        </w:rPr>
      </w:pPr>
    </w:p>
    <w:p w14:paraId="394A1833" w14:textId="77777777" w:rsidR="005F124D" w:rsidRPr="00D05292" w:rsidRDefault="00D05292">
      <w:pPr>
        <w:jc w:val="center"/>
        <w:rPr>
          <w:rFonts w:ascii="Arial" w:hAnsi="Arial"/>
          <w:b/>
          <w:bCs/>
          <w:sz w:val="28"/>
          <w:szCs w:val="28"/>
          <w:rtl/>
        </w:rPr>
      </w:pPr>
      <w:r w:rsidRPr="00D05292">
        <w:rPr>
          <w:rFonts w:ascii="Arial" w:hAnsi="Arial"/>
          <w:b/>
          <w:color w:val="FF0000"/>
          <w:sz w:val="28"/>
          <w:szCs w:val="24"/>
          <w:rtl/>
        </w:rPr>
        <w:t>במסמך זה הושמטו פרוטוקולים</w:t>
      </w:r>
    </w:p>
    <w:p w14:paraId="6A8F3B89" w14:textId="77777777" w:rsidR="00D05292" w:rsidRPr="00D05292" w:rsidRDefault="00D05292" w:rsidP="00D05292">
      <w:pPr>
        <w:spacing w:after="120" w:line="240" w:lineRule="exact"/>
        <w:ind w:left="283" w:hanging="283"/>
        <w:rPr>
          <w:rFonts w:ascii="FrankRuehl" w:hAnsi="FrankRuehl" w:cs="FrankRuehl"/>
          <w:szCs w:val="24"/>
          <w:rtl/>
        </w:rPr>
      </w:pPr>
      <w:bookmarkStart w:id="3" w:name="LawTable"/>
      <w:bookmarkEnd w:id="3"/>
      <w:r w:rsidRPr="00D05292">
        <w:rPr>
          <w:rFonts w:ascii="FrankRuehl" w:hAnsi="FrankRuehl" w:cs="FrankRuehl"/>
          <w:szCs w:val="24"/>
          <w:rtl/>
        </w:rPr>
        <w:t xml:space="preserve">חקיקה שאוזכרה: </w:t>
      </w:r>
    </w:p>
    <w:p w14:paraId="13EBDCE6" w14:textId="77777777" w:rsidR="00D05292" w:rsidRPr="00D05292" w:rsidRDefault="00D05292" w:rsidP="00D05292">
      <w:pPr>
        <w:spacing w:after="120" w:line="240" w:lineRule="exact"/>
        <w:ind w:left="283" w:hanging="283"/>
        <w:rPr>
          <w:rFonts w:ascii="FrankRuehl" w:hAnsi="FrankRuehl" w:cs="FrankRuehl"/>
          <w:color w:val="0000FF"/>
          <w:szCs w:val="24"/>
          <w:u w:val="single"/>
          <w:rtl/>
        </w:rPr>
      </w:pPr>
      <w:hyperlink r:id="rId7" w:history="1">
        <w:r w:rsidRPr="00D05292">
          <w:rPr>
            <w:rStyle w:val="Hyperlink"/>
            <w:rFonts w:ascii="FrankRuehl" w:hAnsi="FrankRuehl" w:cs="FrankRuehl"/>
            <w:szCs w:val="24"/>
            <w:rtl/>
          </w:rPr>
          <w:t>פקודת הסמים המסוכנים [נוסח חדש], תשל"ג-1973</w:t>
        </w:r>
      </w:hyperlink>
    </w:p>
    <w:p w14:paraId="5A862D22" w14:textId="77777777" w:rsidR="00D05292" w:rsidRPr="00D05292" w:rsidRDefault="00D05292">
      <w:pPr>
        <w:jc w:val="center"/>
        <w:rPr>
          <w:rFonts w:ascii="Arial" w:hAnsi="Arial"/>
          <w:b/>
          <w:bCs/>
          <w:sz w:val="28"/>
          <w:szCs w:val="28"/>
          <w:rtl/>
        </w:rPr>
      </w:pPr>
      <w:bookmarkStart w:id="4" w:name="LawTable_End"/>
      <w:bookmarkEnd w:id="4"/>
    </w:p>
    <w:p w14:paraId="687E596D" w14:textId="77777777" w:rsidR="00D05292" w:rsidRPr="00D05292" w:rsidRDefault="00D05292" w:rsidP="00D05292">
      <w:pPr>
        <w:jc w:val="center"/>
        <w:rPr>
          <w:rFonts w:ascii="Arial" w:hAnsi="Arial"/>
          <w:b/>
          <w:bCs/>
          <w:sz w:val="28"/>
          <w:szCs w:val="28"/>
          <w:u w:val="single"/>
          <w:rtl/>
        </w:rPr>
      </w:pPr>
      <w:bookmarkStart w:id="5" w:name="PsakDin"/>
      <w:bookmarkEnd w:id="0"/>
      <w:r w:rsidRPr="00D05292">
        <w:rPr>
          <w:rFonts w:ascii="Arial" w:hAnsi="Arial"/>
          <w:b/>
          <w:bCs/>
          <w:sz w:val="28"/>
          <w:szCs w:val="28"/>
          <w:u w:val="single"/>
          <w:rtl/>
        </w:rPr>
        <w:t>גזר דין</w:t>
      </w:r>
    </w:p>
    <w:bookmarkEnd w:id="5"/>
    <w:p w14:paraId="52398FE6" w14:textId="77777777" w:rsidR="005F124D" w:rsidRDefault="005F124D">
      <w:pPr>
        <w:jc w:val="center"/>
        <w:rPr>
          <w:szCs w:val="24"/>
          <w:rtl/>
        </w:rPr>
      </w:pPr>
    </w:p>
    <w:p w14:paraId="05525A94" w14:textId="77777777" w:rsidR="005F124D" w:rsidRDefault="00D05292">
      <w:pPr>
        <w:rPr>
          <w:szCs w:val="24"/>
          <w:rtl/>
        </w:rPr>
      </w:pPr>
      <w:bookmarkStart w:id="6" w:name="ABSTRACT_START"/>
      <w:bookmarkEnd w:id="6"/>
      <w:r>
        <w:rPr>
          <w:rFonts w:hint="cs"/>
          <w:szCs w:val="24"/>
          <w:rtl/>
        </w:rPr>
        <w:t xml:space="preserve">הנאשם צעיר יליד נובמבר 1990 הורשע עוד בתאריך 27.7.15 על פי הודאתו בעבירה של החזקת סם שלא לצריכה עצמית, סם מסוג קוקאין במשקל 2.0367 גרם מחולק ל-4 מנות. </w:t>
      </w:r>
    </w:p>
    <w:p w14:paraId="43698215" w14:textId="77777777" w:rsidR="005F124D" w:rsidRDefault="00D05292">
      <w:pPr>
        <w:rPr>
          <w:szCs w:val="24"/>
          <w:rtl/>
        </w:rPr>
      </w:pPr>
      <w:r>
        <w:rPr>
          <w:rFonts w:hint="cs"/>
          <w:szCs w:val="24"/>
          <w:rtl/>
        </w:rPr>
        <w:t xml:space="preserve">על פי הסדר שבין הצדדים שרות המבחן נדרש להגיש תסקיר לעונש כאשר במסגרת ההסדר הוטעם כי אין בין הצדדים הסכמה עונשית אולם הם ישובו לשוחח לאחר הגשתו ומשהוגש הגיעו כאמור להסדר הכולל עתירה עונשית מוסכמת. </w:t>
      </w:r>
    </w:p>
    <w:p w14:paraId="41B040D0" w14:textId="77777777" w:rsidR="005F124D" w:rsidRDefault="005F124D">
      <w:pPr>
        <w:rPr>
          <w:szCs w:val="24"/>
          <w:rtl/>
        </w:rPr>
      </w:pPr>
      <w:bookmarkStart w:id="7" w:name="ABSTRACT_END"/>
      <w:bookmarkEnd w:id="7"/>
    </w:p>
    <w:p w14:paraId="21B33598" w14:textId="77777777" w:rsidR="005F124D" w:rsidRDefault="00D05292">
      <w:pPr>
        <w:rPr>
          <w:szCs w:val="24"/>
          <w:rtl/>
        </w:rPr>
      </w:pPr>
      <w:r>
        <w:rPr>
          <w:rFonts w:hint="cs"/>
          <w:szCs w:val="24"/>
          <w:rtl/>
        </w:rPr>
        <w:t xml:space="preserve">בהינתן נסיבות ביצוע המעשה, האמור בתסקיר שרות המבחן בין היתר דגימות רבות לאיתור שרידי סם העידו על ניקיון משרידי סם, נטילת האחריות ופרמטרים נוספים חיוביים אודות הנאשם, מצאתי את ההסדר מצוי במתחם הסבירות על כן תוך כיבודו הנני דנה את הנאשם בהתאם להסדר לעונשים שלהלן: </w:t>
      </w:r>
    </w:p>
    <w:p w14:paraId="731BCD60" w14:textId="77777777" w:rsidR="005F124D" w:rsidRDefault="005F124D">
      <w:pPr>
        <w:rPr>
          <w:b/>
          <w:bCs/>
          <w:sz w:val="22"/>
          <w:szCs w:val="24"/>
          <w:u w:val="single"/>
          <w:rtl/>
        </w:rPr>
      </w:pPr>
    </w:p>
    <w:p w14:paraId="0CA2CED2" w14:textId="77777777" w:rsidR="005F124D" w:rsidRDefault="00D05292">
      <w:pPr>
        <w:numPr>
          <w:ilvl w:val="0"/>
          <w:numId w:val="1"/>
        </w:numPr>
        <w:ind w:right="0"/>
        <w:jc w:val="left"/>
        <w:rPr>
          <w:sz w:val="22"/>
          <w:szCs w:val="24"/>
        </w:rPr>
      </w:pPr>
      <w:bookmarkStart w:id="8" w:name="Decision2"/>
      <w:r>
        <w:rPr>
          <w:rFonts w:hint="cs"/>
          <w:sz w:val="22"/>
          <w:szCs w:val="24"/>
          <w:rtl/>
        </w:rPr>
        <w:t xml:space="preserve">12 חודשי מאסר על תנאי למשך שנתיים מהיום שהנאשם לא יעבור עבירה לפי פקודת הסמים מסוג פשע. </w:t>
      </w:r>
    </w:p>
    <w:p w14:paraId="5CE4F3FA" w14:textId="77777777" w:rsidR="005F124D" w:rsidRDefault="00D05292">
      <w:pPr>
        <w:numPr>
          <w:ilvl w:val="0"/>
          <w:numId w:val="1"/>
        </w:numPr>
        <w:ind w:right="0"/>
        <w:jc w:val="left"/>
        <w:rPr>
          <w:sz w:val="22"/>
          <w:szCs w:val="24"/>
        </w:rPr>
      </w:pPr>
      <w:r>
        <w:rPr>
          <w:rFonts w:hint="cs"/>
          <w:sz w:val="22"/>
          <w:szCs w:val="24"/>
          <w:rtl/>
        </w:rPr>
        <w:lastRenderedPageBreak/>
        <w:t xml:space="preserve">6 חודשי מאסר על תנאי למשך שנתיים מהיום שהנאשם לא יעבור עבירה לפי פקודת הסמים מסוג עוון. </w:t>
      </w:r>
    </w:p>
    <w:p w14:paraId="5670A5AB" w14:textId="77777777" w:rsidR="005F124D" w:rsidRDefault="00D05292">
      <w:pPr>
        <w:numPr>
          <w:ilvl w:val="0"/>
          <w:numId w:val="1"/>
        </w:numPr>
        <w:ind w:right="0"/>
        <w:jc w:val="left"/>
        <w:rPr>
          <w:sz w:val="22"/>
          <w:szCs w:val="24"/>
        </w:rPr>
      </w:pPr>
      <w:r>
        <w:rPr>
          <w:rFonts w:hint="cs"/>
          <w:sz w:val="22"/>
          <w:szCs w:val="24"/>
          <w:rtl/>
        </w:rPr>
        <w:t xml:space="preserve">קנס כספי בסך 1,000 ₪ או  5  ימי מאסר תמורתו. הקנס ישולם ב-4 תשלומים חודשיים שווים ורצופים החל מיום 2.12.16. </w:t>
      </w:r>
    </w:p>
    <w:p w14:paraId="3A9087E2" w14:textId="77777777" w:rsidR="005F124D" w:rsidRDefault="00D05292">
      <w:pPr>
        <w:numPr>
          <w:ilvl w:val="0"/>
          <w:numId w:val="1"/>
        </w:numPr>
        <w:ind w:right="0"/>
        <w:jc w:val="left"/>
        <w:rPr>
          <w:sz w:val="22"/>
          <w:szCs w:val="24"/>
        </w:rPr>
      </w:pPr>
      <w:r>
        <w:rPr>
          <w:rFonts w:hint="cs"/>
          <w:sz w:val="22"/>
          <w:szCs w:val="24"/>
          <w:rtl/>
        </w:rPr>
        <w:t xml:space="preserve">הנאשם יחתום על התחייבות כספית בסך  4,000  ₪ שלא יעבור תוך 3 שנים מהיום כל עבירה לפי </w:t>
      </w:r>
      <w:hyperlink r:id="rId8" w:history="1">
        <w:r w:rsidRPr="00D05292">
          <w:rPr>
            <w:rStyle w:val="Hyperlink"/>
            <w:rFonts w:hint="eastAsia"/>
            <w:sz w:val="22"/>
            <w:szCs w:val="24"/>
            <w:rtl/>
          </w:rPr>
          <w:t>פקודת</w:t>
        </w:r>
        <w:r w:rsidRPr="00D05292">
          <w:rPr>
            <w:rStyle w:val="Hyperlink"/>
            <w:sz w:val="22"/>
            <w:szCs w:val="24"/>
            <w:rtl/>
          </w:rPr>
          <w:t xml:space="preserve"> הסמים המסוכנים</w:t>
        </w:r>
      </w:hyperlink>
      <w:r>
        <w:rPr>
          <w:rFonts w:hint="cs"/>
          <w:sz w:val="22"/>
          <w:szCs w:val="24"/>
          <w:rtl/>
        </w:rPr>
        <w:t xml:space="preserve">,  לא יחתום ייאסר לתקופה של  10 יום. </w:t>
      </w:r>
    </w:p>
    <w:p w14:paraId="55B9BF1E" w14:textId="77777777" w:rsidR="005F124D" w:rsidRDefault="00D05292">
      <w:pPr>
        <w:numPr>
          <w:ilvl w:val="0"/>
          <w:numId w:val="1"/>
        </w:numPr>
        <w:ind w:right="0"/>
        <w:jc w:val="left"/>
        <w:rPr>
          <w:sz w:val="22"/>
          <w:szCs w:val="24"/>
        </w:rPr>
      </w:pPr>
      <w:r>
        <w:rPr>
          <w:rFonts w:hint="cs"/>
          <w:sz w:val="22"/>
          <w:szCs w:val="24"/>
          <w:rtl/>
        </w:rPr>
        <w:t xml:space="preserve">הנני פוסלת את הנאשם מלקבל או מלהחזיק רישיון נהיגה לתקופה של  12  חודשים וזאת על תנאי למשך  שנתיים, שלא יעבור עבירות על </w:t>
      </w:r>
      <w:hyperlink r:id="rId9" w:history="1">
        <w:r w:rsidRPr="00D05292">
          <w:rPr>
            <w:rStyle w:val="Hyperlink"/>
            <w:rFonts w:hint="eastAsia"/>
            <w:sz w:val="22"/>
            <w:szCs w:val="24"/>
            <w:rtl/>
          </w:rPr>
          <w:t>פקודת</w:t>
        </w:r>
        <w:r w:rsidRPr="00D05292">
          <w:rPr>
            <w:rStyle w:val="Hyperlink"/>
            <w:sz w:val="22"/>
            <w:szCs w:val="24"/>
            <w:rtl/>
          </w:rPr>
          <w:t xml:space="preserve"> הסמים המסוכנים</w:t>
        </w:r>
      </w:hyperlink>
      <w:r>
        <w:rPr>
          <w:rFonts w:hint="cs"/>
          <w:sz w:val="22"/>
          <w:szCs w:val="24"/>
          <w:rtl/>
        </w:rPr>
        <w:t>.</w:t>
      </w:r>
    </w:p>
    <w:p w14:paraId="51E5CFD1" w14:textId="77777777" w:rsidR="005F124D" w:rsidRDefault="00D05292">
      <w:pPr>
        <w:numPr>
          <w:ilvl w:val="0"/>
          <w:numId w:val="1"/>
        </w:numPr>
        <w:ind w:right="0"/>
        <w:jc w:val="left"/>
        <w:rPr>
          <w:sz w:val="22"/>
          <w:szCs w:val="24"/>
        </w:rPr>
      </w:pPr>
      <w:r>
        <w:rPr>
          <w:rFonts w:hint="cs"/>
          <w:sz w:val="22"/>
          <w:szCs w:val="24"/>
          <w:rtl/>
        </w:rPr>
        <w:t xml:space="preserve">הנני מחייבת את הנאשם בביצוע 180 שעות שרות לתועלת הציבור במסגרת עבודות בתחום הנוער בחברה העירונית לתרבות באשדוד בעבודות כלליות. על ביצוע העבודות יפקח שרות המבחן. </w:t>
      </w:r>
    </w:p>
    <w:p w14:paraId="786270AB" w14:textId="77777777" w:rsidR="005F124D" w:rsidRDefault="00D05292">
      <w:pPr>
        <w:numPr>
          <w:ilvl w:val="0"/>
          <w:numId w:val="1"/>
        </w:numPr>
        <w:ind w:right="0"/>
        <w:jc w:val="left"/>
        <w:rPr>
          <w:sz w:val="22"/>
          <w:szCs w:val="24"/>
        </w:rPr>
      </w:pPr>
      <w:r>
        <w:rPr>
          <w:rFonts w:hint="cs"/>
          <w:sz w:val="22"/>
          <w:szCs w:val="24"/>
          <w:rtl/>
        </w:rPr>
        <w:t xml:space="preserve">צו מבחן למשך 18 חודש במסגרת יידרש הנאשם להגיע לפגישות פרטניות ולציית לכל הנחיות שרות המבחן. </w:t>
      </w:r>
    </w:p>
    <w:p w14:paraId="738957F7" w14:textId="77777777" w:rsidR="005F124D" w:rsidRDefault="005F124D">
      <w:pPr>
        <w:jc w:val="left"/>
        <w:rPr>
          <w:sz w:val="22"/>
          <w:szCs w:val="24"/>
          <w:rtl/>
        </w:rPr>
      </w:pPr>
    </w:p>
    <w:p w14:paraId="770084B4" w14:textId="77777777" w:rsidR="005F124D" w:rsidRDefault="00D05292">
      <w:pPr>
        <w:jc w:val="left"/>
        <w:rPr>
          <w:sz w:val="22"/>
          <w:szCs w:val="24"/>
        </w:rPr>
      </w:pPr>
      <w:r>
        <w:rPr>
          <w:rFonts w:hint="cs"/>
          <w:sz w:val="22"/>
          <w:szCs w:val="24"/>
          <w:rtl/>
        </w:rPr>
        <w:t xml:space="preserve">הסם יושמד. </w:t>
      </w:r>
    </w:p>
    <w:p w14:paraId="69EFF5D5" w14:textId="77777777" w:rsidR="005F124D" w:rsidRDefault="005F124D">
      <w:pPr>
        <w:rPr>
          <w:b/>
          <w:bCs/>
          <w:sz w:val="22"/>
          <w:szCs w:val="24"/>
          <w:rtl/>
        </w:rPr>
      </w:pPr>
    </w:p>
    <w:p w14:paraId="35B6E3BE" w14:textId="77777777" w:rsidR="005F124D" w:rsidRDefault="00D05292">
      <w:pPr>
        <w:rPr>
          <w:b/>
          <w:bCs/>
          <w:sz w:val="22"/>
          <w:szCs w:val="24"/>
          <w:rtl/>
        </w:rPr>
      </w:pPr>
      <w:r>
        <w:rPr>
          <w:rFonts w:hint="cs"/>
          <w:b/>
          <w:bCs/>
          <w:sz w:val="22"/>
          <w:szCs w:val="24"/>
          <w:rtl/>
        </w:rPr>
        <w:t>זכות ערעור כחוק.</w:t>
      </w:r>
    </w:p>
    <w:bookmarkEnd w:id="8"/>
    <w:p w14:paraId="444BB110" w14:textId="77777777" w:rsidR="005F124D" w:rsidRDefault="00D05292">
      <w:pPr>
        <w:rPr>
          <w:sz w:val="6"/>
          <w:szCs w:val="6"/>
          <w:rtl/>
        </w:rPr>
      </w:pPr>
      <w:r>
        <w:rPr>
          <w:sz w:val="6"/>
          <w:szCs w:val="6"/>
          <w:rtl/>
        </w:rPr>
        <w:t>#4#&gt;</w:t>
      </w:r>
    </w:p>
    <w:p w14:paraId="26D47FC4" w14:textId="77777777" w:rsidR="005F124D" w:rsidRDefault="005F124D">
      <w:pPr>
        <w:jc w:val="right"/>
        <w:rPr>
          <w:rtl/>
        </w:rPr>
      </w:pPr>
    </w:p>
    <w:p w14:paraId="41364A96" w14:textId="77777777" w:rsidR="005F124D" w:rsidRDefault="00D05292">
      <w:pPr>
        <w:jc w:val="center"/>
        <w:rPr>
          <w:rtl/>
        </w:rPr>
      </w:pPr>
      <w:r>
        <w:rPr>
          <w:b/>
          <w:bCs/>
          <w:rtl/>
        </w:rPr>
        <w:t xml:space="preserve">ניתנה והודעה היום כ"ד תשרי תשע"ז, 26/10/2016 במעמד הנוכחים. </w:t>
      </w:r>
    </w:p>
    <w:p w14:paraId="5AD821CD" w14:textId="77777777" w:rsidR="005F124D" w:rsidRPr="00D05292" w:rsidRDefault="00D05292">
      <w:pPr>
        <w:jc w:val="right"/>
        <w:rPr>
          <w:color w:val="FFFFFF"/>
          <w:sz w:val="2"/>
          <w:szCs w:val="2"/>
          <w:rtl/>
        </w:rPr>
      </w:pPr>
      <w:r w:rsidRPr="00D05292">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F124D" w14:paraId="4339DBB4" w14:textId="77777777">
        <w:trPr>
          <w:trHeight w:val="316"/>
          <w:jc w:val="right"/>
        </w:trPr>
        <w:tc>
          <w:tcPr>
            <w:tcW w:w="3936" w:type="dxa"/>
            <w:shd w:val="clear" w:color="auto" w:fill="auto"/>
          </w:tcPr>
          <w:p w14:paraId="30958FFD" w14:textId="77777777" w:rsidR="005F124D" w:rsidRPr="00D05292" w:rsidRDefault="00D05292">
            <w:pPr>
              <w:jc w:val="center"/>
              <w:rPr>
                <w:rFonts w:ascii="Times New Roman" w:eastAsia="Times New Roman" w:hAnsi="Times New Roman" w:cs="Times New Roman"/>
                <w:color w:val="FFFFFF"/>
                <w:sz w:val="2"/>
                <w:szCs w:val="2"/>
              </w:rPr>
            </w:pPr>
            <w:r w:rsidRPr="00D05292">
              <w:rPr>
                <w:rFonts w:ascii="Times New Roman" w:eastAsia="Times New Roman" w:hAnsi="Times New Roman" w:cs="Times New Roman"/>
                <w:color w:val="FFFFFF"/>
                <w:sz w:val="2"/>
                <w:szCs w:val="2"/>
                <w:rtl/>
              </w:rPr>
              <w:t>54678313</w:t>
            </w:r>
          </w:p>
          <w:p w14:paraId="74C1A091" w14:textId="77777777" w:rsidR="005F124D" w:rsidRDefault="005F124D">
            <w:pPr>
              <w:jc w:val="center"/>
              <w:rPr>
                <w:rFonts w:ascii="Times New Roman" w:eastAsia="Times New Roman" w:hAnsi="Times New Roman" w:cs="Times New Roman"/>
                <w:rtl/>
              </w:rPr>
            </w:pPr>
          </w:p>
        </w:tc>
      </w:tr>
      <w:tr w:rsidR="005F124D" w14:paraId="44C4D113" w14:textId="77777777">
        <w:trPr>
          <w:trHeight w:val="361"/>
          <w:jc w:val="right"/>
        </w:trPr>
        <w:tc>
          <w:tcPr>
            <w:tcW w:w="3936" w:type="dxa"/>
            <w:shd w:val="clear" w:color="auto" w:fill="auto"/>
          </w:tcPr>
          <w:p w14:paraId="1DAE5A24" w14:textId="77777777" w:rsidR="005F124D" w:rsidRDefault="00D05292">
            <w:pPr>
              <w:jc w:val="center"/>
              <w:rPr>
                <w:rFonts w:ascii="Times New Roman" w:eastAsia="Times New Roman" w:hAnsi="Times New Roman"/>
                <w:b/>
                <w:bCs/>
                <w:rtl/>
              </w:rPr>
            </w:pPr>
            <w:r>
              <w:rPr>
                <w:rFonts w:ascii="Times New Roman" w:eastAsia="Times New Roman" w:hAnsi="Times New Roman" w:hint="cs"/>
                <w:b/>
                <w:bCs/>
                <w:rtl/>
              </w:rPr>
              <w:t>דינה כהן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D959002" w14:textId="77777777" w:rsidR="005F124D" w:rsidRDefault="005F124D">
      <w:pPr>
        <w:jc w:val="right"/>
        <w:rPr>
          <w:rtl/>
        </w:rPr>
      </w:pPr>
    </w:p>
    <w:p w14:paraId="7DC268DA" w14:textId="77777777" w:rsidR="005F124D" w:rsidRDefault="005F124D">
      <w:pPr>
        <w:rPr>
          <w:rtl/>
        </w:rPr>
      </w:pPr>
    </w:p>
    <w:p w14:paraId="263D6204" w14:textId="77777777" w:rsidR="005F124D" w:rsidRDefault="005F124D">
      <w:pPr>
        <w:jc w:val="center"/>
        <w:rPr>
          <w:szCs w:val="24"/>
          <w:rtl/>
        </w:rPr>
      </w:pPr>
    </w:p>
    <w:p w14:paraId="1BE5FFCF" w14:textId="77777777" w:rsidR="005F124D" w:rsidRDefault="00D05292">
      <w:pPr>
        <w:rPr>
          <w:szCs w:val="24"/>
          <w:rtl/>
        </w:rPr>
      </w:pPr>
      <w:r>
        <w:rPr>
          <w:szCs w:val="24"/>
          <w:rtl/>
        </w:rPr>
        <w:t xml:space="preserve"> </w:t>
      </w:r>
    </w:p>
    <w:p w14:paraId="61935F32" w14:textId="77777777" w:rsidR="005F124D" w:rsidRDefault="005F124D">
      <w:pPr>
        <w:rPr>
          <w:sz w:val="22"/>
          <w:szCs w:val="22"/>
          <w:rtl/>
        </w:rPr>
      </w:pPr>
    </w:p>
    <w:p w14:paraId="6DB7E770" w14:textId="77777777" w:rsidR="00D05292" w:rsidRPr="00D05292" w:rsidRDefault="00D05292" w:rsidP="00D05292">
      <w:pPr>
        <w:keepNext/>
        <w:jc w:val="left"/>
        <w:rPr>
          <w:color w:val="000000"/>
          <w:sz w:val="22"/>
          <w:szCs w:val="22"/>
          <w:rtl/>
        </w:rPr>
      </w:pPr>
    </w:p>
    <w:p w14:paraId="4336B191" w14:textId="77777777" w:rsidR="00D05292" w:rsidRPr="00D05292" w:rsidRDefault="00D05292" w:rsidP="00D05292">
      <w:pPr>
        <w:keepNext/>
        <w:jc w:val="left"/>
        <w:rPr>
          <w:color w:val="000000"/>
          <w:sz w:val="22"/>
          <w:szCs w:val="22"/>
          <w:rtl/>
        </w:rPr>
      </w:pPr>
      <w:r w:rsidRPr="00D05292">
        <w:rPr>
          <w:color w:val="000000"/>
          <w:sz w:val="22"/>
          <w:szCs w:val="22"/>
          <w:rtl/>
        </w:rPr>
        <w:t>דינה כהן 54678313</w:t>
      </w:r>
    </w:p>
    <w:p w14:paraId="2446E783" w14:textId="77777777" w:rsidR="00D05292" w:rsidRDefault="00D05292" w:rsidP="00D05292">
      <w:pPr>
        <w:jc w:val="left"/>
        <w:rPr>
          <w:color w:val="000000"/>
          <w:rtl/>
        </w:rPr>
      </w:pPr>
      <w:r w:rsidRPr="00D05292">
        <w:rPr>
          <w:color w:val="000000"/>
          <w:rtl/>
        </w:rPr>
        <w:t>נוסח מסמך זה כפוף לשינויי ניסוח ועריכה</w:t>
      </w:r>
    </w:p>
    <w:p w14:paraId="4F2C4C47" w14:textId="77777777" w:rsidR="00D05292" w:rsidRDefault="00D05292" w:rsidP="00D05292">
      <w:pPr>
        <w:jc w:val="left"/>
        <w:rPr>
          <w:rtl/>
        </w:rPr>
      </w:pPr>
    </w:p>
    <w:p w14:paraId="717728C4" w14:textId="77777777" w:rsidR="00D05292" w:rsidRDefault="00D05292" w:rsidP="00D05292">
      <w:pPr>
        <w:jc w:val="center"/>
        <w:rPr>
          <w:color w:val="0000FF"/>
          <w:szCs w:val="24"/>
          <w:u w:val="single"/>
          <w:rtl/>
        </w:rPr>
      </w:pPr>
      <w:hyperlink r:id="rId10" w:history="1">
        <w:r>
          <w:rPr>
            <w:rStyle w:val="Hyperlink"/>
            <w:rtl/>
          </w:rPr>
          <w:t>בעניין עריכה ושינויים במסמכי פסיקה, חקיקה ועוד באתר נבו – הקש כאן</w:t>
        </w:r>
      </w:hyperlink>
    </w:p>
    <w:p w14:paraId="0363D367" w14:textId="77777777" w:rsidR="005F124D" w:rsidRPr="00D05292" w:rsidRDefault="005F124D" w:rsidP="00D05292">
      <w:pPr>
        <w:jc w:val="center"/>
        <w:rPr>
          <w:color w:val="0000FF"/>
          <w:szCs w:val="24"/>
          <w:u w:val="single"/>
        </w:rPr>
      </w:pPr>
    </w:p>
    <w:sectPr w:rsidR="005F124D" w:rsidRPr="00D05292" w:rsidSect="00D05292">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3220D" w14:textId="77777777" w:rsidR="003649AA" w:rsidRDefault="003649AA">
      <w:r>
        <w:separator/>
      </w:r>
    </w:p>
  </w:endnote>
  <w:endnote w:type="continuationSeparator" w:id="0">
    <w:p w14:paraId="0404382F" w14:textId="77777777" w:rsidR="003649AA" w:rsidRDefault="0036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9B556" w14:textId="77777777" w:rsidR="003649AA" w:rsidRDefault="003649AA" w:rsidP="00D05292">
    <w:pPr>
      <w:pStyle w:val="a5"/>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9</w:t>
    </w:r>
    <w:r>
      <w:rPr>
        <w:rFonts w:ascii="FrankRuehl" w:hAnsi="FrankRuehl" w:cs="FrankRuehl"/>
        <w:szCs w:val="24"/>
        <w:rtl/>
      </w:rPr>
      <w:fldChar w:fldCharType="end"/>
    </w:r>
  </w:p>
  <w:p w14:paraId="5BDE8DF7" w14:textId="77777777" w:rsidR="003649AA" w:rsidRPr="00D05292" w:rsidRDefault="003649AA" w:rsidP="00D05292">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D05292">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89D0F" w14:textId="77777777" w:rsidR="003649AA" w:rsidRDefault="003649AA" w:rsidP="00D05292">
    <w:pPr>
      <w:pStyle w:val="a5"/>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F642A4">
      <w:rPr>
        <w:rFonts w:ascii="FrankRuehl" w:hAnsi="FrankRuehl" w:cs="FrankRuehl"/>
        <w:noProof/>
        <w:szCs w:val="24"/>
        <w:rtl/>
      </w:rPr>
      <w:t>1</w:t>
    </w:r>
    <w:r>
      <w:rPr>
        <w:rFonts w:ascii="FrankRuehl" w:hAnsi="FrankRuehl" w:cs="FrankRuehl"/>
        <w:szCs w:val="24"/>
        <w:rtl/>
      </w:rPr>
      <w:fldChar w:fldCharType="end"/>
    </w:r>
  </w:p>
  <w:p w14:paraId="04CDEEE4" w14:textId="77777777" w:rsidR="003649AA" w:rsidRPr="00D05292" w:rsidRDefault="003649AA" w:rsidP="00D05292">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D05292">
      <w:rPr>
        <w:rFonts w:ascii="FrankRuehl" w:hAnsi="FrankRuehl" w:cs="FrankRuehl"/>
        <w:color w:val="000000"/>
        <w:szCs w:val="24"/>
      </w:rPr>
      <w:pict w14:anchorId="5D7CC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494B8" w14:textId="77777777" w:rsidR="003649AA" w:rsidRDefault="003649AA">
      <w:r>
        <w:separator/>
      </w:r>
    </w:p>
  </w:footnote>
  <w:footnote w:type="continuationSeparator" w:id="0">
    <w:p w14:paraId="0E3E7329" w14:textId="77777777" w:rsidR="003649AA" w:rsidRDefault="00364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BD801" w14:textId="77777777" w:rsidR="003649AA" w:rsidRPr="00D05292" w:rsidRDefault="003649AA" w:rsidP="00D05292">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4495-06-14</w:t>
    </w:r>
    <w:r>
      <w:rPr>
        <w:color w:val="000000"/>
        <w:sz w:val="22"/>
        <w:szCs w:val="22"/>
        <w:rtl/>
      </w:rPr>
      <w:tab/>
      <w:t xml:space="preserve"> מדינת ישראל נ' שי שמעון בנישו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995A" w14:textId="77777777" w:rsidR="003649AA" w:rsidRPr="00D05292" w:rsidRDefault="003649AA" w:rsidP="00D05292">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4495-06-14</w:t>
    </w:r>
    <w:r>
      <w:rPr>
        <w:color w:val="000000"/>
        <w:sz w:val="22"/>
        <w:szCs w:val="22"/>
        <w:rtl/>
      </w:rPr>
      <w:tab/>
      <w:t xml:space="preserve"> מדינת ישראל נ' שי שמעון בנישו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C7169"/>
    <w:multiLevelType w:val="hybridMultilevel"/>
    <w:tmpl w:val="29B2E438"/>
    <w:lvl w:ilvl="0" w:tplc="70DC4C8C">
      <w:start w:val="1"/>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309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124D"/>
    <w:rsid w:val="000A782A"/>
    <w:rsid w:val="003649AA"/>
    <w:rsid w:val="0056387E"/>
    <w:rsid w:val="005F124D"/>
    <w:rsid w:val="008C0C66"/>
    <w:rsid w:val="00D05292"/>
    <w:rsid w:val="00F642A4"/>
    <w:rsid w:val="00F844B1"/>
    <w:rsid w:val="00FD34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EB2B96"/>
  <w15:chartTrackingRefBased/>
  <w15:docId w15:val="{806A9B2E-63A7-439B-BC81-BFA4FEF5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124D"/>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F124D"/>
  </w:style>
  <w:style w:type="paragraph" w:styleId="a4">
    <w:name w:val="header"/>
    <w:basedOn w:val="a"/>
    <w:rsid w:val="005F124D"/>
    <w:pPr>
      <w:tabs>
        <w:tab w:val="center" w:pos="4153"/>
        <w:tab w:val="right" w:pos="8306"/>
      </w:tabs>
    </w:pPr>
  </w:style>
  <w:style w:type="paragraph" w:styleId="a5">
    <w:name w:val="footer"/>
    <w:basedOn w:val="a"/>
    <w:rsid w:val="005F124D"/>
    <w:pPr>
      <w:tabs>
        <w:tab w:val="center" w:pos="4153"/>
        <w:tab w:val="right" w:pos="8306"/>
      </w:tabs>
    </w:pPr>
  </w:style>
  <w:style w:type="character" w:styleId="a6">
    <w:name w:val="page number"/>
    <w:basedOn w:val="a0"/>
    <w:rsid w:val="005F124D"/>
  </w:style>
  <w:style w:type="character" w:styleId="Hyperlink">
    <w:name w:val="Hyperlink"/>
    <w:basedOn w:val="a0"/>
    <w:rsid w:val="00D052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4495</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שי שמעון בנישו</vt:lpwstr>
  </property>
  <property fmtid="{D5CDD505-2E9C-101B-9397-08002B2CF9AE}" pid="10" name="LAWYER">
    <vt:lpwstr>קלייר עמיאל;אורלי אמוץ ממשרד בן יהודה</vt:lpwstr>
  </property>
  <property fmtid="{D5CDD505-2E9C-101B-9397-08002B2CF9AE}" pid="11" name="JUDGE">
    <vt:lpwstr>דינה כהן</vt:lpwstr>
  </property>
  <property fmtid="{D5CDD505-2E9C-101B-9397-08002B2CF9AE}" pid="12" name="CITY">
    <vt:lpwstr>ק"ג</vt:lpwstr>
  </property>
  <property fmtid="{D5CDD505-2E9C-101B-9397-08002B2CF9AE}" pid="13" name="DATE">
    <vt:lpwstr>20161026</vt:lpwstr>
  </property>
  <property fmtid="{D5CDD505-2E9C-101B-9397-08002B2CF9AE}" pid="14" name="TYPE_N_DATE">
    <vt:lpwstr>38020161026</vt:lpwstr>
  </property>
  <property fmtid="{D5CDD505-2E9C-101B-9397-08002B2CF9AE}" pid="15" name="LAWLISTTMP1">
    <vt:lpwstr>4216:2</vt:lpwstr>
  </property>
  <property fmtid="{D5CDD505-2E9C-101B-9397-08002B2CF9AE}" pid="16" name="WORDNUMPAGES">
    <vt:lpwstr>2</vt:lpwstr>
  </property>
  <property fmtid="{D5CDD505-2E9C-101B-9397-08002B2CF9AE}" pid="17" name="TYPE_ABS_DATE">
    <vt:lpwstr>380020161026</vt:lpwstr>
  </property>
  <property fmtid="{D5CDD505-2E9C-101B-9397-08002B2CF9AE}" pid="18" name="ISABSTRACT">
    <vt:lpwstr>Y</vt:lpwstr>
  </property>
</Properties>
</file>