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326C28" w:rsidRPr="001F4317" w14:paraId="5ED8827A" w14:textId="77777777">
        <w:trPr>
          <w:trHeight w:hRule="exact" w:val="418"/>
          <w:jc w:val="center"/>
        </w:trPr>
        <w:tc>
          <w:tcPr>
            <w:tcW w:w="8720" w:type="dxa"/>
            <w:gridSpan w:val="3"/>
          </w:tcPr>
          <w:p w14:paraId="004E81DC" w14:textId="77777777" w:rsidR="00326C28" w:rsidRPr="001F4317" w:rsidRDefault="001F4317">
            <w:pPr>
              <w:pStyle w:val="a3"/>
              <w:tabs>
                <w:tab w:val="clear" w:pos="8306"/>
              </w:tabs>
              <w:jc w:val="center"/>
              <w:rPr>
                <w:rFonts w:ascii="Tahoma" w:hAnsi="Tahoma" w:cs="Tahoma"/>
                <w:b/>
                <w:bCs/>
                <w:color w:val="000080"/>
                <w:sz w:val="20"/>
                <w:szCs w:val="20"/>
                <w:rtl/>
              </w:rPr>
            </w:pPr>
            <w:bookmarkStart w:id="0" w:name="LastJudge"/>
            <w:r w:rsidRPr="001F4317">
              <w:rPr>
                <w:rFonts w:ascii="Tahoma" w:hAnsi="Tahoma" w:cs="Tahoma" w:hint="cs"/>
                <w:b/>
                <w:bCs/>
                <w:color w:val="000080"/>
                <w:sz w:val="20"/>
                <w:szCs w:val="20"/>
                <w:rtl/>
              </w:rPr>
              <w:t>בתי המשפט</w:t>
            </w:r>
          </w:p>
        </w:tc>
      </w:tr>
      <w:tr w:rsidR="00326C28" w:rsidRPr="001F4317" w14:paraId="000374DB" w14:textId="77777777">
        <w:trPr>
          <w:trHeight w:val="709"/>
          <w:jc w:val="center"/>
        </w:trPr>
        <w:tc>
          <w:tcPr>
            <w:tcW w:w="4805" w:type="dxa"/>
          </w:tcPr>
          <w:p w14:paraId="33126CF2" w14:textId="77777777" w:rsidR="00326C28" w:rsidRPr="001F4317" w:rsidRDefault="001F4317">
            <w:pPr>
              <w:rPr>
                <w:b/>
                <w:bCs/>
                <w:sz w:val="28"/>
                <w:szCs w:val="28"/>
                <w:rtl/>
              </w:rPr>
            </w:pPr>
            <w:r w:rsidRPr="001F4317">
              <w:rPr>
                <w:rFonts w:hint="cs"/>
                <w:b/>
                <w:bCs/>
                <w:sz w:val="28"/>
                <w:szCs w:val="28"/>
                <w:rtl/>
              </w:rPr>
              <w:t>בית משפט השלום קריית גת</w:t>
            </w:r>
          </w:p>
        </w:tc>
        <w:tc>
          <w:tcPr>
            <w:tcW w:w="236" w:type="dxa"/>
            <w:vMerge w:val="restart"/>
          </w:tcPr>
          <w:p w14:paraId="64EA53FB" w14:textId="77777777" w:rsidR="00326C28" w:rsidRPr="001F4317" w:rsidRDefault="00326C28">
            <w:pPr>
              <w:pStyle w:val="a3"/>
              <w:jc w:val="right"/>
              <w:rPr>
                <w:b/>
                <w:bCs/>
                <w:sz w:val="28"/>
                <w:szCs w:val="28"/>
                <w:rtl/>
              </w:rPr>
            </w:pPr>
          </w:p>
        </w:tc>
        <w:tc>
          <w:tcPr>
            <w:tcW w:w="3679" w:type="dxa"/>
            <w:vMerge w:val="restart"/>
          </w:tcPr>
          <w:p w14:paraId="0CA4BCBF" w14:textId="77777777" w:rsidR="00326C28" w:rsidRPr="001F4317" w:rsidRDefault="001F4317">
            <w:pPr>
              <w:jc w:val="right"/>
              <w:rPr>
                <w:b/>
                <w:bCs/>
                <w:sz w:val="28"/>
                <w:szCs w:val="28"/>
                <w:rtl/>
              </w:rPr>
            </w:pPr>
            <w:r w:rsidRPr="001F4317">
              <w:rPr>
                <w:b/>
                <w:bCs/>
                <w:sz w:val="28"/>
                <w:szCs w:val="28"/>
                <w:rtl/>
              </w:rPr>
              <w:t>ת"פ</w:t>
            </w:r>
            <w:r w:rsidRPr="001F4317">
              <w:rPr>
                <w:rFonts w:hint="cs"/>
                <w:b/>
                <w:bCs/>
                <w:sz w:val="28"/>
                <w:szCs w:val="28"/>
                <w:rtl/>
              </w:rPr>
              <w:t xml:space="preserve"> </w:t>
            </w:r>
            <w:r w:rsidRPr="001F4317">
              <w:rPr>
                <w:b/>
                <w:bCs/>
                <w:sz w:val="28"/>
                <w:szCs w:val="28"/>
                <w:rtl/>
              </w:rPr>
              <w:t>3752-07-14</w:t>
            </w:r>
          </w:p>
          <w:p w14:paraId="26E9A8D4" w14:textId="77777777" w:rsidR="00326C28" w:rsidRPr="001F4317" w:rsidRDefault="00326C28">
            <w:pPr>
              <w:pStyle w:val="a3"/>
              <w:tabs>
                <w:tab w:val="clear" w:pos="4153"/>
              </w:tabs>
              <w:jc w:val="right"/>
              <w:rPr>
                <w:b/>
                <w:bCs/>
                <w:sz w:val="20"/>
                <w:szCs w:val="20"/>
                <w:rtl/>
              </w:rPr>
            </w:pPr>
          </w:p>
          <w:p w14:paraId="6CFEA4C1" w14:textId="77777777" w:rsidR="00326C28" w:rsidRPr="001F4317" w:rsidRDefault="001F4317">
            <w:pPr>
              <w:pStyle w:val="a3"/>
              <w:tabs>
                <w:tab w:val="clear" w:pos="4153"/>
              </w:tabs>
              <w:jc w:val="right"/>
              <w:rPr>
                <w:b/>
                <w:bCs/>
                <w:sz w:val="28"/>
                <w:szCs w:val="28"/>
                <w:rtl/>
              </w:rPr>
            </w:pPr>
            <w:r w:rsidRPr="001F4317">
              <w:rPr>
                <w:b/>
                <w:bCs/>
                <w:sz w:val="28"/>
                <w:szCs w:val="28"/>
                <w:rtl/>
              </w:rPr>
              <w:t>19 מרץ 2015</w:t>
            </w:r>
          </w:p>
        </w:tc>
      </w:tr>
      <w:tr w:rsidR="00326C28" w:rsidRPr="001F4317" w14:paraId="68FAE8E0" w14:textId="77777777">
        <w:trPr>
          <w:trHeight w:val="547"/>
          <w:jc w:val="center"/>
        </w:trPr>
        <w:tc>
          <w:tcPr>
            <w:tcW w:w="4805" w:type="dxa"/>
          </w:tcPr>
          <w:p w14:paraId="1FA6A909" w14:textId="77777777" w:rsidR="00326C28" w:rsidRPr="001F4317" w:rsidRDefault="001F4317">
            <w:pPr>
              <w:rPr>
                <w:b/>
                <w:bCs/>
                <w:sz w:val="28"/>
                <w:szCs w:val="28"/>
                <w:rtl/>
              </w:rPr>
            </w:pPr>
            <w:r w:rsidRPr="001F4317">
              <w:rPr>
                <w:rFonts w:hint="cs"/>
                <w:b/>
                <w:bCs/>
                <w:sz w:val="28"/>
                <w:szCs w:val="28"/>
                <w:rtl/>
              </w:rPr>
              <w:t>בפני: כב' ה</w:t>
            </w:r>
            <w:r w:rsidRPr="001F4317">
              <w:rPr>
                <w:b/>
                <w:bCs/>
                <w:sz w:val="28"/>
                <w:szCs w:val="28"/>
                <w:rtl/>
              </w:rPr>
              <w:t>שופטת בכירה רובין לביא</w:t>
            </w:r>
          </w:p>
        </w:tc>
        <w:tc>
          <w:tcPr>
            <w:tcW w:w="236" w:type="dxa"/>
            <w:vMerge/>
          </w:tcPr>
          <w:p w14:paraId="57AF8FF1" w14:textId="77777777" w:rsidR="00326C28" w:rsidRPr="001F4317" w:rsidRDefault="00326C28">
            <w:pPr>
              <w:pStyle w:val="a3"/>
              <w:jc w:val="right"/>
              <w:rPr>
                <w:b/>
                <w:bCs/>
                <w:sz w:val="28"/>
                <w:szCs w:val="28"/>
                <w:rtl/>
              </w:rPr>
            </w:pPr>
          </w:p>
        </w:tc>
        <w:tc>
          <w:tcPr>
            <w:tcW w:w="3679" w:type="dxa"/>
            <w:vMerge/>
          </w:tcPr>
          <w:p w14:paraId="0531F7C5" w14:textId="77777777" w:rsidR="00326C28" w:rsidRPr="001F4317" w:rsidRDefault="00326C28">
            <w:pPr>
              <w:jc w:val="right"/>
              <w:rPr>
                <w:b/>
                <w:bCs/>
                <w:sz w:val="28"/>
                <w:szCs w:val="28"/>
                <w:rtl/>
              </w:rPr>
            </w:pPr>
          </w:p>
        </w:tc>
      </w:tr>
    </w:tbl>
    <w:p w14:paraId="7CC4CEEF" w14:textId="77777777" w:rsidR="00326C28" w:rsidRPr="001F4317" w:rsidRDefault="00326C28">
      <w:pPr>
        <w:pStyle w:val="a3"/>
        <w:jc w:val="center"/>
        <w:rPr>
          <w:rFonts w:ascii="Tahoma" w:hAnsi="Tahoma" w:cs="Tahoma"/>
          <w:b/>
          <w:bCs/>
          <w:color w:val="000080"/>
          <w:sz w:val="20"/>
          <w:szCs w:val="20"/>
          <w:rtl/>
        </w:rPr>
      </w:pPr>
    </w:p>
    <w:p w14:paraId="2543A6CE" w14:textId="77777777" w:rsidR="00326C28" w:rsidRPr="001F4317" w:rsidRDefault="00326C28">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326C28" w:rsidRPr="001F4317" w14:paraId="5FDD0620" w14:textId="77777777">
        <w:tc>
          <w:tcPr>
            <w:tcW w:w="945" w:type="dxa"/>
          </w:tcPr>
          <w:p w14:paraId="2F62E99B" w14:textId="77777777" w:rsidR="00326C28" w:rsidRPr="001F4317" w:rsidRDefault="001F4317">
            <w:pPr>
              <w:jc w:val="left"/>
              <w:rPr>
                <w:rFonts w:ascii="Times New Roman" w:eastAsia="Times New Roman" w:hAnsi="Times New Roman"/>
                <w:b/>
                <w:bCs/>
                <w:sz w:val="26"/>
                <w:rtl/>
              </w:rPr>
            </w:pPr>
            <w:bookmarkStart w:id="1" w:name="FirstAppellant"/>
            <w:r w:rsidRPr="001F4317">
              <w:rPr>
                <w:rFonts w:ascii="Times New Roman" w:eastAsia="Times New Roman" w:hAnsi="Times New Roman" w:hint="cs"/>
                <w:b/>
                <w:bCs/>
                <w:sz w:val="26"/>
                <w:rtl/>
              </w:rPr>
              <w:t>בעניין:</w:t>
            </w:r>
          </w:p>
        </w:tc>
        <w:tc>
          <w:tcPr>
            <w:tcW w:w="7857" w:type="dxa"/>
            <w:gridSpan w:val="4"/>
          </w:tcPr>
          <w:p w14:paraId="00A89EB4" w14:textId="77777777" w:rsidR="00326C28" w:rsidRPr="001F4317" w:rsidRDefault="001F4317">
            <w:pPr>
              <w:jc w:val="left"/>
              <w:rPr>
                <w:rFonts w:ascii="Times New Roman" w:eastAsia="Times New Roman" w:hAnsi="Times New Roman"/>
                <w:b/>
                <w:bCs/>
                <w:sz w:val="26"/>
                <w:rtl/>
              </w:rPr>
            </w:pPr>
            <w:r w:rsidRPr="001F4317">
              <w:rPr>
                <w:rFonts w:ascii="Times New Roman" w:eastAsia="Times New Roman" w:hAnsi="Times New Roman" w:hint="cs"/>
                <w:b/>
                <w:bCs/>
                <w:sz w:val="26"/>
                <w:rtl/>
              </w:rPr>
              <w:t>מדינת ישראל</w:t>
            </w:r>
          </w:p>
        </w:tc>
      </w:tr>
      <w:bookmarkEnd w:id="1"/>
      <w:tr w:rsidR="00326C28" w:rsidRPr="001F4317" w14:paraId="726E4C7B" w14:textId="77777777">
        <w:trPr>
          <w:gridAfter w:val="1"/>
          <w:wAfter w:w="106" w:type="dxa"/>
        </w:trPr>
        <w:tc>
          <w:tcPr>
            <w:tcW w:w="945" w:type="dxa"/>
          </w:tcPr>
          <w:p w14:paraId="3D40F64F" w14:textId="77777777" w:rsidR="00326C28" w:rsidRPr="001F4317" w:rsidRDefault="00326C28">
            <w:pPr>
              <w:ind w:left="26"/>
              <w:jc w:val="left"/>
              <w:rPr>
                <w:rFonts w:ascii="Times New Roman" w:eastAsia="Times New Roman" w:hAnsi="Times New Roman"/>
                <w:b/>
                <w:bCs/>
                <w:sz w:val="26"/>
                <w:rtl/>
              </w:rPr>
            </w:pPr>
          </w:p>
        </w:tc>
        <w:tc>
          <w:tcPr>
            <w:tcW w:w="6416" w:type="dxa"/>
          </w:tcPr>
          <w:p w14:paraId="0035FD3C" w14:textId="77777777" w:rsidR="00326C28" w:rsidRPr="001F4317" w:rsidRDefault="00326C28">
            <w:pPr>
              <w:jc w:val="left"/>
              <w:rPr>
                <w:rFonts w:ascii="Times New Roman" w:eastAsia="Times New Roman" w:hAnsi="Times New Roman"/>
                <w:b/>
                <w:bCs/>
                <w:sz w:val="26"/>
                <w:rtl/>
              </w:rPr>
            </w:pPr>
          </w:p>
        </w:tc>
        <w:tc>
          <w:tcPr>
            <w:tcW w:w="1335" w:type="dxa"/>
            <w:gridSpan w:val="2"/>
          </w:tcPr>
          <w:p w14:paraId="324093AE" w14:textId="77777777" w:rsidR="00326C28" w:rsidRPr="001F4317" w:rsidRDefault="001F4317">
            <w:pPr>
              <w:ind w:left="26"/>
              <w:jc w:val="left"/>
              <w:rPr>
                <w:rFonts w:ascii="Times New Roman" w:eastAsia="Times New Roman" w:hAnsi="Times New Roman"/>
                <w:b/>
                <w:bCs/>
                <w:sz w:val="26"/>
                <w:rtl/>
              </w:rPr>
            </w:pPr>
            <w:r w:rsidRPr="001F4317">
              <w:rPr>
                <w:rFonts w:ascii="Times New Roman" w:eastAsia="Times New Roman" w:hAnsi="Times New Roman" w:hint="cs"/>
                <w:b/>
                <w:bCs/>
                <w:sz w:val="26"/>
                <w:rtl/>
              </w:rPr>
              <w:t>המאשימה</w:t>
            </w:r>
          </w:p>
        </w:tc>
      </w:tr>
      <w:tr w:rsidR="00326C28" w:rsidRPr="001F4317" w14:paraId="1995445F" w14:textId="77777777">
        <w:trPr>
          <w:gridAfter w:val="1"/>
          <w:wAfter w:w="106" w:type="dxa"/>
        </w:trPr>
        <w:tc>
          <w:tcPr>
            <w:tcW w:w="8696" w:type="dxa"/>
            <w:gridSpan w:val="4"/>
          </w:tcPr>
          <w:p w14:paraId="0C7903D9" w14:textId="77777777" w:rsidR="00326C28" w:rsidRPr="001F4317" w:rsidRDefault="001F4317">
            <w:pPr>
              <w:jc w:val="center"/>
              <w:rPr>
                <w:rFonts w:ascii="Arial" w:eastAsia="Times New Roman" w:hAnsi="Arial"/>
                <w:b/>
                <w:bCs/>
                <w:sz w:val="26"/>
              </w:rPr>
            </w:pPr>
            <w:r w:rsidRPr="001F4317">
              <w:rPr>
                <w:rFonts w:ascii="Arial" w:eastAsia="Times New Roman" w:hAnsi="Arial"/>
                <w:b/>
                <w:bCs/>
                <w:sz w:val="26"/>
                <w:rtl/>
              </w:rPr>
              <w:t>נ</w:t>
            </w:r>
            <w:r w:rsidRPr="001F4317">
              <w:rPr>
                <w:rFonts w:ascii="Arial" w:eastAsia="Times New Roman" w:hAnsi="Arial" w:hint="cs"/>
                <w:b/>
                <w:bCs/>
                <w:sz w:val="26"/>
                <w:rtl/>
              </w:rPr>
              <w:t xml:space="preserve"> </w:t>
            </w:r>
            <w:r w:rsidRPr="001F4317">
              <w:rPr>
                <w:rFonts w:ascii="Arial" w:eastAsia="Times New Roman" w:hAnsi="Arial"/>
                <w:b/>
                <w:bCs/>
                <w:sz w:val="26"/>
                <w:rtl/>
              </w:rPr>
              <w:t>ג</w:t>
            </w:r>
            <w:r w:rsidRPr="001F4317">
              <w:rPr>
                <w:rFonts w:ascii="Arial" w:eastAsia="Times New Roman" w:hAnsi="Arial" w:hint="cs"/>
                <w:b/>
                <w:bCs/>
                <w:sz w:val="26"/>
                <w:rtl/>
              </w:rPr>
              <w:t xml:space="preserve"> </w:t>
            </w:r>
            <w:r w:rsidRPr="001F4317">
              <w:rPr>
                <w:rFonts w:ascii="Arial" w:eastAsia="Times New Roman" w:hAnsi="Arial"/>
                <w:b/>
                <w:bCs/>
                <w:sz w:val="26"/>
                <w:rtl/>
              </w:rPr>
              <w:t>ד</w:t>
            </w:r>
          </w:p>
        </w:tc>
      </w:tr>
      <w:tr w:rsidR="00326C28" w:rsidRPr="001F4317" w14:paraId="47C80378" w14:textId="77777777">
        <w:trPr>
          <w:gridAfter w:val="1"/>
          <w:wAfter w:w="106" w:type="dxa"/>
        </w:trPr>
        <w:tc>
          <w:tcPr>
            <w:tcW w:w="945" w:type="dxa"/>
          </w:tcPr>
          <w:p w14:paraId="0E6CAE42" w14:textId="77777777" w:rsidR="00326C28" w:rsidRPr="001F4317" w:rsidRDefault="00326C28">
            <w:pPr>
              <w:ind w:left="26"/>
              <w:rPr>
                <w:rFonts w:ascii="Times New Roman" w:eastAsia="Times New Roman" w:hAnsi="Times New Roman"/>
                <w:b/>
                <w:bCs/>
                <w:sz w:val="26"/>
                <w:rtl/>
              </w:rPr>
            </w:pPr>
          </w:p>
        </w:tc>
        <w:tc>
          <w:tcPr>
            <w:tcW w:w="6435" w:type="dxa"/>
            <w:gridSpan w:val="2"/>
          </w:tcPr>
          <w:p w14:paraId="7A65C0DC" w14:textId="77777777" w:rsidR="00326C28" w:rsidRPr="001F4317" w:rsidRDefault="001F4317">
            <w:pPr>
              <w:jc w:val="left"/>
              <w:rPr>
                <w:b/>
                <w:bCs/>
                <w:sz w:val="26"/>
                <w:rtl/>
              </w:rPr>
            </w:pPr>
            <w:r w:rsidRPr="001F4317">
              <w:rPr>
                <w:rFonts w:ascii="Times New Roman" w:eastAsia="Times New Roman" w:hAnsi="Times New Roman" w:hint="cs"/>
                <w:rtl/>
              </w:rPr>
              <w:t>רפאל ביטון</w:t>
            </w:r>
            <w:r w:rsidRPr="001F4317">
              <w:rPr>
                <w:rFonts w:ascii="Times New Roman" w:eastAsia="Times New Roman" w:hAnsi="Times New Roman" w:hint="cs"/>
                <w:b/>
                <w:bCs/>
                <w:sz w:val="26"/>
                <w:rtl/>
              </w:rPr>
              <w:t xml:space="preserve"> </w:t>
            </w:r>
            <w:r w:rsidRPr="001F4317">
              <w:rPr>
                <w:rFonts w:ascii="Times New Roman" w:eastAsia="Times New Roman" w:hAnsi="Times New Roman" w:hint="cs"/>
                <w:rtl/>
              </w:rPr>
              <w:t>ת.ז.</w:t>
            </w:r>
            <w:r w:rsidRPr="001F4317">
              <w:rPr>
                <w:rFonts w:ascii="Times New Roman" w:eastAsia="Times New Roman" w:hAnsi="Times New Roman" w:hint="cs"/>
                <w:b/>
                <w:bCs/>
                <w:sz w:val="26"/>
                <w:rtl/>
              </w:rPr>
              <w:t xml:space="preserve"> </w:t>
            </w:r>
            <w:r w:rsidRPr="001F4317">
              <w:rPr>
                <w:rFonts w:ascii="Times New Roman" w:eastAsia="Times New Roman" w:hAnsi="Times New Roman" w:hint="cs"/>
                <w:rtl/>
              </w:rPr>
              <w:t>307874107</w:t>
            </w:r>
          </w:p>
        </w:tc>
        <w:tc>
          <w:tcPr>
            <w:tcW w:w="1316" w:type="dxa"/>
          </w:tcPr>
          <w:p w14:paraId="2CA4C28A" w14:textId="77777777" w:rsidR="00326C28" w:rsidRPr="001F4317" w:rsidRDefault="00326C28">
            <w:pPr>
              <w:rPr>
                <w:rFonts w:ascii="Times New Roman" w:eastAsia="Times New Roman" w:hAnsi="Times New Roman"/>
                <w:b/>
                <w:bCs/>
                <w:sz w:val="26"/>
                <w:rtl/>
              </w:rPr>
            </w:pPr>
          </w:p>
        </w:tc>
      </w:tr>
      <w:tr w:rsidR="00326C28" w:rsidRPr="001F4317" w14:paraId="4B99ED5D" w14:textId="77777777">
        <w:trPr>
          <w:gridAfter w:val="1"/>
          <w:wAfter w:w="106" w:type="dxa"/>
        </w:trPr>
        <w:tc>
          <w:tcPr>
            <w:tcW w:w="945" w:type="dxa"/>
          </w:tcPr>
          <w:p w14:paraId="5F39FC8A" w14:textId="77777777" w:rsidR="00326C28" w:rsidRPr="001F4317" w:rsidRDefault="00326C28">
            <w:pPr>
              <w:ind w:left="26"/>
              <w:jc w:val="left"/>
              <w:rPr>
                <w:rFonts w:ascii="Times New Roman" w:eastAsia="Times New Roman" w:hAnsi="Times New Roman"/>
                <w:b/>
                <w:bCs/>
                <w:sz w:val="26"/>
                <w:rtl/>
              </w:rPr>
            </w:pPr>
          </w:p>
        </w:tc>
        <w:tc>
          <w:tcPr>
            <w:tcW w:w="6435" w:type="dxa"/>
            <w:gridSpan w:val="2"/>
          </w:tcPr>
          <w:p w14:paraId="4E9A3431" w14:textId="77777777" w:rsidR="00326C28" w:rsidRPr="001F4317" w:rsidRDefault="00326C28">
            <w:pPr>
              <w:jc w:val="left"/>
              <w:rPr>
                <w:rFonts w:ascii="Times New Roman" w:eastAsia="Times New Roman" w:hAnsi="Times New Roman"/>
                <w:b/>
                <w:bCs/>
                <w:sz w:val="26"/>
                <w:rtl/>
              </w:rPr>
            </w:pPr>
          </w:p>
        </w:tc>
        <w:tc>
          <w:tcPr>
            <w:tcW w:w="1316" w:type="dxa"/>
          </w:tcPr>
          <w:p w14:paraId="0CD11186" w14:textId="77777777" w:rsidR="00326C28" w:rsidRPr="001F4317" w:rsidRDefault="001F4317">
            <w:pPr>
              <w:jc w:val="left"/>
              <w:rPr>
                <w:rFonts w:ascii="Times New Roman" w:eastAsia="Times New Roman" w:hAnsi="Times New Roman"/>
                <w:b/>
                <w:bCs/>
                <w:sz w:val="26"/>
                <w:rtl/>
              </w:rPr>
            </w:pPr>
            <w:r w:rsidRPr="001F4317">
              <w:rPr>
                <w:rFonts w:ascii="Times New Roman" w:eastAsia="Times New Roman" w:hAnsi="Times New Roman" w:hint="cs"/>
                <w:b/>
                <w:bCs/>
                <w:sz w:val="26"/>
                <w:rtl/>
              </w:rPr>
              <w:t>הנאשם</w:t>
            </w:r>
          </w:p>
        </w:tc>
      </w:tr>
    </w:tbl>
    <w:p w14:paraId="6B33DEA7" w14:textId="77777777" w:rsidR="00326C28" w:rsidRPr="001F4317" w:rsidRDefault="00326C28">
      <w:pPr>
        <w:rPr>
          <w:rFonts w:ascii="Arial" w:hAnsi="Arial"/>
          <w:b/>
          <w:bCs/>
          <w:sz w:val="26"/>
          <w:rtl/>
        </w:rPr>
      </w:pPr>
    </w:p>
    <w:p w14:paraId="3FF18CA7" w14:textId="77777777" w:rsidR="00326C28" w:rsidRPr="001F4317" w:rsidRDefault="001F4317">
      <w:pPr>
        <w:rPr>
          <w:rFonts w:ascii="Arial" w:hAnsi="Arial"/>
          <w:b/>
          <w:bCs/>
          <w:sz w:val="26"/>
          <w:rtl/>
        </w:rPr>
      </w:pPr>
      <w:r w:rsidRPr="001F4317">
        <w:rPr>
          <w:rFonts w:ascii="Arial" w:hAnsi="Arial" w:hint="cs"/>
          <w:b/>
          <w:bCs/>
          <w:sz w:val="26"/>
          <w:rtl/>
        </w:rPr>
        <w:t>נוכחים:</w:t>
      </w:r>
    </w:p>
    <w:p w14:paraId="30ADB05F" w14:textId="77777777" w:rsidR="00326C28" w:rsidRPr="001F4317" w:rsidRDefault="001F4317">
      <w:pPr>
        <w:rPr>
          <w:rtl/>
        </w:rPr>
      </w:pPr>
      <w:bookmarkStart w:id="2" w:name="FirstLawyer"/>
      <w:r w:rsidRPr="001F4317">
        <w:rPr>
          <w:rFonts w:hint="cs"/>
          <w:rtl/>
        </w:rPr>
        <w:t>ב"כ</w:t>
      </w:r>
      <w:bookmarkEnd w:id="2"/>
      <w:r w:rsidRPr="001F4317">
        <w:rPr>
          <w:rFonts w:hint="cs"/>
          <w:rtl/>
        </w:rPr>
        <w:t xml:space="preserve"> המאשימה עו"ד </w:t>
      </w:r>
      <w:r w:rsidRPr="001F4317">
        <w:rPr>
          <w:rtl/>
        </w:rPr>
        <w:t>–</w:t>
      </w:r>
      <w:r w:rsidRPr="001F4317">
        <w:rPr>
          <w:rFonts w:hint="cs"/>
          <w:rtl/>
        </w:rPr>
        <w:t xml:space="preserve"> ליפז סימני </w:t>
      </w:r>
    </w:p>
    <w:p w14:paraId="1253EDDA" w14:textId="77777777" w:rsidR="00326C28" w:rsidRPr="001F4317" w:rsidRDefault="001F4317">
      <w:pPr>
        <w:rPr>
          <w:rtl/>
        </w:rPr>
      </w:pPr>
      <w:r w:rsidRPr="001F4317">
        <w:rPr>
          <w:rFonts w:hint="cs"/>
          <w:rtl/>
        </w:rPr>
        <w:t xml:space="preserve">הנאשם -     בעצמו                  ובא כוחו עו"ד </w:t>
      </w:r>
      <w:r w:rsidRPr="001F4317">
        <w:rPr>
          <w:rtl/>
        </w:rPr>
        <w:t>–</w:t>
      </w:r>
      <w:r w:rsidRPr="001F4317">
        <w:rPr>
          <w:rFonts w:hint="cs"/>
          <w:rtl/>
        </w:rPr>
        <w:t xml:space="preserve"> דוגמן בשם פנינה בן יוסף </w:t>
      </w:r>
    </w:p>
    <w:p w14:paraId="38D886A8" w14:textId="77777777" w:rsidR="00326C28" w:rsidRPr="001F4317" w:rsidRDefault="001F4317">
      <w:pPr>
        <w:rPr>
          <w:sz w:val="6"/>
          <w:szCs w:val="6"/>
          <w:rtl/>
        </w:rPr>
      </w:pPr>
      <w:r w:rsidRPr="001F4317">
        <w:rPr>
          <w:sz w:val="6"/>
          <w:szCs w:val="6"/>
          <w:rtl/>
        </w:rPr>
        <w:t>&lt;#1#&gt;</w:t>
      </w:r>
    </w:p>
    <w:p w14:paraId="65B2B94A" w14:textId="77777777" w:rsidR="00326C28" w:rsidRPr="001F4317" w:rsidRDefault="00326C28">
      <w:pPr>
        <w:pStyle w:val="12"/>
        <w:rPr>
          <w:b w:val="0"/>
          <w:bCs w:val="0"/>
          <w:u w:val="none"/>
          <w:rtl/>
        </w:rPr>
      </w:pPr>
    </w:p>
    <w:p w14:paraId="147B390E" w14:textId="77777777" w:rsidR="00550CD2" w:rsidRDefault="001F4317" w:rsidP="00550CD2">
      <w:pPr>
        <w:jc w:val="center"/>
        <w:rPr>
          <w:rFonts w:ascii="Arial" w:hAnsi="Arial"/>
          <w:color w:val="FF0000"/>
          <w:sz w:val="28"/>
          <w:szCs w:val="24"/>
          <w:rtl/>
        </w:rPr>
      </w:pPr>
      <w:r w:rsidRPr="001F4317">
        <w:rPr>
          <w:rFonts w:ascii="Arial" w:hAnsi="Arial"/>
          <w:b/>
          <w:color w:val="FF0000"/>
          <w:sz w:val="28"/>
          <w:szCs w:val="24"/>
          <w:rtl/>
        </w:rPr>
        <w:t>במסמך זה הושמטו פרוטוקולי</w:t>
      </w:r>
      <w:bookmarkStart w:id="3" w:name="LawTable"/>
      <w:bookmarkEnd w:id="3"/>
    </w:p>
    <w:p w14:paraId="56489A83" w14:textId="77777777" w:rsidR="00550CD2" w:rsidRPr="00550CD2" w:rsidRDefault="00550CD2" w:rsidP="00550CD2">
      <w:pPr>
        <w:spacing w:after="120" w:line="240" w:lineRule="exact"/>
        <w:ind w:left="283" w:hanging="283"/>
        <w:rPr>
          <w:rFonts w:ascii="FrankRuehl" w:hAnsi="FrankRuehl" w:cs="FrankRuehl"/>
          <w:color w:val="FF0000"/>
          <w:szCs w:val="24"/>
          <w:rtl/>
        </w:rPr>
      </w:pPr>
    </w:p>
    <w:p w14:paraId="3A5C77EB" w14:textId="77777777" w:rsidR="00550CD2" w:rsidRPr="00550CD2" w:rsidRDefault="00550CD2" w:rsidP="00550CD2">
      <w:pPr>
        <w:spacing w:after="120" w:line="240" w:lineRule="exact"/>
        <w:ind w:left="283" w:hanging="283"/>
        <w:rPr>
          <w:rFonts w:ascii="FrankRuehl" w:hAnsi="FrankRuehl" w:cs="FrankRuehl"/>
          <w:color w:val="FF0000"/>
          <w:szCs w:val="24"/>
          <w:rtl/>
        </w:rPr>
      </w:pPr>
      <w:r w:rsidRPr="00550CD2">
        <w:rPr>
          <w:rFonts w:ascii="FrankRuehl" w:hAnsi="FrankRuehl" w:cs="FrankRuehl"/>
          <w:color w:val="FF0000"/>
          <w:szCs w:val="24"/>
          <w:rtl/>
        </w:rPr>
        <w:t xml:space="preserve">חקיקה שאוזכרה: </w:t>
      </w:r>
    </w:p>
    <w:p w14:paraId="08715488" w14:textId="77777777" w:rsidR="00550CD2" w:rsidRPr="00550CD2" w:rsidRDefault="00550CD2" w:rsidP="00550CD2">
      <w:pPr>
        <w:spacing w:after="120" w:line="240" w:lineRule="exact"/>
        <w:ind w:left="283" w:hanging="283"/>
        <w:rPr>
          <w:rFonts w:ascii="FrankRuehl" w:hAnsi="FrankRuehl" w:cs="FrankRuehl"/>
          <w:szCs w:val="24"/>
          <w:rtl/>
        </w:rPr>
      </w:pPr>
      <w:hyperlink r:id="rId6" w:history="1">
        <w:r w:rsidRPr="00550CD2">
          <w:rPr>
            <w:rFonts w:ascii="FrankRuehl" w:hAnsi="FrankRuehl" w:cs="FrankRuehl"/>
            <w:color w:val="0000FF"/>
            <w:szCs w:val="24"/>
            <w:u w:val="single"/>
            <w:rtl/>
          </w:rPr>
          <w:t>חוק העונשין, תשל"ז-1977</w:t>
        </w:r>
      </w:hyperlink>
    </w:p>
    <w:p w14:paraId="7EC496EE" w14:textId="77777777" w:rsidR="00550CD2" w:rsidRPr="00550CD2" w:rsidRDefault="00550CD2" w:rsidP="00550CD2">
      <w:pPr>
        <w:spacing w:after="120" w:line="240" w:lineRule="exact"/>
        <w:ind w:left="283" w:hanging="283"/>
        <w:rPr>
          <w:rFonts w:ascii="FrankRuehl" w:hAnsi="FrankRuehl" w:cs="FrankRuehl"/>
          <w:szCs w:val="24"/>
          <w:rtl/>
        </w:rPr>
      </w:pPr>
      <w:hyperlink r:id="rId7" w:history="1">
        <w:r w:rsidRPr="00550CD2">
          <w:rPr>
            <w:rFonts w:ascii="FrankRuehl" w:hAnsi="FrankRuehl" w:cs="FrankRuehl"/>
            <w:color w:val="0000FF"/>
            <w:szCs w:val="24"/>
            <w:u w:val="single"/>
            <w:rtl/>
          </w:rPr>
          <w:t>פקודת הסמים המסוכנים [נוסח חדש], תשל"ג-1973</w:t>
        </w:r>
      </w:hyperlink>
    </w:p>
    <w:p w14:paraId="56DF2B23" w14:textId="77777777" w:rsidR="00550CD2" w:rsidRPr="00550CD2" w:rsidRDefault="00550CD2" w:rsidP="00550CD2">
      <w:pPr>
        <w:spacing w:after="120" w:line="240" w:lineRule="exact"/>
        <w:ind w:left="283" w:hanging="283"/>
        <w:rPr>
          <w:rFonts w:ascii="FrankRuehl" w:hAnsi="FrankRuehl" w:cs="FrankRuehl"/>
          <w:szCs w:val="24"/>
          <w:rtl/>
        </w:rPr>
      </w:pPr>
    </w:p>
    <w:p w14:paraId="4A86AF29" w14:textId="77777777" w:rsidR="00550CD2" w:rsidRPr="00550CD2" w:rsidRDefault="00550CD2" w:rsidP="00550CD2">
      <w:pPr>
        <w:jc w:val="center"/>
        <w:rPr>
          <w:rFonts w:ascii="Arial" w:hAnsi="Arial"/>
          <w:sz w:val="28"/>
          <w:szCs w:val="24"/>
          <w:rtl/>
        </w:rPr>
      </w:pPr>
      <w:bookmarkStart w:id="4" w:name="LawTable_End"/>
      <w:bookmarkEnd w:id="4"/>
    </w:p>
    <w:p w14:paraId="2BFAA2BE" w14:textId="77777777" w:rsidR="00550CD2" w:rsidRPr="00550CD2" w:rsidRDefault="00550CD2" w:rsidP="00550CD2">
      <w:pPr>
        <w:jc w:val="center"/>
        <w:rPr>
          <w:rFonts w:ascii="Arial" w:hAnsi="Arial"/>
          <w:b/>
          <w:color w:val="FF0000"/>
          <w:sz w:val="28"/>
          <w:szCs w:val="24"/>
          <w:rtl/>
        </w:rPr>
      </w:pPr>
    </w:p>
    <w:p w14:paraId="49422D9D" w14:textId="77777777" w:rsidR="00CB5D0E" w:rsidRPr="00CB5D0E" w:rsidRDefault="001F4317" w:rsidP="00550CD2">
      <w:pPr>
        <w:jc w:val="center"/>
        <w:rPr>
          <w:rFonts w:ascii="FrankRuehl" w:hAnsi="FrankRuehl" w:cs="FrankRuehl"/>
          <w:szCs w:val="24"/>
          <w:rtl/>
        </w:rPr>
      </w:pPr>
      <w:r w:rsidRPr="00550CD2">
        <w:rPr>
          <w:rFonts w:ascii="Arial" w:hAnsi="Arial"/>
          <w:b/>
          <w:color w:val="FF0000"/>
          <w:sz w:val="28"/>
          <w:szCs w:val="24"/>
          <w:rtl/>
        </w:rPr>
        <w:t>ם</w:t>
      </w:r>
    </w:p>
    <w:p w14:paraId="0ADCAAAB" w14:textId="77777777" w:rsidR="001F4317" w:rsidRPr="001F4317" w:rsidRDefault="001F4317" w:rsidP="001F4317">
      <w:pPr>
        <w:jc w:val="center"/>
        <w:rPr>
          <w:rFonts w:ascii="Arial" w:hAnsi="Arial"/>
          <w:b/>
          <w:bCs/>
          <w:sz w:val="28"/>
          <w:szCs w:val="28"/>
          <w:u w:val="single"/>
          <w:rtl/>
        </w:rPr>
      </w:pPr>
      <w:bookmarkStart w:id="5" w:name="PsakDin"/>
      <w:bookmarkEnd w:id="0"/>
      <w:r w:rsidRPr="001F4317">
        <w:rPr>
          <w:rFonts w:ascii="Arial" w:hAnsi="Arial"/>
          <w:b/>
          <w:bCs/>
          <w:sz w:val="28"/>
          <w:szCs w:val="28"/>
          <w:u w:val="single"/>
          <w:rtl/>
        </w:rPr>
        <w:t>גזר דין</w:t>
      </w:r>
    </w:p>
    <w:bookmarkEnd w:id="5"/>
    <w:p w14:paraId="4E8C124D" w14:textId="77777777" w:rsidR="00326C28" w:rsidRDefault="001F4317">
      <w:pPr>
        <w:rPr>
          <w:szCs w:val="24"/>
        </w:rPr>
      </w:pPr>
      <w:r>
        <w:rPr>
          <w:szCs w:val="24"/>
          <w:rtl/>
        </w:rPr>
        <w:t xml:space="preserve"> </w:t>
      </w:r>
    </w:p>
    <w:p w14:paraId="6EA6E5F1" w14:textId="77777777" w:rsidR="00326C28" w:rsidRDefault="001F4317">
      <w:pPr>
        <w:rPr>
          <w:rFonts w:ascii="Arial" w:hAnsi="Arial"/>
          <w:rtl/>
        </w:rPr>
      </w:pPr>
      <w:bookmarkStart w:id="6" w:name="ABSTRACT_START"/>
      <w:bookmarkEnd w:id="6"/>
      <w:r>
        <w:rPr>
          <w:rFonts w:ascii="Arial" w:hAnsi="Arial" w:hint="cs"/>
          <w:rtl/>
        </w:rPr>
        <w:t>הנאשם הודה והורשע במסגרת הסדר טיעון בכך  שביום 26.6.14 ,בשעה 22:55 ,החזיק ברכבו מתחת למושב, סם מסוכן מסוג קוקאין ,במשקל 4.53 גרם נטו, שלא לצריכתו העצמית.</w:t>
      </w:r>
    </w:p>
    <w:p w14:paraId="13D043D1" w14:textId="77777777" w:rsidR="00326C28" w:rsidRDefault="001F4317">
      <w:pPr>
        <w:rPr>
          <w:rFonts w:ascii="Arial" w:hAnsi="Arial"/>
          <w:rtl/>
        </w:rPr>
      </w:pPr>
      <w:r>
        <w:rPr>
          <w:rFonts w:ascii="Arial" w:hAnsi="Arial" w:hint="cs"/>
          <w:rtl/>
        </w:rPr>
        <w:t>על פי ההסדר נדחה לקבלת תסקיר, והתביעה הודיעה כי עתירתה למאסר עם רכיבים הרתעתיים וקנס, בעוד הסנגורית עותרת להימנע מהרשעה.</w:t>
      </w:r>
    </w:p>
    <w:p w14:paraId="37C666BE" w14:textId="77777777" w:rsidR="00326C28" w:rsidRDefault="00326C28">
      <w:pPr>
        <w:rPr>
          <w:rFonts w:ascii="Arial" w:hAnsi="Arial"/>
          <w:rtl/>
        </w:rPr>
      </w:pPr>
      <w:bookmarkStart w:id="7" w:name="ABSTRACT_END"/>
      <w:bookmarkEnd w:id="7"/>
    </w:p>
    <w:p w14:paraId="51605B3E" w14:textId="77777777" w:rsidR="00326C28" w:rsidRDefault="001F4317">
      <w:pPr>
        <w:rPr>
          <w:rFonts w:ascii="Arial" w:hAnsi="Arial"/>
          <w:rtl/>
        </w:rPr>
      </w:pPr>
      <w:r>
        <w:rPr>
          <w:rFonts w:ascii="Arial" w:hAnsi="Arial" w:hint="cs"/>
          <w:rtl/>
        </w:rPr>
        <w:lastRenderedPageBreak/>
        <w:t>מהתסקיר עולה כי הנאשם כבן 22, רווק, עבד בהרכבת חלונות אלומיניום, השלים 12 שנות לימוד ובעל תעודת בגרות מלאה, התגייס ליחידת כפיר כלוחם, אך בעקבות בעיות רפואיות הועבר לתפקיד תומך לחימה , וכעבור שנתיים שוחרר על רקע קשיי הסתגלות.</w:t>
      </w:r>
    </w:p>
    <w:p w14:paraId="789939A7" w14:textId="77777777" w:rsidR="00326C28" w:rsidRDefault="001F4317">
      <w:pPr>
        <w:rPr>
          <w:rFonts w:ascii="Arial" w:hAnsi="Arial"/>
          <w:rtl/>
        </w:rPr>
      </w:pPr>
      <w:r>
        <w:rPr>
          <w:rFonts w:ascii="Arial" w:hAnsi="Arial" w:hint="cs"/>
          <w:rtl/>
        </w:rPr>
        <w:t>אביו שירת במג"ב שנים ארוכות והוא גדל במשפחה בה מערכת יחסים מורכבת עם תקשורת לקויה.</w:t>
      </w:r>
    </w:p>
    <w:p w14:paraId="2945BD98" w14:textId="77777777" w:rsidR="00326C28" w:rsidRDefault="001F4317">
      <w:pPr>
        <w:rPr>
          <w:rFonts w:ascii="Arial" w:hAnsi="Arial"/>
          <w:rtl/>
        </w:rPr>
      </w:pPr>
      <w:r>
        <w:rPr>
          <w:rFonts w:ascii="Arial" w:hAnsi="Arial" w:hint="cs"/>
          <w:rtl/>
        </w:rPr>
        <w:t>לאחרונה אביו פרש ומערכת יחסיו עימו השתפרה מאד וגם אחותו מעוניינת לסייע לו.</w:t>
      </w:r>
    </w:p>
    <w:p w14:paraId="738748DB" w14:textId="77777777" w:rsidR="00326C28" w:rsidRDefault="001F4317">
      <w:pPr>
        <w:rPr>
          <w:rFonts w:ascii="Arial" w:hAnsi="Arial"/>
          <w:rtl/>
        </w:rPr>
      </w:pPr>
      <w:r>
        <w:rPr>
          <w:rFonts w:ascii="Arial" w:hAnsi="Arial" w:hint="cs"/>
          <w:rtl/>
        </w:rPr>
        <w:t>הנאשם לוקח אחריות  על העבירה, מביע בושה וחרטה,  אך טוען כי החזיק בסם לצריכתו העצמית בלבד.</w:t>
      </w:r>
    </w:p>
    <w:p w14:paraId="2802F531" w14:textId="77777777" w:rsidR="00326C28" w:rsidRDefault="001F4317">
      <w:pPr>
        <w:rPr>
          <w:rFonts w:ascii="Arial" w:hAnsi="Arial"/>
          <w:rtl/>
        </w:rPr>
      </w:pPr>
      <w:r>
        <w:rPr>
          <w:rFonts w:ascii="Arial" w:hAnsi="Arial" w:hint="cs"/>
          <w:rtl/>
        </w:rPr>
        <w:t>מאז מעצרו מבקש הוא לשקם חייו ולנתבם לאפיק נורמטיבי.</w:t>
      </w:r>
    </w:p>
    <w:p w14:paraId="1485278E" w14:textId="77777777" w:rsidR="00326C28" w:rsidRDefault="001F4317">
      <w:pPr>
        <w:rPr>
          <w:rFonts w:ascii="Arial" w:hAnsi="Arial"/>
          <w:rtl/>
        </w:rPr>
      </w:pPr>
      <w:r>
        <w:rPr>
          <w:rFonts w:ascii="Arial" w:hAnsi="Arial" w:hint="cs"/>
          <w:rtl/>
        </w:rPr>
        <w:t xml:space="preserve">לטענתו נחשף לשימוש בקנביס בצבא וכשהשתחרר נחשף לקוקאין  וביקש להמשיך לצרוך סם  זה אך נתפס. כיום מודע לכך שהדרך בה בחר אינה אפקטיבית והיא מזיקה. </w:t>
      </w:r>
    </w:p>
    <w:p w14:paraId="534B2264" w14:textId="77777777" w:rsidR="00326C28" w:rsidRDefault="001F4317">
      <w:pPr>
        <w:rPr>
          <w:rFonts w:ascii="Arial" w:hAnsi="Arial"/>
          <w:rtl/>
        </w:rPr>
      </w:pPr>
      <w:r>
        <w:rPr>
          <w:rFonts w:ascii="Arial" w:hAnsi="Arial" w:hint="cs"/>
          <w:rtl/>
        </w:rPr>
        <w:t>בדיקות שתן שמסר היו נקיות והם התרשמו מבחור בעל יכולות לשתף ולהיפתח, אשר חרף משברים הצליח לתפקד.</w:t>
      </w:r>
    </w:p>
    <w:p w14:paraId="04732BD3" w14:textId="77777777" w:rsidR="00326C28" w:rsidRDefault="001F4317">
      <w:pPr>
        <w:rPr>
          <w:rFonts w:ascii="Arial" w:hAnsi="Arial"/>
          <w:rtl/>
        </w:rPr>
      </w:pPr>
      <w:r>
        <w:rPr>
          <w:rFonts w:ascii="Arial" w:hAnsi="Arial" w:hint="cs"/>
          <w:rtl/>
        </w:rPr>
        <w:t>קיימת נזקקות טיפולית והם סבורים כי מענה טיפולי יפחית רמת הסיכון.</w:t>
      </w:r>
    </w:p>
    <w:p w14:paraId="5164FACB" w14:textId="77777777" w:rsidR="00326C28" w:rsidRDefault="001F4317">
      <w:pPr>
        <w:rPr>
          <w:rFonts w:ascii="Arial" w:hAnsi="Arial"/>
          <w:rtl/>
        </w:rPr>
      </w:pPr>
      <w:r>
        <w:rPr>
          <w:rFonts w:ascii="Arial" w:hAnsi="Arial" w:hint="cs"/>
          <w:rtl/>
        </w:rPr>
        <w:t>הוא הופנה לקבוצת הכנה  ועלה כי מתקשה לשתף בתכנים רגשיים בקבוצה, יחד עם זאת מכיר בנזקקות הטיפולית שלו ולכן  החל בטיפול פסיכולוגי עצמאי דרך קופ"ח לפני מספר חודשים, ונתרם ממנו . לכן שרות המבחן המליצו על צו מבחן  יחד עם צו של"צ בהיקף 300 שעות, והתחייבות, ולבטל ההרשעה מחשש שתמנע ממנו להתקבל לעבודה במקורות .</w:t>
      </w:r>
    </w:p>
    <w:p w14:paraId="29F61FFB" w14:textId="77777777" w:rsidR="00326C28" w:rsidRDefault="00326C28">
      <w:pPr>
        <w:rPr>
          <w:rFonts w:ascii="Arial" w:hAnsi="Arial"/>
          <w:rtl/>
        </w:rPr>
      </w:pPr>
    </w:p>
    <w:p w14:paraId="623598AE" w14:textId="77777777" w:rsidR="00326C28" w:rsidRDefault="001F4317">
      <w:pPr>
        <w:rPr>
          <w:rFonts w:ascii="Arial" w:hAnsi="Arial"/>
          <w:rtl/>
        </w:rPr>
      </w:pPr>
      <w:r>
        <w:rPr>
          <w:rFonts w:ascii="Arial" w:hAnsi="Arial" w:hint="cs"/>
          <w:rtl/>
        </w:rPr>
        <w:t xml:space="preserve">התביעה טוענת כי דבריו לקצינת המבחן אינם עולים בקנה אחד עם הודאתו בהחזקת הסם שלא לצריכה עצמית ועם גרסתו המיידית במשטרה כי אינו  צורך סמים בעצמו. </w:t>
      </w:r>
    </w:p>
    <w:p w14:paraId="3D2F2367" w14:textId="77777777" w:rsidR="00326C28" w:rsidRDefault="001F4317">
      <w:pPr>
        <w:rPr>
          <w:rFonts w:ascii="Arial" w:hAnsi="Arial"/>
          <w:rtl/>
        </w:rPr>
      </w:pPr>
      <w:r>
        <w:rPr>
          <w:rFonts w:ascii="Arial" w:hAnsi="Arial" w:hint="cs"/>
          <w:rtl/>
        </w:rPr>
        <w:t>מתברר כי הוא נתפס בעת רכישת סם, אף שלא הוא היה היעד, אלא המוכר.</w:t>
      </w:r>
    </w:p>
    <w:p w14:paraId="546DF83D" w14:textId="77777777" w:rsidR="00326C28" w:rsidRDefault="001F4317">
      <w:pPr>
        <w:rPr>
          <w:rFonts w:ascii="Arial" w:hAnsi="Arial"/>
          <w:rtl/>
        </w:rPr>
      </w:pPr>
      <w:r>
        <w:rPr>
          <w:rFonts w:ascii="Arial" w:hAnsi="Arial" w:hint="cs"/>
          <w:rtl/>
        </w:rPr>
        <w:t>קצינת המבחן אישרה כי המלצתם מתבססת על טענתו שהחזיק בסם לצריכתו העצמית .</w:t>
      </w:r>
    </w:p>
    <w:p w14:paraId="19D9237D" w14:textId="77777777" w:rsidR="00326C28" w:rsidRDefault="00326C28">
      <w:pPr>
        <w:rPr>
          <w:rFonts w:ascii="Arial" w:hAnsi="Arial"/>
          <w:rtl/>
        </w:rPr>
      </w:pPr>
    </w:p>
    <w:p w14:paraId="3A333865" w14:textId="77777777" w:rsidR="00326C28" w:rsidRDefault="001F4317">
      <w:pPr>
        <w:rPr>
          <w:rFonts w:ascii="Arial" w:hAnsi="Arial"/>
          <w:rtl/>
        </w:rPr>
      </w:pPr>
      <w:r>
        <w:rPr>
          <w:rFonts w:ascii="Arial" w:hAnsi="Arial" w:hint="cs"/>
          <w:rtl/>
        </w:rPr>
        <w:t>מדובר במי שעברו נקי והתביעה עומדת על עתירתה למאסר, בעוד הסנגורית שבה ומבקשת לאמץ המלצת שרות המבחן ולבטל ההרשעה אף שהנאשם לא חוזר בו מהודאה בעבירה המיוחסת לו.</w:t>
      </w:r>
    </w:p>
    <w:p w14:paraId="5A074731" w14:textId="77777777" w:rsidR="00326C28" w:rsidRDefault="00326C28">
      <w:pPr>
        <w:rPr>
          <w:rFonts w:ascii="Arial" w:hAnsi="Arial"/>
          <w:rtl/>
        </w:rPr>
      </w:pPr>
    </w:p>
    <w:p w14:paraId="64430E19" w14:textId="77777777" w:rsidR="00326C28" w:rsidRDefault="001F4317">
      <w:pPr>
        <w:rPr>
          <w:rFonts w:ascii="Arial" w:hAnsi="Arial"/>
          <w:rtl/>
        </w:rPr>
      </w:pPr>
      <w:r>
        <w:rPr>
          <w:rFonts w:ascii="Arial" w:hAnsi="Arial" w:hint="cs"/>
          <w:rtl/>
        </w:rPr>
        <w:t>שמעתי את אביו של הנאשם שהגיע לביהמ"ש למרות כעסו הרב על בנו בשל ביצוע העבירה, וביקש להתחשב בו לאור הדרך הטיפולית שעבר. אף הוא סבור שהנאשם רכש הסם לצריכתו העצמית וכי התבייש להודות בכך. לדבריו הוא מנסה לשלב אותו בעבודה בקצ"א אך לא יקלט שם עם הרשעה.</w:t>
      </w:r>
    </w:p>
    <w:p w14:paraId="7B80B31D" w14:textId="77777777" w:rsidR="00326C28" w:rsidRDefault="00326C28">
      <w:pPr>
        <w:rPr>
          <w:rFonts w:ascii="Arial" w:hAnsi="Arial"/>
          <w:rtl/>
        </w:rPr>
      </w:pPr>
    </w:p>
    <w:p w14:paraId="13645E2B" w14:textId="77777777" w:rsidR="00326C28" w:rsidRDefault="001F4317">
      <w:pPr>
        <w:rPr>
          <w:rFonts w:ascii="Arial" w:hAnsi="Arial"/>
          <w:rtl/>
        </w:rPr>
      </w:pPr>
      <w:r>
        <w:rPr>
          <w:rFonts w:ascii="Arial" w:hAnsi="Arial" w:hint="cs"/>
          <w:rtl/>
        </w:rPr>
        <w:lastRenderedPageBreak/>
        <w:t>התביעה עותרת למתחם עונשי הנע בין 8 ל-18 חודשי מאסר, ובמקרה זה מבקשת עונש של שנת מאסר, תוך שמפנה לפסיקה.</w:t>
      </w:r>
    </w:p>
    <w:p w14:paraId="0C7D4A33" w14:textId="77777777" w:rsidR="00326C28" w:rsidRDefault="00326C28">
      <w:pPr>
        <w:rPr>
          <w:rFonts w:ascii="Arial" w:hAnsi="Arial"/>
          <w:rtl/>
        </w:rPr>
      </w:pPr>
    </w:p>
    <w:p w14:paraId="3D94514E" w14:textId="77777777" w:rsidR="00326C28" w:rsidRDefault="001F4317">
      <w:pPr>
        <w:rPr>
          <w:rFonts w:ascii="Arial" w:hAnsi="Arial"/>
          <w:rtl/>
        </w:rPr>
      </w:pPr>
      <w:r>
        <w:rPr>
          <w:rFonts w:ascii="Arial" w:hAnsi="Arial" w:hint="cs"/>
          <w:rtl/>
        </w:rPr>
        <w:t xml:space="preserve">הסנגורית מאשרת המתחם אולם טוענת כי ניתן להפחית ממנו משיקולי שיקום. </w:t>
      </w:r>
    </w:p>
    <w:p w14:paraId="7E0001D0" w14:textId="77777777" w:rsidR="00326C28" w:rsidRDefault="001F4317">
      <w:pPr>
        <w:rPr>
          <w:rFonts w:ascii="Arial" w:hAnsi="Arial"/>
          <w:rtl/>
        </w:rPr>
      </w:pPr>
      <w:r>
        <w:rPr>
          <w:rFonts w:ascii="Arial" w:hAnsi="Arial" w:hint="cs"/>
          <w:rtl/>
        </w:rPr>
        <w:t>לדבריה בהתחשב בכך שמדובר בנאשם צעיר, שעברו נקי, יש להתייחס אליו כאל בגיר- צעיר ובהתאם להעדיף שיקולי השיקום , ומפנה אף היא לפסיקה.</w:t>
      </w:r>
    </w:p>
    <w:p w14:paraId="615278A7" w14:textId="77777777" w:rsidR="00326C28" w:rsidRDefault="00326C28">
      <w:pPr>
        <w:rPr>
          <w:rFonts w:ascii="Arial" w:hAnsi="Arial"/>
          <w:rtl/>
        </w:rPr>
      </w:pPr>
    </w:p>
    <w:p w14:paraId="33EB94AE" w14:textId="77777777" w:rsidR="00326C28" w:rsidRDefault="001F4317">
      <w:pPr>
        <w:rPr>
          <w:rFonts w:ascii="Arial" w:hAnsi="Arial"/>
          <w:rtl/>
        </w:rPr>
      </w:pPr>
      <w:r>
        <w:rPr>
          <w:rFonts w:ascii="Arial" w:hAnsi="Arial" w:hint="cs"/>
          <w:rtl/>
        </w:rPr>
        <w:t>שמעתי הנאשם שהעיד אודות המשברים שפקדו אותו אשר לדבריו הובילו אותו לצרוך סמים קשים. לטענתו כיום  מעוניין לפתוח דף חדש.</w:t>
      </w:r>
    </w:p>
    <w:p w14:paraId="6FB3B445" w14:textId="77777777" w:rsidR="00326C28" w:rsidRDefault="00326C28">
      <w:pPr>
        <w:rPr>
          <w:rFonts w:ascii="Arial" w:hAnsi="Arial"/>
          <w:rtl/>
        </w:rPr>
      </w:pPr>
    </w:p>
    <w:p w14:paraId="5C17ABD5" w14:textId="77777777" w:rsidR="00326C28" w:rsidRDefault="00326C28">
      <w:pPr>
        <w:rPr>
          <w:rFonts w:ascii="Arial" w:hAnsi="Arial"/>
          <w:rtl/>
        </w:rPr>
      </w:pPr>
    </w:p>
    <w:p w14:paraId="1327F275" w14:textId="77777777" w:rsidR="00326C28" w:rsidRDefault="001F4317">
      <w:pPr>
        <w:rPr>
          <w:rFonts w:ascii="Times New Roman" w:hAnsi="Times New Roman"/>
          <w:noProof/>
          <w:rtl/>
        </w:rPr>
      </w:pPr>
      <w:r>
        <w:rPr>
          <w:rFonts w:hint="cs"/>
          <w:rtl/>
        </w:rPr>
        <w:t>הערך החברתי המוגן  הינו הצורך להגן על בריאותו ושלומו הפיסי והנפשי של הציבור, ולמנוע הפגיעה והנזק לחברה, הנגרמים מהתופעה הקשה של ההתמכרות לחומרים פסיכואקטיביים, משני תודעה.  הנזק נגרם לא רק במישרין מעצם צריכת החומר, אלא גם במעשי העבירה  הנלווים  לכך , ונובעים מהצורך להשביע הרעב הבלתי נדלה לסמים . הסכנה הנשקפת לכן ממי שמהווה חוליה בשרשרת הפצת הסמים , ידועה, ולא בכדי קבע המחוקק בצד העבירה בה הורשע הנאשם, מאסר לתקופה של 20 שנה, בדומה לסחר.</w:t>
      </w:r>
    </w:p>
    <w:p w14:paraId="7E8D3171" w14:textId="77777777" w:rsidR="00326C28" w:rsidRDefault="00326C28">
      <w:pPr>
        <w:rPr>
          <w:rtl/>
        </w:rPr>
      </w:pPr>
    </w:p>
    <w:p w14:paraId="09AEAC12" w14:textId="77777777" w:rsidR="00326C28" w:rsidRDefault="001F4317">
      <w:pPr>
        <w:rPr>
          <w:rtl/>
        </w:rPr>
      </w:pPr>
      <w:r>
        <w:rPr>
          <w:rFonts w:hint="cs"/>
          <w:rtl/>
        </w:rPr>
        <w:t xml:space="preserve"> נקבע לא אחת בפסיקה כי על בתי המשפט להירתם למלחמת חורמה בתופעה קשה זו המתפשטת וחודרת לכל שכבה של החברה, ובעיקר בקרב בני הנוער והבגירים הצעירים. </w:t>
      </w:r>
    </w:p>
    <w:p w14:paraId="0D0BF74C" w14:textId="77777777" w:rsidR="00326C28" w:rsidRDefault="001F4317">
      <w:pPr>
        <w:rPr>
          <w:rtl/>
        </w:rPr>
      </w:pPr>
      <w:r>
        <w:rPr>
          <w:rFonts w:hint="cs"/>
          <w:rtl/>
        </w:rPr>
        <w:t xml:space="preserve"> מדובר בתופעה קשה שהשתרשה בקרב תלמידי בתי הספר,החיילים, הסטודנטים,מובטלים ,ועוד.</w:t>
      </w:r>
    </w:p>
    <w:p w14:paraId="1F1AE066" w14:textId="77777777" w:rsidR="00326C28" w:rsidRDefault="00326C28">
      <w:pPr>
        <w:rPr>
          <w:rtl/>
        </w:rPr>
      </w:pPr>
    </w:p>
    <w:p w14:paraId="651F6EF6" w14:textId="77777777" w:rsidR="00326C28" w:rsidRDefault="001F4317">
      <w:pPr>
        <w:rPr>
          <w:rtl/>
        </w:rPr>
      </w:pPr>
      <w:r>
        <w:rPr>
          <w:rFonts w:hint="cs"/>
          <w:rtl/>
        </w:rPr>
        <w:t xml:space="preserve">סם הקוקאין, בשונה מסמים קנבואידים , הינו יקר יותר, והכמויות הנצרכות ממנו קטנות . </w:t>
      </w:r>
    </w:p>
    <w:p w14:paraId="01F0BF45" w14:textId="77777777" w:rsidR="00326C28" w:rsidRDefault="001F4317">
      <w:pPr>
        <w:rPr>
          <w:rtl/>
        </w:rPr>
      </w:pPr>
      <w:r>
        <w:rPr>
          <w:rFonts w:hint="cs"/>
          <w:rtl/>
        </w:rPr>
        <w:t xml:space="preserve">טענת הנאשם כאילו רכש הסם משום שמצא חן בעיניו, ולכן התכוון להתחיל לצרוך  קוקאין, אינה עולה בקנה אחד עם הכמות הגדולה יחסית שרכש, כמות שהיא גדולה פי 15 מהכמות המקימה על פי החוק חזקה כי נועדה למטרת סחר, שאף היא כידוע  יותר ממנה אחת. </w:t>
      </w:r>
    </w:p>
    <w:p w14:paraId="0BE65CC3" w14:textId="77777777" w:rsidR="00326C28" w:rsidRDefault="001F4317">
      <w:pPr>
        <w:rPr>
          <w:rtl/>
        </w:rPr>
      </w:pPr>
      <w:r>
        <w:rPr>
          <w:rFonts w:hint="cs"/>
          <w:rtl/>
        </w:rPr>
        <w:t>גרסתו המיידית של הנאשם על פיה אינו משתמש בקוקאין אמינה עלי יותר, ולא בכדי בחר הוא להודות בעבירה כלשונה ולא לנהל הוכחות.</w:t>
      </w:r>
    </w:p>
    <w:p w14:paraId="1F815C24" w14:textId="77777777" w:rsidR="00326C28" w:rsidRDefault="001F4317">
      <w:pPr>
        <w:rPr>
          <w:rtl/>
        </w:rPr>
      </w:pPr>
      <w:r>
        <w:rPr>
          <w:rFonts w:hint="cs"/>
          <w:rtl/>
        </w:rPr>
        <w:t>בה במידה יש בכך להסביר מדוע לא סבל מתסמונת גמילה , ולא היה צורך לשלבו במסגרת לגמילה פיסית מסמים, ומדוע כל בדיקות השתן שלו נמצאו נקיות.</w:t>
      </w:r>
    </w:p>
    <w:p w14:paraId="40B89D7F" w14:textId="77777777" w:rsidR="00326C28" w:rsidRDefault="001F4317">
      <w:pPr>
        <w:rPr>
          <w:rtl/>
        </w:rPr>
      </w:pPr>
      <w:r>
        <w:rPr>
          <w:rFonts w:hint="cs"/>
          <w:rtl/>
        </w:rPr>
        <w:t>בין אם התכוון למכור, בין אם קנה עבור חברים, הכמות שרכש איננה גבולית, ואין להקל בה ראש.</w:t>
      </w:r>
    </w:p>
    <w:p w14:paraId="057EE639" w14:textId="77777777" w:rsidR="00326C28" w:rsidRDefault="00326C28">
      <w:pPr>
        <w:rPr>
          <w:rtl/>
        </w:rPr>
      </w:pPr>
    </w:p>
    <w:p w14:paraId="7052C2AA" w14:textId="77777777" w:rsidR="00326C28" w:rsidRDefault="001F4317">
      <w:pPr>
        <w:rPr>
          <w:rtl/>
        </w:rPr>
      </w:pPr>
      <w:r>
        <w:rPr>
          <w:rFonts w:hint="cs"/>
          <w:rtl/>
        </w:rPr>
        <w:t>מדיניות ביהמ"ש העליון, באשר לעונש הראוי בנסיבות אלה הינה כפי שזו באה לידי ביטוי כבר ב</w:t>
      </w:r>
      <w:hyperlink r:id="rId8" w:history="1">
        <w:r w:rsidRPr="001F4317">
          <w:rPr>
            <w:color w:val="0000FF"/>
            <w:u w:val="single"/>
            <w:rtl/>
          </w:rPr>
          <w:t>ע"פ 966/94</w:t>
        </w:r>
      </w:hyperlink>
      <w:r>
        <w:rPr>
          <w:rFonts w:hint="cs"/>
          <w:rtl/>
        </w:rPr>
        <w:t xml:space="preserve">, </w:t>
      </w:r>
      <w:r>
        <w:rPr>
          <w:rFonts w:hint="cs"/>
          <w:b/>
          <w:bCs/>
          <w:rtl/>
        </w:rPr>
        <w:t>אלי אמזלג נ' מד"י</w:t>
      </w:r>
      <w:r>
        <w:rPr>
          <w:rFonts w:hint="cs"/>
          <w:rtl/>
        </w:rPr>
        <w:t>, (ת"ק על' 95 (4) עמ' 176, 184), שם צויין כי:</w:t>
      </w:r>
    </w:p>
    <w:p w14:paraId="3202E92C" w14:textId="77777777" w:rsidR="00326C28" w:rsidRDefault="00326C28">
      <w:pPr>
        <w:rPr>
          <w:rtl/>
        </w:rPr>
      </w:pPr>
    </w:p>
    <w:p w14:paraId="34B808BD" w14:textId="77777777" w:rsidR="00326C28" w:rsidRDefault="001F4317">
      <w:pPr>
        <w:rPr>
          <w:b/>
          <w:bCs/>
          <w:rtl/>
        </w:rPr>
      </w:pPr>
      <w:r>
        <w:rPr>
          <w:rFonts w:hint="cs"/>
          <w:rtl/>
        </w:rPr>
        <w:t>"</w:t>
      </w:r>
      <w:r>
        <w:rPr>
          <w:rFonts w:hint="cs"/>
          <w:b/>
          <w:bCs/>
          <w:rtl/>
        </w:rPr>
        <w:t>ככלל, ראוי ליתן לאדם צעיר, המבקש לשנות את אורח חייו, את ההזדמנות לזנוח את העיסוק בסמים ולשקם את חייו.</w:t>
      </w:r>
    </w:p>
    <w:p w14:paraId="133406A4" w14:textId="77777777" w:rsidR="00326C28" w:rsidRDefault="001F4317">
      <w:pPr>
        <w:rPr>
          <w:b/>
          <w:bCs/>
          <w:rtl/>
        </w:rPr>
      </w:pPr>
      <w:r>
        <w:rPr>
          <w:rFonts w:hint="cs"/>
          <w:b/>
          <w:bCs/>
          <w:rtl/>
        </w:rPr>
        <w:t>ברם, כנגד השיקול האישי, עומד במקרה דנן שיקול ההרתעתיות כשלצידו הגורם החינוכי. נגע הסמים אוכל באוכלוסיה שלנו בכל פה; והחברה הכריזה מלחמת חורמה, ומצפה שהעונשים שייגזרו ע"י בתי המשפט בשל עבירות סמים, ישתלבו במאבק הכולל להדברת הנגע.</w:t>
      </w:r>
    </w:p>
    <w:p w14:paraId="4DEF7C19" w14:textId="77777777" w:rsidR="00326C28" w:rsidRDefault="001F4317">
      <w:pPr>
        <w:rPr>
          <w:rtl/>
        </w:rPr>
      </w:pPr>
      <w:r>
        <w:rPr>
          <w:rFonts w:hint="cs"/>
          <w:b/>
          <w:bCs/>
          <w:rtl/>
        </w:rPr>
        <w:t>עונש הולם למחזיקי סמים, שלא לשימוש עצמי – קרי: למשולבים במערך ההפצה – מכוון לפגוע בהכרת הכל את החומרה היתרה שאנו מייחסים להפצת הסמים ולהרתיע עבריינים בכח מלשלוח ידם בפעילות ההפצה. שתי תכליות מרכזיות אלו, ניתן להשיג רק ע"י הטלת עונשים חמורים; ולעניות דעתי – השיקולים האישיים של שיקום העבריין חייבים לסגת מפני השיקולים של טובת הכלל</w:t>
      </w:r>
      <w:r>
        <w:rPr>
          <w:rFonts w:hint="cs"/>
          <w:rtl/>
        </w:rPr>
        <w:t>".</w:t>
      </w:r>
    </w:p>
    <w:p w14:paraId="77789F99" w14:textId="77777777" w:rsidR="00326C28" w:rsidRDefault="00326C28">
      <w:pPr>
        <w:rPr>
          <w:rtl/>
        </w:rPr>
      </w:pPr>
    </w:p>
    <w:p w14:paraId="698FAC96" w14:textId="77777777" w:rsidR="00326C28" w:rsidRDefault="001F4317">
      <w:pPr>
        <w:rPr>
          <w:rtl/>
        </w:rPr>
      </w:pPr>
      <w:r>
        <w:rPr>
          <w:rFonts w:hint="cs"/>
          <w:rtl/>
        </w:rPr>
        <w:t>ב</w:t>
      </w:r>
      <w:hyperlink r:id="rId9" w:history="1">
        <w:r w:rsidR="00550CD2" w:rsidRPr="00550CD2">
          <w:rPr>
            <w:color w:val="0000FF"/>
            <w:u w:val="single"/>
            <w:rtl/>
          </w:rPr>
          <w:t xml:space="preserve">ברע"פ 6794/05 </w:t>
        </w:r>
      </w:hyperlink>
      <w:r>
        <w:rPr>
          <w:rFonts w:hint="cs"/>
          <w:rtl/>
        </w:rPr>
        <w:t xml:space="preserve"> </w:t>
      </w:r>
      <w:r>
        <w:rPr>
          <w:rFonts w:hint="cs"/>
          <w:b/>
          <w:bCs/>
          <w:rtl/>
        </w:rPr>
        <w:t>שמעון טובול נ' מד"י,</w:t>
      </w:r>
      <w:r>
        <w:rPr>
          <w:rFonts w:hint="cs"/>
          <w:rtl/>
        </w:rPr>
        <w:t xml:space="preserve"> נדון הנאשם בביהמ"ש השלום  בעבירה של סחר בסם מסוכן, החזקת סם שלא לצריכה עצמית והכשלת שוטר.  ביהמ"ש הטיל עליו 24 חודשי מאסר בפועל, כולל הפעלה של תנאי, למרות המלצת שרות המבחן להימנע ממאסר בשל הליך הגמילה שעבר. ביהמ"ש ציין כי במאזן בין האינטרס הציבורי ואינטרס המבקש בהמשך שיקומו, אינטרס הציבור גובר.  כב' השופט ג'ובראן דחה הבקשה והוסיף:</w:t>
      </w:r>
    </w:p>
    <w:p w14:paraId="47DCE802" w14:textId="77777777" w:rsidR="00326C28" w:rsidRDefault="001F4317">
      <w:pPr>
        <w:rPr>
          <w:b/>
          <w:bCs/>
          <w:rtl/>
        </w:rPr>
      </w:pPr>
      <w:r>
        <w:rPr>
          <w:rFonts w:hint="cs"/>
          <w:b/>
          <w:bCs/>
          <w:rtl/>
        </w:rPr>
        <w:t>"אמונתו של המבקש בכך שביהמ"ש ימנע מלגזור עליו תקופת מאסר בפועל, באם יצעד בנתיב השיקומי שהותווה לו, אינה יכולה לעמוד לו אל מול אינטרס הציבור שבנשיאתו באחריות למעשיו.</w:t>
      </w:r>
    </w:p>
    <w:p w14:paraId="00BD75B0" w14:textId="77777777" w:rsidR="00326C28" w:rsidRDefault="001F4317">
      <w:pPr>
        <w:pStyle w:val="a6"/>
        <w:rPr>
          <w:b/>
          <w:bCs/>
          <w:rtl/>
        </w:rPr>
      </w:pPr>
      <w:r>
        <w:rPr>
          <w:rFonts w:hint="cs"/>
          <w:b/>
          <w:bCs/>
          <w:rtl/>
        </w:rPr>
        <w:t>יש לקוות,  כי המבקש לא יזנח הדרך המבורכת אליה פנה, וימשיך לצעוד בה גם למרות האמור".</w:t>
      </w:r>
    </w:p>
    <w:p w14:paraId="7F58960F" w14:textId="77777777" w:rsidR="00326C28" w:rsidRDefault="00326C28">
      <w:pPr>
        <w:rPr>
          <w:rtl/>
        </w:rPr>
      </w:pPr>
    </w:p>
    <w:p w14:paraId="0481B557" w14:textId="77777777" w:rsidR="00326C28" w:rsidRDefault="001F4317">
      <w:r>
        <w:rPr>
          <w:rFonts w:hint="cs"/>
          <w:rtl/>
        </w:rPr>
        <w:t>התביעה מפנה ל</w:t>
      </w:r>
      <w:hyperlink r:id="rId10" w:history="1">
        <w:r w:rsidRPr="001F4317">
          <w:rPr>
            <w:color w:val="0000FF"/>
            <w:u w:val="single"/>
            <w:rtl/>
          </w:rPr>
          <w:t>רע"פ 747/14</w:t>
        </w:r>
      </w:hyperlink>
      <w:r>
        <w:rPr>
          <w:rFonts w:hint="cs"/>
          <w:rtl/>
        </w:rPr>
        <w:t xml:space="preserve"> </w:t>
      </w:r>
      <w:r>
        <w:rPr>
          <w:rFonts w:hint="cs"/>
          <w:b/>
          <w:bCs/>
          <w:rtl/>
        </w:rPr>
        <w:t>אלי לוי נגד מ'י,</w:t>
      </w:r>
      <w:r>
        <w:rPr>
          <w:rFonts w:hint="cs"/>
          <w:rtl/>
        </w:rPr>
        <w:t xml:space="preserve"> מפי כב' השופט מלצר:  החזקת הרואין במשקל 5 גרם וקוקאין במשקל 0.095 גרם.  אדם בן 50 שצרך סמים מגיל 38 ואשר שולב בהליך טיפולי  ולכן שרות המבחן המליצו על מאסר מותנה יחד עם צו מבחן. כמו כן , צירף עבירה נוספת של החזקת סם מסוג הרואין לצריכה עצמית, ונגזר דינו ל-8 חודשי מאסר עם מאסרים מותנים. ערעור למחוזי נדחה ובקשתו למתן רשות ערעור נדחתה אף היא. ביהמ"ש העליון התייחס למנעד שנקבע בגין אותן עבירות, הנע  בין 8 ל-18 חודשי מאסר ולכך שבשל שיקומי שיקום ביהמ"ש הסתפק בסף הנמוך  של המנעד אך קבע כי בשל חומרתהעבירה שיקולי השיקום אינם עדיפים.</w:t>
      </w:r>
    </w:p>
    <w:p w14:paraId="7F167B3B" w14:textId="77777777" w:rsidR="00326C28" w:rsidRDefault="00326C28">
      <w:pPr>
        <w:rPr>
          <w:rtl/>
        </w:rPr>
      </w:pPr>
    </w:p>
    <w:p w14:paraId="1C828238" w14:textId="77777777" w:rsidR="00326C28" w:rsidRDefault="001F4317">
      <w:r>
        <w:rPr>
          <w:rFonts w:hint="cs"/>
          <w:rtl/>
        </w:rPr>
        <w:t>כידוע, המחוקק לא הבחין בעונש,  בין סוגי הסם , ובתי המשפט נוהגים להחמיר ככל שהכמות גדולה יותר, הסמים ממכרים יותר, ומעשי הסחר רבים יותר, כשגם לעבר ניתן שיקול של ממש.</w:t>
      </w:r>
    </w:p>
    <w:p w14:paraId="55CA5484" w14:textId="77777777" w:rsidR="00326C28" w:rsidRDefault="00326C28">
      <w:pPr>
        <w:rPr>
          <w:rtl/>
        </w:rPr>
      </w:pPr>
    </w:p>
    <w:p w14:paraId="4E19324E" w14:textId="77777777" w:rsidR="00326C28" w:rsidRDefault="001F4317">
      <w:pPr>
        <w:rPr>
          <w:rtl/>
        </w:rPr>
      </w:pPr>
      <w:r>
        <w:rPr>
          <w:rFonts w:hint="cs"/>
          <w:rtl/>
        </w:rPr>
        <w:t>תיקון 113 ל</w:t>
      </w:r>
      <w:hyperlink r:id="rId11" w:history="1">
        <w:r w:rsidRPr="001F4317">
          <w:rPr>
            <w:color w:val="0000FF"/>
            <w:u w:val="single"/>
            <w:rtl/>
          </w:rPr>
          <w:t>חוק העונשין</w:t>
        </w:r>
      </w:hyperlink>
      <w:r>
        <w:rPr>
          <w:rFonts w:hint="cs"/>
          <w:rtl/>
        </w:rPr>
        <w:t xml:space="preserve"> מאפשר לביהמ"ש לחרוג מן העונש ההולם בשל שיקולי שיקום אולם אם מדובר בעבירה בעלת חומרה יתרה, יעשה כן אך ורק בנסיבות מיוחדות ויוצאות דופן על אחת כמה וכמה לכשמדובר בביטול הרשעה.</w:t>
      </w:r>
    </w:p>
    <w:p w14:paraId="37ABB8D2" w14:textId="77777777" w:rsidR="00326C28" w:rsidRDefault="00326C28">
      <w:pPr>
        <w:rPr>
          <w:rtl/>
        </w:rPr>
      </w:pPr>
    </w:p>
    <w:p w14:paraId="51DE2C00" w14:textId="77777777" w:rsidR="00326C28" w:rsidRDefault="001F4317">
      <w:pPr>
        <w:rPr>
          <w:b/>
          <w:bCs/>
          <w:rtl/>
        </w:rPr>
      </w:pPr>
      <w:r>
        <w:rPr>
          <w:rFonts w:hint="cs"/>
          <w:rtl/>
        </w:rPr>
        <w:t>בית המשפט העליון, מפי כבוד השופטת א' פרוקצ'יה, ב</w:t>
      </w:r>
      <w:hyperlink r:id="rId12" w:history="1">
        <w:r w:rsidRPr="001F4317">
          <w:rPr>
            <w:color w:val="0000FF"/>
            <w:u w:val="single"/>
            <w:rtl/>
          </w:rPr>
          <w:t>ע"פ 2669/00 מדינת ישראל נ' פלוני, (פ"ד נד</w:t>
        </w:r>
      </w:hyperlink>
      <w:r>
        <w:rPr>
          <w:rFonts w:hint="cs"/>
          <w:rtl/>
        </w:rPr>
        <w:t>(3) 685, 689) קבע:</w:t>
      </w:r>
    </w:p>
    <w:p w14:paraId="534AE26D" w14:textId="77777777" w:rsidR="00326C28" w:rsidRDefault="001F4317">
      <w:pPr>
        <w:rPr>
          <w:rtl/>
        </w:rPr>
      </w:pPr>
      <w:r>
        <w:rPr>
          <w:rFonts w:hint="cs"/>
          <w:b/>
          <w:bCs/>
          <w:rtl/>
        </w:rPr>
        <w:t>ההמנעות מן ההרשעה הופכת, כמובן, באופן תיאורטי לקשה יותר ככל שהעבירה חמורה יותר ... כאשר מדובר בשורה של עבירות חמורות ... הופך עניין התחליף לענישה המצויה, לנושא קשה עוד יותר ליישום</w:t>
      </w:r>
      <w:r>
        <w:rPr>
          <w:rFonts w:hint="cs"/>
          <w:rtl/>
        </w:rPr>
        <w:t>". [ב</w:t>
      </w:r>
      <w:hyperlink r:id="rId13" w:history="1">
        <w:r w:rsidRPr="001F4317">
          <w:rPr>
            <w:color w:val="0000FF"/>
            <w:u w:val="single"/>
            <w:rtl/>
          </w:rPr>
          <w:t>ר"ע 432/85</w:t>
        </w:r>
      </w:hyperlink>
      <w:r>
        <w:rPr>
          <w:rFonts w:hint="cs"/>
          <w:rtl/>
        </w:rPr>
        <w:t xml:space="preserve">, </w:t>
      </w:r>
      <w:r>
        <w:rPr>
          <w:rFonts w:hint="cs"/>
          <w:b/>
          <w:bCs/>
          <w:rtl/>
        </w:rPr>
        <w:t xml:space="preserve">רומנו נ' מד"י, </w:t>
      </w:r>
      <w:r>
        <w:rPr>
          <w:rFonts w:hint="cs"/>
          <w:rtl/>
        </w:rPr>
        <w:t>(תק-על 85 (3) 737)].</w:t>
      </w:r>
    </w:p>
    <w:p w14:paraId="7ADD550C" w14:textId="77777777" w:rsidR="00326C28" w:rsidRDefault="00326C28">
      <w:pPr>
        <w:rPr>
          <w:rtl/>
        </w:rPr>
      </w:pPr>
    </w:p>
    <w:p w14:paraId="1814AB51" w14:textId="77777777" w:rsidR="00326C28" w:rsidRDefault="001F4317">
      <w:pPr>
        <w:rPr>
          <w:rtl/>
        </w:rPr>
      </w:pPr>
      <w:r>
        <w:rPr>
          <w:rFonts w:hint="cs"/>
          <w:rtl/>
        </w:rPr>
        <w:t xml:space="preserve">בבואו לשקול את האפשרות של הימנעות מהרשעה, מצווה בית המשפט לשקול גם את הצורך </w:t>
      </w:r>
      <w:r>
        <w:rPr>
          <w:rFonts w:hint="cs"/>
          <w:b/>
          <w:bCs/>
          <w:rtl/>
        </w:rPr>
        <w:t xml:space="preserve">בהרתעה אפקטיבית </w:t>
      </w:r>
      <w:r>
        <w:rPr>
          <w:rFonts w:hint="cs"/>
          <w:rtl/>
        </w:rPr>
        <w:t xml:space="preserve">של עבריינים אחרים, ואת </w:t>
      </w:r>
      <w:r>
        <w:rPr>
          <w:rFonts w:hint="cs"/>
          <w:b/>
          <w:bCs/>
          <w:rtl/>
        </w:rPr>
        <w:t>האינטרס הציבורי</w:t>
      </w:r>
      <w:r>
        <w:rPr>
          <w:rFonts w:hint="cs"/>
          <w:rtl/>
        </w:rPr>
        <w:t xml:space="preserve"> (</w:t>
      </w:r>
      <w:hyperlink r:id="rId14" w:history="1">
        <w:r w:rsidRPr="001F4317">
          <w:rPr>
            <w:color w:val="0000FF"/>
            <w:u w:val="single"/>
            <w:rtl/>
          </w:rPr>
          <w:t>ע"פ 2083/96 הנ"ל בענין כתב (פד"י נ"ב</w:t>
        </w:r>
      </w:hyperlink>
      <w:r>
        <w:rPr>
          <w:rFonts w:hint="cs"/>
          <w:rtl/>
        </w:rPr>
        <w:t xml:space="preserve"> (3) 337, 341); </w:t>
      </w:r>
      <w:hyperlink r:id="rId15" w:history="1">
        <w:r w:rsidRPr="001F4317">
          <w:rPr>
            <w:color w:val="0000FF"/>
            <w:u w:val="single"/>
            <w:rtl/>
          </w:rPr>
          <w:t>ע"פ 2669/00</w:t>
        </w:r>
      </w:hyperlink>
      <w:r>
        <w:rPr>
          <w:rFonts w:hint="cs"/>
          <w:rtl/>
        </w:rPr>
        <w:t xml:space="preserve"> הנ"ל בענין </w:t>
      </w:r>
      <w:r>
        <w:rPr>
          <w:rFonts w:hint="cs"/>
          <w:b/>
          <w:bCs/>
          <w:rtl/>
        </w:rPr>
        <w:t>פלוני;</w:t>
      </w:r>
      <w:r>
        <w:rPr>
          <w:rFonts w:hint="cs"/>
          <w:rtl/>
        </w:rPr>
        <w:t xml:space="preserve"> ע"פ (מחוזי ת"א) 1134/94 הנ"ל, וע"פ 1356/94 </w:t>
      </w:r>
      <w:r>
        <w:rPr>
          <w:rFonts w:hint="cs"/>
          <w:b/>
          <w:bCs/>
          <w:rtl/>
        </w:rPr>
        <w:t>מדינת ישראל נ' ג'ורג'</w:t>
      </w:r>
      <w:r>
        <w:rPr>
          <w:rFonts w:hint="cs"/>
          <w:rtl/>
        </w:rPr>
        <w:t xml:space="preserve"> (לא פורסם).</w:t>
      </w:r>
    </w:p>
    <w:p w14:paraId="6BFD02F0" w14:textId="77777777" w:rsidR="00326C28" w:rsidRDefault="001F4317">
      <w:pPr>
        <w:rPr>
          <w:rtl/>
        </w:rPr>
      </w:pPr>
      <w:r>
        <w:rPr>
          <w:rFonts w:hint="cs"/>
          <w:rtl/>
        </w:rPr>
        <w:t xml:space="preserve">בעבירות חמורות, חייב בית המשפט </w:t>
      </w:r>
      <w:r>
        <w:rPr>
          <w:rFonts w:hint="cs"/>
          <w:b/>
          <w:bCs/>
          <w:rtl/>
        </w:rPr>
        <w:t>"להטביע חותם פליליות"</w:t>
      </w:r>
      <w:r>
        <w:rPr>
          <w:rFonts w:hint="cs"/>
          <w:rtl/>
        </w:rPr>
        <w:t xml:space="preserve"> על ידי הרשעת נאשם, שאם לא כן עלול הוא להעביר מסר הפוך מן המתחייב, כאילו מדובר בעבירה שהיא "נסלחת" [</w:t>
      </w:r>
      <w:hyperlink r:id="rId16" w:history="1">
        <w:r w:rsidRPr="001F4317">
          <w:rPr>
            <w:color w:val="0000FF"/>
            <w:u w:val="single"/>
            <w:rtl/>
          </w:rPr>
          <w:t>ע"פ 419/92 מדינת ישראל נ' כהן, (פ"ד מז</w:t>
        </w:r>
      </w:hyperlink>
      <w:r>
        <w:rPr>
          <w:rFonts w:hint="cs"/>
          <w:rtl/>
        </w:rPr>
        <w:t>(3) 821, 835)].</w:t>
      </w:r>
    </w:p>
    <w:p w14:paraId="64669A16" w14:textId="77777777" w:rsidR="00326C28" w:rsidRDefault="001F4317">
      <w:pPr>
        <w:rPr>
          <w:b/>
          <w:bCs/>
          <w:rtl/>
        </w:rPr>
      </w:pPr>
      <w:r>
        <w:rPr>
          <w:rFonts w:hint="cs"/>
          <w:rtl/>
        </w:rPr>
        <w:t xml:space="preserve">אמנם </w:t>
      </w:r>
      <w:r>
        <w:rPr>
          <w:rFonts w:hint="cs"/>
          <w:b/>
          <w:bCs/>
          <w:rtl/>
        </w:rPr>
        <w:t>בהלכת כתב</w:t>
      </w:r>
      <w:r>
        <w:rPr>
          <w:rFonts w:hint="cs"/>
          <w:rtl/>
        </w:rPr>
        <w:t xml:space="preserve"> (</w:t>
      </w:r>
      <w:hyperlink r:id="rId17" w:history="1">
        <w:r w:rsidRPr="001F4317">
          <w:rPr>
            <w:color w:val="0000FF"/>
            <w:u w:val="single"/>
            <w:rtl/>
          </w:rPr>
          <w:t>ע"פ 2083/96</w:t>
        </w:r>
      </w:hyperlink>
      <w:r>
        <w:rPr>
          <w:rFonts w:hint="cs"/>
          <w:rtl/>
        </w:rPr>
        <w:t xml:space="preserve"> הנ"ל) נקבעו </w:t>
      </w:r>
      <w:r>
        <w:rPr>
          <w:rFonts w:hint="cs"/>
          <w:b/>
          <w:bCs/>
          <w:rtl/>
        </w:rPr>
        <w:t>קווים מנחים, שאינם ממצים, להימנעות מהרשעה, ככל שמדובר בהיבט השיקומי של הנאשם, וביניהם חומרת העבירה</w:t>
      </w:r>
      <w:r>
        <w:rPr>
          <w:rFonts w:hint="cs"/>
          <w:rtl/>
        </w:rPr>
        <w:t xml:space="preserve"> </w:t>
      </w:r>
      <w:r>
        <w:rPr>
          <w:rFonts w:hint="cs"/>
          <w:b/>
          <w:bCs/>
          <w:rtl/>
        </w:rPr>
        <w:t>ומידת הפגיעה שיש בה</w:t>
      </w:r>
      <w:r>
        <w:rPr>
          <w:rFonts w:hint="cs"/>
          <w:rtl/>
        </w:rPr>
        <w:t xml:space="preserve"> </w:t>
      </w:r>
      <w:r>
        <w:rPr>
          <w:rFonts w:hint="cs"/>
          <w:b/>
          <w:bCs/>
          <w:rtl/>
        </w:rPr>
        <w:t>כמו גם על האפקט הציבורי של ההרשעה:</w:t>
      </w:r>
    </w:p>
    <w:p w14:paraId="4F322338" w14:textId="77777777" w:rsidR="00326C28" w:rsidRDefault="001F4317">
      <w:pPr>
        <w:rPr>
          <w:b/>
          <w:bCs/>
          <w:rtl/>
        </w:rPr>
      </w:pPr>
      <w:r>
        <w:rPr>
          <w:rFonts w:hint="cs"/>
          <w:b/>
          <w:bCs/>
          <w:rtl/>
        </w:rPr>
        <w:t xml:space="preserve">"הכלל הוא שיש להרשיע נאשם שעבר עבירה, ומי שטוען את ההיפך שומה עליו לשכנע את בית המשפט ששיקולי השיקום גוברים במקרה האינדיוידואלי על השיקולים שבאינטרס הציבורי". </w:t>
      </w:r>
    </w:p>
    <w:p w14:paraId="517E0464" w14:textId="77777777" w:rsidR="00326C28" w:rsidRDefault="00326C28">
      <w:pPr>
        <w:rPr>
          <w:b/>
          <w:bCs/>
          <w:rtl/>
        </w:rPr>
      </w:pPr>
    </w:p>
    <w:p w14:paraId="6A7B637E" w14:textId="77777777" w:rsidR="00326C28" w:rsidRDefault="001F4317">
      <w:pPr>
        <w:spacing w:before="120" w:after="120"/>
        <w:rPr>
          <w:rtl/>
        </w:rPr>
      </w:pPr>
      <w:r>
        <w:rPr>
          <w:rFonts w:hint="cs"/>
          <w:rtl/>
        </w:rPr>
        <w:t>לטעמי, על מנת שביהמ"ש יעדיף האנטרס של השיקום על פני הרשעה בעבירה חמורה של סחר בסם מסוכן  והחזקה בו למטרת סחר, יש להציג נסיבות כבדות משקל של ממש, ולא טענה ערטילאית שמשתקם או מחפש עבודה וכי לכן ההרשעה תפגע בו. דווקא משום שמדובר בבחור שהוא בן למשפחה נורמטיבית המבין חומרת המעשה -יש להעביר מסר  נכון לציבור.</w:t>
      </w:r>
    </w:p>
    <w:p w14:paraId="1AA4B995" w14:textId="77777777" w:rsidR="00326C28" w:rsidRDefault="00326C28">
      <w:pPr>
        <w:spacing w:before="120" w:after="120"/>
        <w:rPr>
          <w:rtl/>
        </w:rPr>
      </w:pPr>
    </w:p>
    <w:p w14:paraId="3C7056AE" w14:textId="77777777" w:rsidR="00326C28" w:rsidRDefault="001F4317">
      <w:pPr>
        <w:spacing w:before="120" w:after="120"/>
        <w:rPr>
          <w:rtl/>
        </w:rPr>
      </w:pPr>
      <w:r>
        <w:rPr>
          <w:rFonts w:hint="cs"/>
          <w:rtl/>
        </w:rPr>
        <w:t>לאור כל האמור, ההרשעה לא תבוטל ,ואף שאפחית מרף המינימום של המתחם העונשי הראוי  משיקולי שיקום ,אין הצדקה  להימנע לחלוטין ממאסר.</w:t>
      </w:r>
    </w:p>
    <w:p w14:paraId="3CBA2AFA" w14:textId="77777777" w:rsidR="00326C28" w:rsidRDefault="00326C28">
      <w:pPr>
        <w:rPr>
          <w:rtl/>
        </w:rPr>
      </w:pPr>
    </w:p>
    <w:p w14:paraId="4D0F8386" w14:textId="77777777" w:rsidR="00326C28" w:rsidRDefault="001F4317">
      <w:pPr>
        <w:rPr>
          <w:rtl/>
        </w:rPr>
      </w:pPr>
      <w:r>
        <w:rPr>
          <w:rFonts w:hint="cs"/>
          <w:rtl/>
        </w:rPr>
        <w:t>לאור האמור, אני גוזרת על הנאשם עונשים כדלקמן:</w:t>
      </w:r>
    </w:p>
    <w:p w14:paraId="67358930" w14:textId="77777777" w:rsidR="00326C28" w:rsidRDefault="00326C28">
      <w:pPr>
        <w:rPr>
          <w:rtl/>
        </w:rPr>
      </w:pPr>
    </w:p>
    <w:p w14:paraId="0BDCEAA8" w14:textId="77777777" w:rsidR="00326C28" w:rsidRDefault="001F4317">
      <w:pPr>
        <w:ind w:left="720" w:hanging="720"/>
        <w:rPr>
          <w:rtl/>
        </w:rPr>
      </w:pPr>
      <w:r>
        <w:rPr>
          <w:rFonts w:hint="cs"/>
          <w:rtl/>
        </w:rPr>
        <w:t>1.</w:t>
      </w:r>
      <w:r>
        <w:rPr>
          <w:rFonts w:hint="cs"/>
          <w:rtl/>
        </w:rPr>
        <w:tab/>
        <w:t xml:space="preserve">6 חודשי מאסר אותם ישא  בעבודות שירות במועצה הדתית אשקלון   5 ימים בשבוע, 8.5 שעות יומיות, בעבודות אחזקה וסיוע, מנהלה ושירותים, בפיקוח ישראלי שרון. </w:t>
      </w:r>
    </w:p>
    <w:p w14:paraId="3522D7F1" w14:textId="77777777" w:rsidR="00326C28" w:rsidRDefault="001F4317">
      <w:pPr>
        <w:ind w:left="720"/>
      </w:pPr>
      <w:r>
        <w:rPr>
          <w:rFonts w:hint="cs"/>
          <w:rtl/>
        </w:rPr>
        <w:t>תחילת המאסר מיום  20.5.15 ועליו להתייצב בשעה 08:00 במועד זה בפני המפקח על עבודות השירות לצורך קליטה והצבה במפקדת גוש דרום ב"ש, ליד כלא ב"ש,  (אוטובוס אגד מתחנה מרכזית בב"ש קו 46).</w:t>
      </w:r>
    </w:p>
    <w:p w14:paraId="14C31923" w14:textId="77777777" w:rsidR="00326C28" w:rsidRDefault="001F4317">
      <w:pPr>
        <w:ind w:left="720"/>
      </w:pPr>
      <w:r>
        <w:rPr>
          <w:rFonts w:hint="cs"/>
          <w:rtl/>
        </w:rPr>
        <w:t xml:space="preserve">על הנאשם לדווח לממונה על עבודות השירות בשב"ס אודות כל שינוי בכתובתו ובפרטיו. </w:t>
      </w:r>
    </w:p>
    <w:p w14:paraId="1BA80C5D" w14:textId="77777777" w:rsidR="00326C28" w:rsidRDefault="001F4317">
      <w:pPr>
        <w:ind w:left="720"/>
        <w:rPr>
          <w:rtl/>
        </w:rPr>
      </w:pPr>
      <w:r>
        <w:rPr>
          <w:rFonts w:hint="cs"/>
          <w:rtl/>
        </w:rPr>
        <w:t xml:space="preserve">כמו כן, מוסבר לו כי עליו לעמוד בתנאי הפיקוח וביקורות הפתע וכי כל הפרה תביא להפסקה מנהלית של העבודות ולנשיאה בעונש בין כותלי הכלא. </w:t>
      </w:r>
    </w:p>
    <w:p w14:paraId="18EF0B8D" w14:textId="77777777" w:rsidR="00326C28" w:rsidRDefault="00326C28">
      <w:pPr>
        <w:rPr>
          <w:rtl/>
        </w:rPr>
      </w:pPr>
    </w:p>
    <w:p w14:paraId="259AE9CE" w14:textId="77777777" w:rsidR="00326C28" w:rsidRDefault="001F4317">
      <w:pPr>
        <w:ind w:left="720" w:hanging="720"/>
        <w:rPr>
          <w:rtl/>
        </w:rPr>
      </w:pPr>
      <w:r>
        <w:rPr>
          <w:rFonts w:hint="cs"/>
          <w:rtl/>
        </w:rPr>
        <w:t xml:space="preserve">2.         12 חודשים מאסר מותנה למשך  3  שנים והתנאי הוא שלא יעבור עבירה מסוג פשע על </w:t>
      </w:r>
      <w:hyperlink r:id="rId18" w:history="1">
        <w:r w:rsidRPr="001F4317">
          <w:rPr>
            <w:color w:val="0000FF"/>
            <w:u w:val="single"/>
            <w:rtl/>
          </w:rPr>
          <w:t>פקודת הסמים המסוכנים</w:t>
        </w:r>
      </w:hyperlink>
      <w:r>
        <w:rPr>
          <w:rFonts w:hint="cs"/>
          <w:rtl/>
        </w:rPr>
        <w:t xml:space="preserve"> התשל"ג-1973.</w:t>
      </w:r>
    </w:p>
    <w:p w14:paraId="4308458C" w14:textId="77777777" w:rsidR="00326C28" w:rsidRDefault="00326C28">
      <w:pPr>
        <w:ind w:left="720" w:hanging="720"/>
        <w:rPr>
          <w:rtl/>
        </w:rPr>
      </w:pPr>
    </w:p>
    <w:p w14:paraId="2F60F12A" w14:textId="77777777" w:rsidR="00326C28" w:rsidRDefault="001F4317">
      <w:pPr>
        <w:ind w:left="720" w:hanging="720"/>
        <w:rPr>
          <w:rtl/>
        </w:rPr>
      </w:pPr>
      <w:r>
        <w:rPr>
          <w:rFonts w:hint="cs"/>
          <w:rtl/>
        </w:rPr>
        <w:t xml:space="preserve">3.           6 חודשים  מאסר מותנה למשך  3  שנים והתנאי הוא שלא יעבור עבירה מסוג עוון על </w:t>
      </w:r>
      <w:hyperlink r:id="rId19" w:history="1">
        <w:r w:rsidRPr="001F4317">
          <w:rPr>
            <w:color w:val="0000FF"/>
            <w:u w:val="single"/>
            <w:rtl/>
          </w:rPr>
          <w:t>פקודת הסמים המסוכנים</w:t>
        </w:r>
      </w:hyperlink>
      <w:r>
        <w:rPr>
          <w:rFonts w:hint="cs"/>
          <w:rtl/>
        </w:rPr>
        <w:t xml:space="preserve"> התשל"ג-1973 ונהיגה בפסילה. </w:t>
      </w:r>
    </w:p>
    <w:p w14:paraId="3510A1EA" w14:textId="77777777" w:rsidR="00326C28" w:rsidRDefault="00326C28">
      <w:pPr>
        <w:ind w:firstLine="720"/>
        <w:rPr>
          <w:rtl/>
        </w:rPr>
      </w:pPr>
    </w:p>
    <w:p w14:paraId="5A2056B0" w14:textId="77777777" w:rsidR="00326C28" w:rsidRDefault="001F4317">
      <w:pPr>
        <w:rPr>
          <w:rtl/>
        </w:rPr>
      </w:pPr>
      <w:r>
        <w:rPr>
          <w:rFonts w:hint="cs"/>
          <w:rtl/>
        </w:rPr>
        <w:t>4.</w:t>
      </w:r>
      <w:r>
        <w:rPr>
          <w:rFonts w:hint="cs"/>
          <w:rtl/>
        </w:rPr>
        <w:tab/>
        <w:t xml:space="preserve">קנס בסך  2,000 ₪, או   60 ימי מאסר תמורתו. </w:t>
      </w:r>
    </w:p>
    <w:p w14:paraId="25AA7F1F" w14:textId="77777777" w:rsidR="00326C28" w:rsidRDefault="001F4317">
      <w:pPr>
        <w:ind w:firstLine="720"/>
        <w:rPr>
          <w:rtl/>
        </w:rPr>
      </w:pPr>
      <w:r>
        <w:rPr>
          <w:rFonts w:hint="cs"/>
          <w:rtl/>
        </w:rPr>
        <w:t>הקנס ישולם ב-  5  תשלומים שווים ורצופים החל מה- 10.10.15</w:t>
      </w:r>
    </w:p>
    <w:p w14:paraId="18DB924B" w14:textId="77777777" w:rsidR="00326C28" w:rsidRDefault="001F4317">
      <w:pPr>
        <w:ind w:firstLine="720"/>
        <w:rPr>
          <w:rtl/>
        </w:rPr>
      </w:pPr>
      <w:r>
        <w:rPr>
          <w:rFonts w:hint="cs"/>
          <w:rtl/>
        </w:rPr>
        <w:t>אם לא ישלם אחד מן התשלומים במועד יעמוד כל הסכום לפרעון מיידי.</w:t>
      </w:r>
    </w:p>
    <w:p w14:paraId="3A880C68" w14:textId="77777777" w:rsidR="00326C28" w:rsidRDefault="00326C28">
      <w:pPr>
        <w:ind w:firstLine="720"/>
        <w:rPr>
          <w:rtl/>
        </w:rPr>
      </w:pPr>
    </w:p>
    <w:p w14:paraId="1050BE5C" w14:textId="77777777" w:rsidR="00326C28" w:rsidRDefault="001F4317">
      <w:pPr>
        <w:ind w:left="720" w:hanging="720"/>
        <w:rPr>
          <w:rtl/>
        </w:rPr>
      </w:pPr>
      <w:r>
        <w:rPr>
          <w:rFonts w:hint="cs"/>
          <w:rtl/>
        </w:rPr>
        <w:t>5.</w:t>
      </w:r>
      <w:r>
        <w:rPr>
          <w:rFonts w:hint="cs"/>
          <w:rtl/>
        </w:rPr>
        <w:tab/>
        <w:t xml:space="preserve">הנאשם יחתום על התחייבות בסך    7,500₪ להימנע מביצוע עבירה על </w:t>
      </w:r>
      <w:hyperlink r:id="rId20" w:history="1">
        <w:r w:rsidRPr="001F4317">
          <w:rPr>
            <w:color w:val="0000FF"/>
            <w:u w:val="single"/>
            <w:rtl/>
          </w:rPr>
          <w:t>פקודת הסמים המסוכנים</w:t>
        </w:r>
      </w:hyperlink>
      <w:r>
        <w:rPr>
          <w:rFonts w:hint="cs"/>
          <w:rtl/>
        </w:rPr>
        <w:t xml:space="preserve"> התל"ג-1973 במשך  3  שנים מהיום. </w:t>
      </w:r>
    </w:p>
    <w:p w14:paraId="04A39B54" w14:textId="77777777" w:rsidR="00326C28" w:rsidRDefault="001F4317">
      <w:pPr>
        <w:rPr>
          <w:rtl/>
        </w:rPr>
      </w:pPr>
      <w:r>
        <w:rPr>
          <w:rFonts w:hint="cs"/>
          <w:rtl/>
        </w:rPr>
        <w:tab/>
        <w:t xml:space="preserve">אם לא יחתום על ההתחייבות, יאסר למשך  90 ימים. </w:t>
      </w:r>
    </w:p>
    <w:p w14:paraId="138A9912" w14:textId="77777777" w:rsidR="00326C28" w:rsidRDefault="00326C28">
      <w:pPr>
        <w:rPr>
          <w:rtl/>
        </w:rPr>
      </w:pPr>
    </w:p>
    <w:p w14:paraId="471EF9D1" w14:textId="77777777" w:rsidR="00326C28" w:rsidRDefault="001F4317">
      <w:pPr>
        <w:ind w:left="720" w:hanging="720"/>
        <w:rPr>
          <w:rtl/>
        </w:rPr>
      </w:pPr>
      <w:r>
        <w:rPr>
          <w:rFonts w:hint="cs"/>
          <w:rtl/>
        </w:rPr>
        <w:t>6.</w:t>
      </w:r>
      <w:r>
        <w:rPr>
          <w:rFonts w:hint="cs"/>
          <w:rtl/>
        </w:rPr>
        <w:tab/>
        <w:t xml:space="preserve">הנאשם ימצא בפיקוח שירות המבחן למשך שנה מהיום. </w:t>
      </w:r>
    </w:p>
    <w:p w14:paraId="0A629C33" w14:textId="77777777" w:rsidR="00326C28" w:rsidRDefault="001F4317">
      <w:pPr>
        <w:ind w:left="720" w:hanging="720"/>
        <w:rPr>
          <w:rtl/>
        </w:rPr>
      </w:pPr>
      <w:r>
        <w:rPr>
          <w:rFonts w:hint="cs"/>
          <w:rtl/>
        </w:rPr>
        <w:tab/>
        <w:t xml:space="preserve">לצורך זאת עליו לחתום על צו מבחן. </w:t>
      </w:r>
    </w:p>
    <w:p w14:paraId="040EF8C5" w14:textId="77777777" w:rsidR="00326C28" w:rsidRDefault="001F4317">
      <w:pPr>
        <w:ind w:left="720" w:hanging="720"/>
        <w:rPr>
          <w:rtl/>
        </w:rPr>
      </w:pPr>
      <w:r>
        <w:rPr>
          <w:rFonts w:hint="cs"/>
          <w:rtl/>
        </w:rPr>
        <w:tab/>
        <w:t>מוסבר לנאשם כי אם לא יעמוד בתנאי הצו, ניתן יהיה להפקיעו ולגזור דינו לרכיבי ענישה נוספים.</w:t>
      </w:r>
    </w:p>
    <w:p w14:paraId="4D6A3F6F" w14:textId="77777777" w:rsidR="00326C28" w:rsidRDefault="00326C28">
      <w:pPr>
        <w:rPr>
          <w:b/>
          <w:bCs/>
          <w:rtl/>
        </w:rPr>
      </w:pPr>
    </w:p>
    <w:p w14:paraId="00106310" w14:textId="77777777" w:rsidR="00326C28" w:rsidRDefault="001F4317">
      <w:pPr>
        <w:rPr>
          <w:rtl/>
        </w:rPr>
      </w:pPr>
      <w:r>
        <w:rPr>
          <w:rFonts w:hint="cs"/>
          <w:rtl/>
        </w:rPr>
        <w:t>7.</w:t>
      </w:r>
      <w:r>
        <w:rPr>
          <w:rFonts w:hint="cs"/>
          <w:rtl/>
        </w:rPr>
        <w:tab/>
        <w:t xml:space="preserve">הנני פוסלת את הנאשם/ת מלקבל או מלהחזיק רשיון נהיגה לתקופה  5  חודש/ים. </w:t>
      </w:r>
    </w:p>
    <w:p w14:paraId="0FB51935" w14:textId="77777777" w:rsidR="00326C28" w:rsidRDefault="001F4317">
      <w:pPr>
        <w:ind w:left="720" w:hanging="720"/>
        <w:rPr>
          <w:rtl/>
        </w:rPr>
      </w:pPr>
      <w:r>
        <w:rPr>
          <w:rFonts w:hint="cs"/>
          <w:rtl/>
        </w:rPr>
        <w:tab/>
        <w:t xml:space="preserve">הפסילה תחל  מהיום  ועליו/ה להפקיד רשיונו/ה במזכירות ביהמ"ש אחרת לא תחושב תקופת הפסילה, אף שיהיה פסול. </w:t>
      </w:r>
    </w:p>
    <w:p w14:paraId="3194C92B" w14:textId="77777777" w:rsidR="00326C28" w:rsidRDefault="001F4317">
      <w:pPr>
        <w:ind w:left="1440" w:hanging="720"/>
        <w:rPr>
          <w:rtl/>
        </w:rPr>
      </w:pPr>
      <w:r>
        <w:rPr>
          <w:rFonts w:hint="cs"/>
          <w:rtl/>
        </w:rPr>
        <w:t xml:space="preserve">מוסברת לו חומרת העבירה של נהיגה בפסילה. </w:t>
      </w:r>
    </w:p>
    <w:p w14:paraId="33F63F9F" w14:textId="77777777" w:rsidR="00326C28" w:rsidRDefault="001F4317">
      <w:pPr>
        <w:rPr>
          <w:b/>
          <w:bCs/>
          <w:sz w:val="6"/>
          <w:szCs w:val="6"/>
          <w:rtl/>
        </w:rPr>
      </w:pPr>
      <w:r>
        <w:rPr>
          <w:rFonts w:hint="cs"/>
          <w:b/>
          <w:bCs/>
          <w:rtl/>
        </w:rPr>
        <w:t xml:space="preserve">זכות ערעור תוך 45 יום מהיום. </w:t>
      </w:r>
      <w:r>
        <w:rPr>
          <w:b/>
          <w:bCs/>
          <w:sz w:val="6"/>
          <w:szCs w:val="6"/>
          <w:rtl/>
        </w:rPr>
        <w:t>&lt;#3#&gt;</w:t>
      </w:r>
    </w:p>
    <w:p w14:paraId="08F38597" w14:textId="77777777" w:rsidR="00326C28" w:rsidRDefault="001F4317">
      <w:pPr>
        <w:rPr>
          <w:rtl/>
        </w:rPr>
      </w:pPr>
      <w:r>
        <w:rPr>
          <w:rFonts w:hint="cs"/>
          <w:b/>
          <w:bCs/>
          <w:rtl/>
        </w:rPr>
        <w:t xml:space="preserve">ניתנה והודעה היום </w:t>
      </w:r>
      <w:r>
        <w:rPr>
          <w:rFonts w:hint="cs"/>
          <w:rtl/>
        </w:rPr>
        <w:t>כ"ח אדר תשע"ה</w:t>
      </w:r>
      <w:r>
        <w:rPr>
          <w:rFonts w:hint="cs"/>
          <w:b/>
          <w:bCs/>
          <w:rtl/>
        </w:rPr>
        <w:t xml:space="preserve">, </w:t>
      </w:r>
      <w:r>
        <w:rPr>
          <w:rFonts w:hint="cs"/>
          <w:rtl/>
        </w:rPr>
        <w:t>19/03/2015</w:t>
      </w:r>
      <w:r>
        <w:rPr>
          <w:rFonts w:hint="cs"/>
          <w:b/>
          <w:bCs/>
          <w:rtl/>
        </w:rPr>
        <w:t xml:space="preserve"> במעמד הנוכחים.</w:t>
      </w:r>
    </w:p>
    <w:p w14:paraId="0158A8A2" w14:textId="77777777" w:rsidR="00326C28" w:rsidRDefault="00326C28">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26C28" w14:paraId="703FB2A5" w14:textId="77777777">
        <w:trPr>
          <w:trHeight w:val="316"/>
          <w:jc w:val="right"/>
        </w:trPr>
        <w:tc>
          <w:tcPr>
            <w:tcW w:w="3936" w:type="dxa"/>
          </w:tcPr>
          <w:p w14:paraId="4149F9DC" w14:textId="77777777" w:rsidR="00326C28" w:rsidRDefault="00326C28">
            <w:pPr>
              <w:jc w:val="center"/>
              <w:rPr>
                <w:rFonts w:ascii="Times New Roman" w:eastAsia="Times New Roman" w:hAnsi="Times New Roman" w:cs="Times New Roman"/>
              </w:rPr>
            </w:pPr>
          </w:p>
          <w:p w14:paraId="4E0350CD" w14:textId="77777777" w:rsidR="00326C28" w:rsidRDefault="00326C28">
            <w:pPr>
              <w:jc w:val="center"/>
              <w:rPr>
                <w:rFonts w:ascii="Times New Roman" w:eastAsia="Times New Roman" w:hAnsi="Times New Roman" w:cs="Times New Roman"/>
                <w:rtl/>
              </w:rPr>
            </w:pPr>
          </w:p>
        </w:tc>
      </w:tr>
      <w:tr w:rsidR="00326C28" w14:paraId="044639DB" w14:textId="77777777">
        <w:trPr>
          <w:trHeight w:val="361"/>
          <w:jc w:val="right"/>
        </w:trPr>
        <w:tc>
          <w:tcPr>
            <w:tcW w:w="3936" w:type="dxa"/>
          </w:tcPr>
          <w:p w14:paraId="56B54C8A" w14:textId="77777777" w:rsidR="00326C28" w:rsidRDefault="001F4317">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1526335E" w14:textId="77777777" w:rsidR="00326C28" w:rsidRDefault="001F4317">
      <w:pPr>
        <w:spacing w:before="120" w:after="120"/>
        <w:rPr>
          <w:sz w:val="6"/>
          <w:szCs w:val="6"/>
        </w:rPr>
      </w:pPr>
      <w:r>
        <w:rPr>
          <w:sz w:val="6"/>
          <w:szCs w:val="6"/>
          <w:rtl/>
        </w:rPr>
        <w:t>&lt;#4#&gt;</w:t>
      </w:r>
    </w:p>
    <w:p w14:paraId="758D6873" w14:textId="77777777" w:rsidR="00326C28" w:rsidRDefault="001F4317">
      <w:pPr>
        <w:jc w:val="center"/>
        <w:rPr>
          <w:rFonts w:ascii="Arial" w:hAnsi="Arial"/>
          <w:b/>
          <w:bCs/>
          <w:sz w:val="28"/>
          <w:szCs w:val="28"/>
          <w:u w:val="single"/>
          <w:rtl/>
        </w:rPr>
      </w:pPr>
      <w:r>
        <w:rPr>
          <w:rFonts w:ascii="Arial" w:hAnsi="Arial"/>
          <w:b/>
          <w:bCs/>
          <w:sz w:val="28"/>
          <w:szCs w:val="28"/>
          <w:u w:val="single"/>
          <w:rtl/>
        </w:rPr>
        <w:t>החלטה</w:t>
      </w:r>
    </w:p>
    <w:p w14:paraId="4CECF2AC" w14:textId="77777777" w:rsidR="00326C28" w:rsidRDefault="001F4317">
      <w:pPr>
        <w:rPr>
          <w:rtl/>
        </w:rPr>
      </w:pPr>
      <w:r>
        <w:rPr>
          <w:rFonts w:hint="cs"/>
          <w:rtl/>
        </w:rPr>
        <w:t>הסמים יושמדו.</w:t>
      </w:r>
    </w:p>
    <w:p w14:paraId="392683BB" w14:textId="77777777" w:rsidR="00326C28" w:rsidRDefault="00326C28">
      <w:pPr>
        <w:rPr>
          <w:rtl/>
        </w:rPr>
      </w:pPr>
    </w:p>
    <w:p w14:paraId="15986F35" w14:textId="77777777" w:rsidR="00326C28" w:rsidRDefault="001F4317">
      <w:pPr>
        <w:rPr>
          <w:rtl/>
        </w:rPr>
      </w:pPr>
      <w:r>
        <w:rPr>
          <w:rFonts w:hint="cs"/>
          <w:rtl/>
        </w:rPr>
        <w:t>הקנס יקוזז מהפקדון והיתרה תוש</w:t>
      </w:r>
      <w:bookmarkStart w:id="8" w:name="_GoBack"/>
      <w:bookmarkEnd w:id="8"/>
      <w:r>
        <w:rPr>
          <w:rFonts w:hint="cs"/>
          <w:rtl/>
        </w:rPr>
        <w:t xml:space="preserve">ב לו, אלא אם נרשם על כך עיקול. </w:t>
      </w:r>
    </w:p>
    <w:p w14:paraId="13EF08AB" w14:textId="77777777" w:rsidR="00326C28" w:rsidRDefault="00326C28">
      <w:pPr>
        <w:rPr>
          <w:rtl/>
        </w:rPr>
      </w:pPr>
    </w:p>
    <w:p w14:paraId="542C3560" w14:textId="77777777" w:rsidR="00326C28" w:rsidRDefault="001F4317">
      <w:pPr>
        <w:rPr>
          <w:sz w:val="6"/>
          <w:szCs w:val="6"/>
        </w:rPr>
      </w:pPr>
      <w:r>
        <w:rPr>
          <w:sz w:val="6"/>
          <w:szCs w:val="6"/>
          <w:rtl/>
        </w:rPr>
        <w:t>&lt;#5#&gt;</w:t>
      </w:r>
    </w:p>
    <w:p w14:paraId="3F0898FD" w14:textId="77777777" w:rsidR="00326C28" w:rsidRDefault="00326C28">
      <w:pPr>
        <w:jc w:val="right"/>
        <w:rPr>
          <w:rtl/>
        </w:rPr>
      </w:pPr>
    </w:p>
    <w:p w14:paraId="47E1F814" w14:textId="77777777" w:rsidR="00326C28" w:rsidRDefault="001F4317">
      <w:pPr>
        <w:jc w:val="center"/>
        <w:rPr>
          <w:rtl/>
        </w:rPr>
      </w:pPr>
      <w:r w:rsidRPr="001F4317">
        <w:rPr>
          <w:b/>
          <w:bCs/>
          <w:color w:val="FFFFFF"/>
          <w:sz w:val="2"/>
          <w:szCs w:val="2"/>
          <w:rtl/>
        </w:rPr>
        <w:t>5129371</w:t>
      </w:r>
      <w:r>
        <w:rPr>
          <w:b/>
          <w:bCs/>
          <w:rtl/>
        </w:rPr>
        <w:t xml:space="preserve">ניתנה והודעה היום כ"ח אדר תשע"ה, 19/03/2015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26C28" w14:paraId="27E9CC6B" w14:textId="77777777">
        <w:trPr>
          <w:trHeight w:val="316"/>
          <w:jc w:val="right"/>
        </w:trPr>
        <w:tc>
          <w:tcPr>
            <w:tcW w:w="3936" w:type="dxa"/>
          </w:tcPr>
          <w:p w14:paraId="42F6ECC2" w14:textId="77777777" w:rsidR="00326C28" w:rsidRPr="001F4317" w:rsidRDefault="001F4317">
            <w:pPr>
              <w:jc w:val="center"/>
              <w:rPr>
                <w:rFonts w:ascii="Times New Roman" w:eastAsia="Times New Roman" w:hAnsi="Times New Roman" w:cs="Times New Roman"/>
                <w:color w:val="FFFFFF"/>
                <w:sz w:val="2"/>
                <w:szCs w:val="2"/>
              </w:rPr>
            </w:pPr>
            <w:r w:rsidRPr="001F4317">
              <w:rPr>
                <w:rFonts w:ascii="Times New Roman" w:eastAsia="Times New Roman" w:hAnsi="Times New Roman" w:cs="Times New Roman"/>
                <w:color w:val="FFFFFF"/>
                <w:sz w:val="2"/>
                <w:szCs w:val="2"/>
                <w:rtl/>
              </w:rPr>
              <w:t>54678313</w:t>
            </w:r>
          </w:p>
          <w:p w14:paraId="15E5B1FC" w14:textId="77777777" w:rsidR="00326C28" w:rsidRDefault="00326C28">
            <w:pPr>
              <w:jc w:val="center"/>
              <w:rPr>
                <w:rFonts w:ascii="Times New Roman" w:eastAsia="Times New Roman" w:hAnsi="Times New Roman" w:cs="Times New Roman"/>
                <w:rtl/>
              </w:rPr>
            </w:pPr>
          </w:p>
        </w:tc>
      </w:tr>
      <w:tr w:rsidR="00326C28" w14:paraId="5F603756" w14:textId="77777777">
        <w:trPr>
          <w:trHeight w:val="361"/>
          <w:jc w:val="right"/>
        </w:trPr>
        <w:tc>
          <w:tcPr>
            <w:tcW w:w="3936" w:type="dxa"/>
          </w:tcPr>
          <w:p w14:paraId="4F53DD5E" w14:textId="77777777" w:rsidR="00326C28" w:rsidRDefault="001F4317">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0937D66E" w14:textId="77777777" w:rsidR="00326C28" w:rsidRDefault="00326C28">
      <w:pPr>
        <w:jc w:val="right"/>
        <w:rPr>
          <w:rtl/>
        </w:rPr>
      </w:pPr>
    </w:p>
    <w:p w14:paraId="3E29FAED" w14:textId="77777777" w:rsidR="00326C28" w:rsidRDefault="00326C28">
      <w:pPr>
        <w:rPr>
          <w:rtl/>
        </w:rPr>
      </w:pPr>
    </w:p>
    <w:p w14:paraId="6B8C1C14" w14:textId="77777777" w:rsidR="00326C28" w:rsidRDefault="00326C28">
      <w:pPr>
        <w:jc w:val="center"/>
        <w:rPr>
          <w:szCs w:val="24"/>
          <w:rtl/>
        </w:rPr>
      </w:pPr>
    </w:p>
    <w:p w14:paraId="791E1E21" w14:textId="77777777" w:rsidR="00326C28" w:rsidRDefault="001F4317">
      <w:pPr>
        <w:rPr>
          <w:szCs w:val="24"/>
          <w:rtl/>
        </w:rPr>
      </w:pPr>
      <w:r>
        <w:rPr>
          <w:szCs w:val="24"/>
          <w:rtl/>
        </w:rPr>
        <w:t xml:space="preserve"> </w:t>
      </w:r>
    </w:p>
    <w:p w14:paraId="1376C35D" w14:textId="77777777" w:rsidR="001F4317" w:rsidRPr="001F4317" w:rsidRDefault="001F4317" w:rsidP="001F4317">
      <w:pPr>
        <w:keepNext/>
        <w:jc w:val="left"/>
        <w:rPr>
          <w:color w:val="000000"/>
          <w:sz w:val="22"/>
          <w:szCs w:val="22"/>
          <w:rtl/>
        </w:rPr>
      </w:pPr>
    </w:p>
    <w:p w14:paraId="4E318580" w14:textId="77777777" w:rsidR="001F4317" w:rsidRPr="001F4317" w:rsidRDefault="001F4317" w:rsidP="001F4317">
      <w:pPr>
        <w:keepNext/>
        <w:jc w:val="left"/>
        <w:rPr>
          <w:color w:val="000000"/>
          <w:sz w:val="22"/>
          <w:szCs w:val="22"/>
          <w:rtl/>
        </w:rPr>
      </w:pPr>
      <w:r w:rsidRPr="001F4317">
        <w:rPr>
          <w:color w:val="000000"/>
          <w:sz w:val="22"/>
          <w:szCs w:val="22"/>
          <w:rtl/>
        </w:rPr>
        <w:t>רובין לביא 54678313</w:t>
      </w:r>
    </w:p>
    <w:p w14:paraId="5CDB5A9D" w14:textId="77777777" w:rsidR="001F4317" w:rsidRDefault="001F4317" w:rsidP="001F4317">
      <w:pPr>
        <w:jc w:val="left"/>
      </w:pPr>
      <w:r w:rsidRPr="001F4317">
        <w:rPr>
          <w:color w:val="000000"/>
          <w:rtl/>
        </w:rPr>
        <w:t>נוסח מסמך זה כפוף לשינויי ניסוח ועריכה</w:t>
      </w:r>
    </w:p>
    <w:p w14:paraId="66300E14" w14:textId="77777777" w:rsidR="001F4317" w:rsidRDefault="001F4317" w:rsidP="001F4317">
      <w:pPr>
        <w:jc w:val="left"/>
        <w:rPr>
          <w:rtl/>
        </w:rPr>
      </w:pPr>
    </w:p>
    <w:p w14:paraId="5C98F553" w14:textId="77777777" w:rsidR="001F4317" w:rsidRDefault="001F4317" w:rsidP="001F4317">
      <w:pPr>
        <w:jc w:val="center"/>
        <w:rPr>
          <w:color w:val="0000FF"/>
          <w:szCs w:val="24"/>
          <w:u w:val="single"/>
        </w:rPr>
      </w:pPr>
      <w:hyperlink r:id="rId21" w:history="1">
        <w:r>
          <w:rPr>
            <w:color w:val="0000FF"/>
            <w:szCs w:val="24"/>
            <w:u w:val="single"/>
            <w:rtl/>
          </w:rPr>
          <w:t>בעניין עריכה ושינויים במסמכי פסיקה, חקיקה ועוד באתר נבו – הקש כאן</w:t>
        </w:r>
      </w:hyperlink>
      <w:r w:rsidR="00550CD2">
        <w:rPr>
          <w:rFonts w:hint="cs"/>
          <w:color w:val="0000FF"/>
          <w:szCs w:val="24"/>
          <w:u w:val="single"/>
          <w:rtl/>
        </w:rPr>
        <w:t xml:space="preserve"> </w:t>
      </w:r>
    </w:p>
    <w:p w14:paraId="730845BE" w14:textId="77777777" w:rsidR="00326C28" w:rsidRPr="001F4317" w:rsidRDefault="00326C28" w:rsidP="001F4317">
      <w:pPr>
        <w:jc w:val="center"/>
        <w:rPr>
          <w:color w:val="0000FF"/>
          <w:szCs w:val="24"/>
          <w:u w:val="single"/>
        </w:rPr>
      </w:pPr>
    </w:p>
    <w:sectPr w:rsidR="00326C28" w:rsidRPr="001F4317" w:rsidSect="001F4317">
      <w:headerReference w:type="even" r:id="rId22"/>
      <w:headerReference w:type="default" r:id="rId23"/>
      <w:footerReference w:type="even" r:id="rId24"/>
      <w:footerReference w:type="default" r:id="rId2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A303D" w14:textId="77777777" w:rsidR="00582F43" w:rsidRPr="00565D7E" w:rsidRDefault="00582F43">
      <w:pPr>
        <w:rPr>
          <w:rFonts w:cs="Arial"/>
          <w:szCs w:val="20"/>
        </w:rPr>
      </w:pPr>
      <w:r>
        <w:separator/>
      </w:r>
    </w:p>
  </w:endnote>
  <w:endnote w:type="continuationSeparator" w:id="0">
    <w:p w14:paraId="706F6851" w14:textId="77777777" w:rsidR="00582F43" w:rsidRPr="00565D7E" w:rsidRDefault="00582F4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D3D45" w14:textId="77777777" w:rsidR="0060300D" w:rsidRDefault="0060300D" w:rsidP="001F4317">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11</w:t>
    </w:r>
    <w:r>
      <w:rPr>
        <w:rFonts w:ascii="FrankRuehl" w:hAnsi="FrankRuehl" w:cs="FrankRuehl"/>
        <w:szCs w:val="24"/>
        <w:rtl/>
      </w:rPr>
      <w:fldChar w:fldCharType="end"/>
    </w:r>
  </w:p>
  <w:p w14:paraId="1C845004" w14:textId="77777777" w:rsidR="0060300D" w:rsidRPr="001F4317" w:rsidRDefault="0060300D" w:rsidP="001F4317">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1F4317">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8D277" w14:textId="77777777" w:rsidR="0060300D" w:rsidRDefault="0060300D" w:rsidP="001F4317">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7A1699">
      <w:rPr>
        <w:rFonts w:ascii="FrankRuehl" w:hAnsi="FrankRuehl" w:cs="FrankRuehl"/>
        <w:noProof/>
        <w:szCs w:val="24"/>
        <w:rtl/>
      </w:rPr>
      <w:t>1</w:t>
    </w:r>
    <w:r>
      <w:rPr>
        <w:rFonts w:ascii="FrankRuehl" w:hAnsi="FrankRuehl" w:cs="FrankRuehl"/>
        <w:szCs w:val="24"/>
        <w:rtl/>
      </w:rPr>
      <w:fldChar w:fldCharType="end"/>
    </w:r>
  </w:p>
  <w:p w14:paraId="11DEE25F" w14:textId="77777777" w:rsidR="0060300D" w:rsidRPr="001F4317" w:rsidRDefault="0060300D" w:rsidP="001F4317">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1F4317">
      <w:rPr>
        <w:rFonts w:ascii="FrankRuehl" w:hAnsi="FrankRuehl" w:cs="FrankRuehl"/>
        <w:color w:val="000000"/>
        <w:szCs w:val="24"/>
      </w:rPr>
      <w:pict w14:anchorId="1CA13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5FFF6" w14:textId="77777777" w:rsidR="00582F43" w:rsidRPr="00565D7E" w:rsidRDefault="00582F43">
      <w:pPr>
        <w:rPr>
          <w:rFonts w:cs="Arial"/>
          <w:szCs w:val="20"/>
        </w:rPr>
      </w:pPr>
      <w:r>
        <w:separator/>
      </w:r>
    </w:p>
  </w:footnote>
  <w:footnote w:type="continuationSeparator" w:id="0">
    <w:p w14:paraId="3F0AD63C" w14:textId="77777777" w:rsidR="00582F43" w:rsidRPr="00565D7E" w:rsidRDefault="00582F4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1B088" w14:textId="77777777" w:rsidR="0060300D" w:rsidRPr="001F4317" w:rsidRDefault="0060300D" w:rsidP="001F4317">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3752-07-14</w:t>
    </w:r>
    <w:r>
      <w:rPr>
        <w:color w:val="000000"/>
        <w:sz w:val="22"/>
        <w:szCs w:val="22"/>
        <w:rtl/>
      </w:rPr>
      <w:tab/>
      <w:t xml:space="preserve"> מדינת ישראל נ' רפאל ביטון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5166F" w14:textId="77777777" w:rsidR="0060300D" w:rsidRPr="001F4317" w:rsidRDefault="0060300D" w:rsidP="001F4317">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3752-07-14</w:t>
    </w:r>
    <w:r>
      <w:rPr>
        <w:color w:val="000000"/>
        <w:sz w:val="22"/>
        <w:szCs w:val="22"/>
        <w:rtl/>
      </w:rPr>
      <w:tab/>
      <w:t xml:space="preserve"> מדינת ישראל נ' רפאל ביטון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26C28"/>
    <w:rsid w:val="001F4317"/>
    <w:rsid w:val="00326C28"/>
    <w:rsid w:val="00345852"/>
    <w:rsid w:val="003A7C35"/>
    <w:rsid w:val="00550CD2"/>
    <w:rsid w:val="00572554"/>
    <w:rsid w:val="00582F43"/>
    <w:rsid w:val="0060300D"/>
    <w:rsid w:val="007A1699"/>
    <w:rsid w:val="009D6542"/>
    <w:rsid w:val="00BF40CB"/>
    <w:rsid w:val="00CB5D0E"/>
    <w:rsid w:val="00DD79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E49204"/>
  <w15:chartTrackingRefBased/>
  <w15:docId w15:val="{4676A459-5389-413B-B1BB-C7F3FD84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6C28"/>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26C28"/>
    <w:pPr>
      <w:tabs>
        <w:tab w:val="center" w:pos="4153"/>
        <w:tab w:val="right" w:pos="8306"/>
      </w:tabs>
    </w:pPr>
  </w:style>
  <w:style w:type="paragraph" w:styleId="a4">
    <w:name w:val="footer"/>
    <w:basedOn w:val="a"/>
    <w:rsid w:val="00326C28"/>
    <w:pPr>
      <w:tabs>
        <w:tab w:val="center" w:pos="4153"/>
        <w:tab w:val="right" w:pos="8306"/>
      </w:tabs>
    </w:pPr>
  </w:style>
  <w:style w:type="character" w:styleId="a5">
    <w:name w:val="page number"/>
    <w:basedOn w:val="a0"/>
    <w:rsid w:val="00326C28"/>
  </w:style>
  <w:style w:type="paragraph" w:customStyle="1" w:styleId="12">
    <w:name w:val="רגיל + ‏12 נק'"/>
    <w:aliases w:val="מיושר לשני הצדדים,מרווח בין שורות:  שורה וחצי"/>
    <w:basedOn w:val="a"/>
    <w:rsid w:val="00326C28"/>
    <w:pPr>
      <w:spacing w:line="240" w:lineRule="auto"/>
      <w:jc w:val="left"/>
    </w:pPr>
    <w:rPr>
      <w:rFonts w:ascii="Times New Roman" w:eastAsia="Times New Roman" w:hAnsi="Times New Roman"/>
      <w:b/>
      <w:bCs/>
      <w:szCs w:val="24"/>
      <w:u w:val="single"/>
    </w:rPr>
  </w:style>
  <w:style w:type="paragraph" w:styleId="a6">
    <w:name w:val="Body Text"/>
    <w:basedOn w:val="a"/>
    <w:link w:val="a7"/>
    <w:rsid w:val="00326C28"/>
    <w:rPr>
      <w:rFonts w:ascii="Times New Roman" w:eastAsia="Times New Roman" w:hAnsi="Times New Roman"/>
      <w:noProof/>
      <w:szCs w:val="24"/>
      <w:lang w:eastAsia="he-IL"/>
    </w:rPr>
  </w:style>
  <w:style w:type="character" w:customStyle="1" w:styleId="a7">
    <w:name w:val="גוף טקסט תו"/>
    <w:link w:val="a6"/>
    <w:rsid w:val="00326C28"/>
    <w:rPr>
      <w:rFonts w:cs="David"/>
      <w:noProof/>
      <w:sz w:val="24"/>
      <w:szCs w:val="24"/>
      <w:lang w:val="en-US" w:eastAsia="he-IL" w:bidi="he-IL"/>
    </w:rPr>
  </w:style>
  <w:style w:type="character" w:styleId="a8">
    <w:name w:val="line number"/>
    <w:basedOn w:val="a0"/>
    <w:rsid w:val="00326C28"/>
  </w:style>
  <w:style w:type="character" w:styleId="Hyperlink">
    <w:name w:val="Hyperlink"/>
    <w:rsid w:val="001F43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7932979" TargetMode="External"/><Relationship Id="rId13" Type="http://schemas.openxmlformats.org/officeDocument/2006/relationships/hyperlink" Target="http://www.nevo.co.il/case/17943750" TargetMode="External"/><Relationship Id="rId18" Type="http://schemas.openxmlformats.org/officeDocument/2006/relationships/hyperlink" Target="http://www.nevo.co.il/law/4216"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case/5849797" TargetMode="External"/><Relationship Id="rId17" Type="http://schemas.openxmlformats.org/officeDocument/2006/relationships/hyperlink" Target="http://www.nevo.co.il/case/5810781"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17922413" TargetMode="External"/><Relationship Id="rId20"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5849797" TargetMode="External"/><Relationship Id="rId23" Type="http://schemas.openxmlformats.org/officeDocument/2006/relationships/header" Target="header2.xml"/><Relationship Id="rId10" Type="http://schemas.openxmlformats.org/officeDocument/2006/relationships/hyperlink" Target="http://www.nevo.co.il/case/11279208" TargetMode="External"/><Relationship Id="rId19"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case/6083564" TargetMode="External"/><Relationship Id="rId14" Type="http://schemas.openxmlformats.org/officeDocument/2006/relationships/hyperlink" Target="http://www.nevo.co.il/case/5810781"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1857</Words>
  <Characters>9288</Characters>
  <Application>Microsoft Office Word</Application>
  <DocSecurity>0</DocSecurity>
  <Lines>77</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11123</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8257637</vt:i4>
      </vt:variant>
      <vt:variant>
        <vt:i4>36</vt:i4>
      </vt:variant>
      <vt:variant>
        <vt:i4>0</vt:i4>
      </vt:variant>
      <vt:variant>
        <vt:i4>5</vt:i4>
      </vt:variant>
      <vt:variant>
        <vt:lpwstr>http://www.nevo.co.il/law/4216</vt:lpwstr>
      </vt:variant>
      <vt:variant>
        <vt:lpwstr/>
      </vt:variant>
      <vt:variant>
        <vt:i4>3276916</vt:i4>
      </vt:variant>
      <vt:variant>
        <vt:i4>33</vt:i4>
      </vt:variant>
      <vt:variant>
        <vt:i4>0</vt:i4>
      </vt:variant>
      <vt:variant>
        <vt:i4>5</vt:i4>
      </vt:variant>
      <vt:variant>
        <vt:lpwstr>http://www.nevo.co.il/case/5810781</vt:lpwstr>
      </vt:variant>
      <vt:variant>
        <vt:lpwstr/>
      </vt:variant>
      <vt:variant>
        <vt:i4>3866741</vt:i4>
      </vt:variant>
      <vt:variant>
        <vt:i4>30</vt:i4>
      </vt:variant>
      <vt:variant>
        <vt:i4>0</vt:i4>
      </vt:variant>
      <vt:variant>
        <vt:i4>5</vt:i4>
      </vt:variant>
      <vt:variant>
        <vt:lpwstr>http://www.nevo.co.il/case/17922413</vt:lpwstr>
      </vt:variant>
      <vt:variant>
        <vt:lpwstr/>
      </vt:variant>
      <vt:variant>
        <vt:i4>3211388</vt:i4>
      </vt:variant>
      <vt:variant>
        <vt:i4>27</vt:i4>
      </vt:variant>
      <vt:variant>
        <vt:i4>0</vt:i4>
      </vt:variant>
      <vt:variant>
        <vt:i4>5</vt:i4>
      </vt:variant>
      <vt:variant>
        <vt:lpwstr>http://www.nevo.co.il/case/5849797</vt:lpwstr>
      </vt:variant>
      <vt:variant>
        <vt:lpwstr/>
      </vt:variant>
      <vt:variant>
        <vt:i4>3276916</vt:i4>
      </vt:variant>
      <vt:variant>
        <vt:i4>24</vt:i4>
      </vt:variant>
      <vt:variant>
        <vt:i4>0</vt:i4>
      </vt:variant>
      <vt:variant>
        <vt:i4>5</vt:i4>
      </vt:variant>
      <vt:variant>
        <vt:lpwstr>http://www.nevo.co.il/case/5810781</vt:lpwstr>
      </vt:variant>
      <vt:variant>
        <vt:lpwstr/>
      </vt:variant>
      <vt:variant>
        <vt:i4>4063344</vt:i4>
      </vt:variant>
      <vt:variant>
        <vt:i4>21</vt:i4>
      </vt:variant>
      <vt:variant>
        <vt:i4>0</vt:i4>
      </vt:variant>
      <vt:variant>
        <vt:i4>5</vt:i4>
      </vt:variant>
      <vt:variant>
        <vt:lpwstr>http://www.nevo.co.il/case/17943750</vt:lpwstr>
      </vt:variant>
      <vt:variant>
        <vt:lpwstr/>
      </vt:variant>
      <vt:variant>
        <vt:i4>3211388</vt:i4>
      </vt:variant>
      <vt:variant>
        <vt:i4>18</vt:i4>
      </vt:variant>
      <vt:variant>
        <vt:i4>0</vt:i4>
      </vt:variant>
      <vt:variant>
        <vt:i4>5</vt:i4>
      </vt:variant>
      <vt:variant>
        <vt:lpwstr>http://www.nevo.co.il/case/5849797</vt:lpwstr>
      </vt:variant>
      <vt:variant>
        <vt:lpwstr/>
      </vt:variant>
      <vt:variant>
        <vt:i4>7995492</vt:i4>
      </vt:variant>
      <vt:variant>
        <vt:i4>15</vt:i4>
      </vt:variant>
      <vt:variant>
        <vt:i4>0</vt:i4>
      </vt:variant>
      <vt:variant>
        <vt:i4>5</vt:i4>
      </vt:variant>
      <vt:variant>
        <vt:lpwstr>http://www.nevo.co.il/law/70301</vt:lpwstr>
      </vt:variant>
      <vt:variant>
        <vt:lpwstr/>
      </vt:variant>
      <vt:variant>
        <vt:i4>3801200</vt:i4>
      </vt:variant>
      <vt:variant>
        <vt:i4>12</vt:i4>
      </vt:variant>
      <vt:variant>
        <vt:i4>0</vt:i4>
      </vt:variant>
      <vt:variant>
        <vt:i4>5</vt:i4>
      </vt:variant>
      <vt:variant>
        <vt:lpwstr>http://www.nevo.co.il/case/11279208</vt:lpwstr>
      </vt:variant>
      <vt:variant>
        <vt:lpwstr/>
      </vt:variant>
      <vt:variant>
        <vt:i4>4128881</vt:i4>
      </vt:variant>
      <vt:variant>
        <vt:i4>9</vt:i4>
      </vt:variant>
      <vt:variant>
        <vt:i4>0</vt:i4>
      </vt:variant>
      <vt:variant>
        <vt:i4>5</vt:i4>
      </vt:variant>
      <vt:variant>
        <vt:lpwstr>http://www.nevo.co.il/case/6083564</vt:lpwstr>
      </vt:variant>
      <vt:variant>
        <vt:lpwstr/>
      </vt:variant>
      <vt:variant>
        <vt:i4>3997817</vt:i4>
      </vt:variant>
      <vt:variant>
        <vt:i4>6</vt:i4>
      </vt:variant>
      <vt:variant>
        <vt:i4>0</vt:i4>
      </vt:variant>
      <vt:variant>
        <vt:i4>5</vt:i4>
      </vt:variant>
      <vt:variant>
        <vt:lpwstr>http://www.nevo.co.il/case/17932979</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2025-04-22T22:23:00Z</dcterms:created>
  <dcterms:modified xsi:type="dcterms:W3CDTF">2025-04-22T22:23:00Z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3752</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רפאל ביטון</vt:lpwstr>
  </property>
  <property fmtid="{D5CDD505-2E9C-101B-9397-08002B2CF9AE}" pid="10" name="LAWYER">
    <vt:lpwstr>ליפז סימני;דוגמן;וו דוגמן פנינה בן יוסף</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20150319</vt:lpwstr>
  </property>
  <property fmtid="{D5CDD505-2E9C-101B-9397-08002B2CF9AE}" pid="14" name="TYPE_N_DATE">
    <vt:lpwstr>38020150319</vt:lpwstr>
  </property>
  <property fmtid="{D5CDD505-2E9C-101B-9397-08002B2CF9AE}" pid="15" name="WORDNUMPAGES">
    <vt:lpwstr>7</vt:lpwstr>
  </property>
  <property fmtid="{D5CDD505-2E9C-101B-9397-08002B2CF9AE}" pid="16" name="TYPE_ABS_DATE">
    <vt:lpwstr>380020150319</vt:lpwstr>
  </property>
  <property fmtid="{D5CDD505-2E9C-101B-9397-08002B2CF9AE}" pid="17" name="ISABSTRACT">
    <vt:lpwstr>Y</vt:lpwstr>
  </property>
  <property fmtid="{D5CDD505-2E9C-101B-9397-08002B2CF9AE}" pid="18" name="CASESLISTTMP1">
    <vt:lpwstr>17932979;6083564;11279208;5849797:2;17943750;5810781:2;17922413</vt:lpwstr>
  </property>
  <property fmtid="{D5CDD505-2E9C-101B-9397-08002B2CF9AE}" pid="19" name="LAWLISTTMP1">
    <vt:lpwstr>70301</vt:lpwstr>
  </property>
  <property fmtid="{D5CDD505-2E9C-101B-9397-08002B2CF9AE}" pid="20" name="LAWLISTTMP2">
    <vt:lpwstr>4216:3</vt:lpwstr>
  </property>
</Properties>
</file>