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B7EB3" w:rsidRPr="00C55376" w14:paraId="77F2BA82" w14:textId="77777777">
        <w:trPr>
          <w:trHeight w:hRule="exact" w:val="418"/>
          <w:jc w:val="center"/>
        </w:trPr>
        <w:tc>
          <w:tcPr>
            <w:tcW w:w="8720" w:type="dxa"/>
            <w:gridSpan w:val="3"/>
          </w:tcPr>
          <w:p w14:paraId="7FCD0982" w14:textId="77777777" w:rsidR="004B7EB3" w:rsidRPr="00C55376" w:rsidRDefault="00C55376">
            <w:pPr>
              <w:pStyle w:val="a4"/>
              <w:tabs>
                <w:tab w:val="clear" w:pos="8306"/>
              </w:tabs>
              <w:jc w:val="center"/>
              <w:rPr>
                <w:rFonts w:ascii="Tahoma" w:hAnsi="Tahoma" w:cs="Tahoma"/>
                <w:b/>
                <w:bCs/>
                <w:color w:val="000080"/>
                <w:sz w:val="20"/>
                <w:szCs w:val="20"/>
                <w:rtl/>
              </w:rPr>
            </w:pPr>
            <w:bookmarkStart w:id="0" w:name="LastJudge"/>
            <w:r w:rsidRPr="00C55376">
              <w:rPr>
                <w:rFonts w:ascii="Tahoma" w:hAnsi="Tahoma" w:cs="Tahoma"/>
                <w:b/>
                <w:bCs/>
                <w:color w:val="000080"/>
                <w:sz w:val="20"/>
                <w:szCs w:val="20"/>
                <w:rtl/>
              </w:rPr>
              <w:t>בית משפט השלום בעכו</w:t>
            </w:r>
          </w:p>
        </w:tc>
      </w:tr>
      <w:tr w:rsidR="004B7EB3" w:rsidRPr="00C55376" w14:paraId="12F04D2E" w14:textId="77777777">
        <w:trPr>
          <w:trHeight w:val="337"/>
          <w:jc w:val="center"/>
        </w:trPr>
        <w:tc>
          <w:tcPr>
            <w:tcW w:w="6396" w:type="dxa"/>
          </w:tcPr>
          <w:p w14:paraId="35E9F7DA" w14:textId="77777777" w:rsidR="004B7EB3" w:rsidRPr="00C55376" w:rsidRDefault="00C55376">
            <w:pPr>
              <w:rPr>
                <w:b/>
                <w:bCs/>
                <w:sz w:val="26"/>
                <w:szCs w:val="26"/>
                <w:rtl/>
              </w:rPr>
            </w:pPr>
            <w:r w:rsidRPr="00C55376">
              <w:rPr>
                <w:b/>
                <w:bCs/>
                <w:sz w:val="26"/>
                <w:szCs w:val="26"/>
                <w:rtl/>
              </w:rPr>
              <w:t>ת"פ</w:t>
            </w:r>
            <w:r w:rsidRPr="00C55376">
              <w:rPr>
                <w:rFonts w:hint="cs"/>
                <w:b/>
                <w:bCs/>
                <w:sz w:val="26"/>
                <w:szCs w:val="26"/>
                <w:rtl/>
              </w:rPr>
              <w:t xml:space="preserve"> </w:t>
            </w:r>
            <w:r w:rsidRPr="00C55376">
              <w:rPr>
                <w:b/>
                <w:bCs/>
                <w:sz w:val="26"/>
                <w:szCs w:val="26"/>
                <w:rtl/>
              </w:rPr>
              <w:t>45226-07-14</w:t>
            </w:r>
            <w:r w:rsidRPr="00C55376">
              <w:rPr>
                <w:rFonts w:hint="cs"/>
                <w:b/>
                <w:bCs/>
                <w:sz w:val="26"/>
                <w:szCs w:val="26"/>
                <w:rtl/>
              </w:rPr>
              <w:t xml:space="preserve"> </w:t>
            </w:r>
            <w:r w:rsidRPr="00C55376">
              <w:rPr>
                <w:b/>
                <w:bCs/>
                <w:sz w:val="26"/>
                <w:szCs w:val="26"/>
                <w:rtl/>
              </w:rPr>
              <w:t>מדינת ישראל נ' לחמני</w:t>
            </w:r>
          </w:p>
          <w:p w14:paraId="6BD62BF4" w14:textId="77777777" w:rsidR="004B7EB3" w:rsidRPr="00C55376" w:rsidRDefault="004B7EB3">
            <w:pPr>
              <w:rPr>
                <w:b/>
                <w:bCs/>
                <w:sz w:val="26"/>
                <w:szCs w:val="26"/>
                <w:rtl/>
              </w:rPr>
            </w:pPr>
          </w:p>
        </w:tc>
        <w:tc>
          <w:tcPr>
            <w:tcW w:w="236" w:type="dxa"/>
          </w:tcPr>
          <w:p w14:paraId="12610D9B" w14:textId="77777777" w:rsidR="004B7EB3" w:rsidRPr="00C55376" w:rsidRDefault="004B7EB3">
            <w:pPr>
              <w:pStyle w:val="a4"/>
              <w:jc w:val="right"/>
              <w:rPr>
                <w:b/>
                <w:bCs/>
                <w:sz w:val="26"/>
                <w:szCs w:val="26"/>
                <w:rtl/>
              </w:rPr>
            </w:pPr>
          </w:p>
        </w:tc>
        <w:tc>
          <w:tcPr>
            <w:tcW w:w="2088" w:type="dxa"/>
          </w:tcPr>
          <w:p w14:paraId="30539E65" w14:textId="77777777" w:rsidR="004B7EB3" w:rsidRPr="00C55376" w:rsidRDefault="00C55376">
            <w:pPr>
              <w:pStyle w:val="a4"/>
              <w:tabs>
                <w:tab w:val="clear" w:pos="4153"/>
              </w:tabs>
              <w:jc w:val="right"/>
              <w:rPr>
                <w:b/>
                <w:bCs/>
                <w:sz w:val="26"/>
                <w:szCs w:val="26"/>
                <w:rtl/>
              </w:rPr>
            </w:pPr>
            <w:r w:rsidRPr="00C55376">
              <w:rPr>
                <w:b/>
                <w:bCs/>
                <w:sz w:val="26"/>
                <w:szCs w:val="26"/>
                <w:rtl/>
              </w:rPr>
              <w:t>19 יוני 2016</w:t>
            </w:r>
          </w:p>
        </w:tc>
      </w:tr>
    </w:tbl>
    <w:p w14:paraId="27CD91F0" w14:textId="77777777" w:rsidR="004B7EB3" w:rsidRPr="00C55376" w:rsidRDefault="004B7EB3">
      <w:pPr>
        <w:pStyle w:val="a4"/>
        <w:jc w:val="center"/>
        <w:rPr>
          <w:rFonts w:ascii="Tahoma" w:hAnsi="Tahoma" w:cs="Tahoma"/>
          <w:b/>
          <w:bCs/>
          <w:color w:val="000080"/>
          <w:sz w:val="20"/>
          <w:szCs w:val="20"/>
          <w:rtl/>
        </w:rPr>
      </w:pPr>
    </w:p>
    <w:p w14:paraId="14646ED2" w14:textId="77777777" w:rsidR="004B7EB3" w:rsidRPr="00C55376" w:rsidRDefault="004B7EB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4B7EB3" w:rsidRPr="00C55376" w14:paraId="4229B391" w14:textId="77777777">
        <w:trPr>
          <w:gridAfter w:val="1"/>
          <w:wAfter w:w="56" w:type="dxa"/>
        </w:trPr>
        <w:tc>
          <w:tcPr>
            <w:tcW w:w="8718" w:type="dxa"/>
            <w:gridSpan w:val="2"/>
            <w:shd w:val="clear" w:color="auto" w:fill="auto"/>
          </w:tcPr>
          <w:p w14:paraId="6BFC1E77" w14:textId="77777777" w:rsidR="004B7EB3" w:rsidRPr="00C55376" w:rsidRDefault="00C55376">
            <w:pPr>
              <w:rPr>
                <w:rFonts w:ascii="Times New Roman" w:eastAsia="Times New Roman" w:hAnsi="Times New Roman"/>
                <w:b/>
                <w:bCs/>
                <w:sz w:val="26"/>
                <w:szCs w:val="26"/>
                <w:rtl/>
              </w:rPr>
            </w:pPr>
            <w:r w:rsidRPr="00C55376">
              <w:rPr>
                <w:rFonts w:ascii="Times New Roman" w:eastAsia="Times New Roman" w:hAnsi="Times New Roman" w:hint="cs"/>
                <w:b/>
                <w:bCs/>
                <w:sz w:val="26"/>
                <w:szCs w:val="26"/>
                <w:rtl/>
              </w:rPr>
              <w:t>בפני כבוד ה</w:t>
            </w:r>
            <w:r w:rsidRPr="00C55376">
              <w:rPr>
                <w:rFonts w:ascii="Times New Roman" w:eastAsia="Times New Roman" w:hAnsi="Times New Roman" w:hint="cs"/>
                <w:rtl/>
              </w:rPr>
              <w:t>שופטת שושנה פיינסוד-כהן</w:t>
            </w:r>
            <w:r w:rsidRPr="00C55376">
              <w:rPr>
                <w:rStyle w:val="TimesNewRomanTimesNewRoman"/>
                <w:rFonts w:eastAsia="Times New Roman"/>
                <w:rtl/>
              </w:rPr>
              <w:t xml:space="preserve"> </w:t>
            </w:r>
          </w:p>
        </w:tc>
      </w:tr>
      <w:tr w:rsidR="004B7EB3" w:rsidRPr="00C55376" w14:paraId="6E298B42" w14:textId="77777777">
        <w:trPr>
          <w:cantSplit/>
          <w:trHeight w:val="459"/>
        </w:trPr>
        <w:tc>
          <w:tcPr>
            <w:tcW w:w="2880" w:type="dxa"/>
            <w:shd w:val="clear" w:color="auto" w:fill="auto"/>
          </w:tcPr>
          <w:p w14:paraId="54DA90B9" w14:textId="77777777" w:rsidR="004B7EB3" w:rsidRPr="00C55376" w:rsidRDefault="00C55376">
            <w:pPr>
              <w:ind w:left="26"/>
              <w:rPr>
                <w:rFonts w:ascii="Times New Roman" w:eastAsia="Times New Roman" w:hAnsi="Times New Roman"/>
                <w:b/>
                <w:bCs/>
                <w:sz w:val="26"/>
                <w:szCs w:val="26"/>
                <w:rtl/>
              </w:rPr>
            </w:pPr>
            <w:bookmarkStart w:id="1" w:name="FirstAppellant"/>
            <w:r w:rsidRPr="00C55376">
              <w:rPr>
                <w:rFonts w:ascii="Times New Roman" w:eastAsia="Times New Roman" w:hAnsi="Times New Roman" w:hint="cs"/>
                <w:b/>
                <w:bCs/>
                <w:sz w:val="26"/>
                <w:szCs w:val="26"/>
                <w:rtl/>
              </w:rPr>
              <w:t>המאשימה</w:t>
            </w:r>
          </w:p>
        </w:tc>
        <w:tc>
          <w:tcPr>
            <w:tcW w:w="5922" w:type="dxa"/>
            <w:gridSpan w:val="2"/>
            <w:shd w:val="clear" w:color="auto" w:fill="auto"/>
          </w:tcPr>
          <w:p w14:paraId="5FEEFB3F" w14:textId="77777777" w:rsidR="004B7EB3" w:rsidRPr="00C55376" w:rsidRDefault="00C55376" w:rsidP="00091AA9">
            <w:pPr>
              <w:rPr>
                <w:rFonts w:ascii="Times New Roman" w:eastAsia="Times New Roman" w:hAnsi="Times New Roman" w:hint="cs"/>
                <w:b/>
                <w:bCs/>
                <w:sz w:val="26"/>
                <w:szCs w:val="26"/>
                <w:rtl/>
              </w:rPr>
            </w:pPr>
            <w:r w:rsidRPr="00C55376">
              <w:rPr>
                <w:rFonts w:ascii="Times New Roman" w:eastAsia="Times New Roman" w:hAnsi="Times New Roman" w:cs="Times New Roman" w:hint="cs"/>
                <w:rtl/>
              </w:rPr>
              <w:t xml:space="preserve"> </w:t>
            </w:r>
            <w:r w:rsidRPr="00C55376">
              <w:rPr>
                <w:rFonts w:ascii="Times New Roman" w:eastAsia="Times New Roman" w:hAnsi="Times New Roman" w:hint="cs"/>
                <w:rtl/>
              </w:rPr>
              <w:t>מדינת ישראל</w:t>
            </w:r>
          </w:p>
        </w:tc>
      </w:tr>
      <w:bookmarkEnd w:id="1"/>
      <w:tr w:rsidR="004B7EB3" w:rsidRPr="00C55376" w14:paraId="536F61E5" w14:textId="77777777">
        <w:tc>
          <w:tcPr>
            <w:tcW w:w="8802" w:type="dxa"/>
            <w:gridSpan w:val="3"/>
            <w:shd w:val="clear" w:color="auto" w:fill="auto"/>
            <w:vAlign w:val="center"/>
          </w:tcPr>
          <w:p w14:paraId="4AD047FB" w14:textId="77777777" w:rsidR="004B7EB3" w:rsidRPr="00C55376" w:rsidRDefault="004B7EB3">
            <w:pPr>
              <w:jc w:val="center"/>
              <w:rPr>
                <w:rFonts w:ascii="Arial" w:eastAsia="Times New Roman" w:hAnsi="Arial"/>
                <w:b/>
                <w:bCs/>
                <w:sz w:val="26"/>
                <w:szCs w:val="26"/>
                <w:rtl/>
              </w:rPr>
            </w:pPr>
          </w:p>
          <w:p w14:paraId="33663C54" w14:textId="77777777" w:rsidR="004B7EB3" w:rsidRPr="00C55376" w:rsidRDefault="00C55376">
            <w:pPr>
              <w:jc w:val="center"/>
              <w:rPr>
                <w:rFonts w:ascii="Arial" w:eastAsia="Times New Roman" w:hAnsi="Arial"/>
                <w:b/>
                <w:bCs/>
                <w:sz w:val="26"/>
                <w:szCs w:val="26"/>
                <w:rtl/>
              </w:rPr>
            </w:pPr>
            <w:r w:rsidRPr="00C55376">
              <w:rPr>
                <w:rFonts w:ascii="Arial" w:eastAsia="Times New Roman" w:hAnsi="Arial"/>
                <w:b/>
                <w:bCs/>
                <w:sz w:val="26"/>
                <w:szCs w:val="26"/>
                <w:rtl/>
              </w:rPr>
              <w:t>נגד</w:t>
            </w:r>
          </w:p>
          <w:p w14:paraId="74253BAD" w14:textId="77777777" w:rsidR="004B7EB3" w:rsidRPr="00C55376" w:rsidRDefault="004B7EB3">
            <w:pPr>
              <w:rPr>
                <w:rFonts w:ascii="Arial" w:eastAsia="Times New Roman" w:hAnsi="Arial"/>
                <w:b/>
                <w:bCs/>
                <w:sz w:val="26"/>
                <w:szCs w:val="26"/>
              </w:rPr>
            </w:pPr>
          </w:p>
        </w:tc>
      </w:tr>
      <w:tr w:rsidR="004B7EB3" w:rsidRPr="00C55376" w14:paraId="6182098F" w14:textId="77777777">
        <w:tc>
          <w:tcPr>
            <w:tcW w:w="2880" w:type="dxa"/>
            <w:shd w:val="clear" w:color="auto" w:fill="auto"/>
          </w:tcPr>
          <w:p w14:paraId="730B6661" w14:textId="77777777" w:rsidR="004B7EB3" w:rsidRPr="00C55376" w:rsidRDefault="00C55376">
            <w:pPr>
              <w:ind w:left="26"/>
              <w:rPr>
                <w:rFonts w:ascii="Times New Roman" w:eastAsia="Times New Roman" w:hAnsi="Times New Roman"/>
                <w:b/>
                <w:bCs/>
                <w:sz w:val="26"/>
                <w:szCs w:val="26"/>
                <w:rtl/>
              </w:rPr>
            </w:pPr>
            <w:r w:rsidRPr="00C55376">
              <w:rPr>
                <w:rFonts w:ascii="Times New Roman" w:eastAsia="Times New Roman" w:hAnsi="Times New Roman" w:hint="cs"/>
                <w:b/>
                <w:bCs/>
                <w:sz w:val="26"/>
                <w:szCs w:val="26"/>
                <w:rtl/>
              </w:rPr>
              <w:t>הנאשם</w:t>
            </w:r>
          </w:p>
        </w:tc>
        <w:tc>
          <w:tcPr>
            <w:tcW w:w="5922" w:type="dxa"/>
            <w:gridSpan w:val="2"/>
            <w:shd w:val="clear" w:color="auto" w:fill="auto"/>
          </w:tcPr>
          <w:p w14:paraId="17638F6D" w14:textId="77777777" w:rsidR="004B7EB3" w:rsidRPr="00C55376" w:rsidRDefault="00C55376" w:rsidP="00091AA9">
            <w:pPr>
              <w:rPr>
                <w:rFonts w:ascii="Times New Roman" w:eastAsia="Times New Roman" w:hAnsi="Times New Roman" w:hint="cs"/>
                <w:b/>
                <w:bCs/>
                <w:sz w:val="26"/>
                <w:szCs w:val="26"/>
                <w:rtl/>
              </w:rPr>
            </w:pPr>
            <w:r w:rsidRPr="00C55376">
              <w:rPr>
                <w:rFonts w:ascii="Times New Roman" w:eastAsia="Times New Roman" w:hAnsi="Times New Roman" w:cs="Times New Roman" w:hint="cs"/>
                <w:rtl/>
              </w:rPr>
              <w:t xml:space="preserve"> </w:t>
            </w:r>
            <w:r w:rsidRPr="00C55376">
              <w:rPr>
                <w:rFonts w:ascii="Times New Roman" w:eastAsia="Times New Roman" w:hAnsi="Times New Roman" w:hint="cs"/>
                <w:rtl/>
              </w:rPr>
              <w:t>יובל לחמני</w:t>
            </w:r>
          </w:p>
        </w:tc>
      </w:tr>
    </w:tbl>
    <w:p w14:paraId="54B59F4B" w14:textId="77777777" w:rsidR="004B7EB3" w:rsidRPr="00C55376" w:rsidRDefault="00C55376">
      <w:pPr>
        <w:spacing w:line="360" w:lineRule="auto"/>
        <w:jc w:val="both"/>
        <w:rPr>
          <w:sz w:val="6"/>
          <w:szCs w:val="6"/>
          <w:rtl/>
        </w:rPr>
      </w:pPr>
      <w:r w:rsidRPr="00C55376">
        <w:rPr>
          <w:sz w:val="6"/>
          <w:szCs w:val="6"/>
          <w:rtl/>
        </w:rPr>
        <w:t>&lt;#2#&gt;</w:t>
      </w:r>
    </w:p>
    <w:p w14:paraId="56ACF31C" w14:textId="77777777" w:rsidR="004B7EB3" w:rsidRPr="00C55376" w:rsidRDefault="00C55376">
      <w:pPr>
        <w:pStyle w:val="12"/>
        <w:rPr>
          <w:u w:val="none"/>
          <w:rtl/>
        </w:rPr>
      </w:pPr>
      <w:r w:rsidRPr="00C55376">
        <w:rPr>
          <w:rFonts w:hint="cs"/>
          <w:u w:val="none"/>
          <w:rtl/>
        </w:rPr>
        <w:t>נוכחים:</w:t>
      </w:r>
    </w:p>
    <w:p w14:paraId="43F76478" w14:textId="77777777" w:rsidR="004B7EB3" w:rsidRPr="00C55376" w:rsidRDefault="00C55376">
      <w:pPr>
        <w:pStyle w:val="12"/>
        <w:rPr>
          <w:b w:val="0"/>
          <w:bCs w:val="0"/>
          <w:u w:val="none"/>
          <w:rtl/>
        </w:rPr>
      </w:pPr>
      <w:bookmarkStart w:id="2" w:name="FirstLawyer"/>
      <w:r w:rsidRPr="00C55376">
        <w:rPr>
          <w:rFonts w:hint="cs"/>
          <w:b w:val="0"/>
          <w:bCs w:val="0"/>
          <w:u w:val="none"/>
          <w:rtl/>
        </w:rPr>
        <w:t>ב"כ</w:t>
      </w:r>
      <w:bookmarkEnd w:id="2"/>
      <w:r w:rsidRPr="00C55376">
        <w:rPr>
          <w:rFonts w:hint="cs"/>
          <w:b w:val="0"/>
          <w:bCs w:val="0"/>
          <w:u w:val="none"/>
          <w:rtl/>
        </w:rPr>
        <w:t xml:space="preserve"> המאשימה: מתמחה מר דני קייזר</w:t>
      </w:r>
    </w:p>
    <w:p w14:paraId="04D62DA2" w14:textId="77777777" w:rsidR="004B7EB3" w:rsidRPr="00C55376" w:rsidRDefault="00C55376">
      <w:pPr>
        <w:pStyle w:val="12"/>
        <w:rPr>
          <w:b w:val="0"/>
          <w:bCs w:val="0"/>
          <w:u w:val="none"/>
          <w:rtl/>
        </w:rPr>
      </w:pPr>
      <w:r w:rsidRPr="00C55376">
        <w:rPr>
          <w:rFonts w:hint="cs"/>
          <w:b w:val="0"/>
          <w:bCs w:val="0"/>
          <w:u w:val="none"/>
          <w:rtl/>
        </w:rPr>
        <w:t>ב"כ הנאשם: עו"ד אדיב נסרה</w:t>
      </w:r>
    </w:p>
    <w:p w14:paraId="27A151C1" w14:textId="77777777" w:rsidR="004B7EB3" w:rsidRPr="00C55376" w:rsidRDefault="00C55376">
      <w:pPr>
        <w:pStyle w:val="12"/>
        <w:rPr>
          <w:b w:val="0"/>
          <w:bCs w:val="0"/>
          <w:u w:val="none"/>
          <w:rtl/>
        </w:rPr>
      </w:pPr>
      <w:r w:rsidRPr="00C55376">
        <w:rPr>
          <w:rFonts w:hint="cs"/>
          <w:b w:val="0"/>
          <w:bCs w:val="0"/>
          <w:u w:val="none"/>
          <w:rtl/>
        </w:rPr>
        <w:t xml:space="preserve">הנאשם: נוכח </w:t>
      </w:r>
    </w:p>
    <w:p w14:paraId="72CA31E7" w14:textId="77777777" w:rsidR="004B7EB3" w:rsidRPr="00C55376" w:rsidRDefault="004B7EB3">
      <w:pPr>
        <w:pStyle w:val="12"/>
        <w:rPr>
          <w:b w:val="0"/>
          <w:bCs w:val="0"/>
          <w:u w:val="none"/>
          <w:rtl/>
        </w:rPr>
      </w:pPr>
    </w:p>
    <w:p w14:paraId="51E94E1F" w14:textId="77777777" w:rsidR="00091AA9" w:rsidRDefault="00C55376">
      <w:pPr>
        <w:spacing w:line="360" w:lineRule="auto"/>
        <w:jc w:val="center"/>
        <w:rPr>
          <w:rFonts w:ascii="Arial" w:hAnsi="Arial"/>
          <w:sz w:val="28"/>
          <w:szCs w:val="28"/>
          <w:rtl/>
        </w:rPr>
      </w:pPr>
      <w:r w:rsidRPr="00C55376">
        <w:rPr>
          <w:rFonts w:ascii="Arial" w:hAnsi="Arial"/>
          <w:b/>
          <w:color w:val="FF0000"/>
          <w:sz w:val="28"/>
          <w:rtl/>
        </w:rPr>
        <w:t>במסמך זה הושמטו פרוטוקולים</w:t>
      </w:r>
      <w:bookmarkStart w:id="3" w:name="LawTable"/>
      <w:bookmarkEnd w:id="3"/>
    </w:p>
    <w:p w14:paraId="7E66E7FB" w14:textId="77777777" w:rsidR="00091AA9" w:rsidRPr="00091AA9" w:rsidRDefault="00091AA9" w:rsidP="00091AA9">
      <w:pPr>
        <w:spacing w:after="120" w:line="240" w:lineRule="exact"/>
        <w:ind w:left="283" w:hanging="283"/>
        <w:jc w:val="both"/>
        <w:rPr>
          <w:rFonts w:ascii="FrankRuehl" w:hAnsi="FrankRuehl" w:cs="FrankRuehl"/>
          <w:rtl/>
        </w:rPr>
      </w:pPr>
    </w:p>
    <w:p w14:paraId="4CDE7787" w14:textId="77777777" w:rsidR="00091AA9" w:rsidRPr="00091AA9" w:rsidRDefault="00091AA9" w:rsidP="00091AA9">
      <w:pPr>
        <w:spacing w:after="120" w:line="240" w:lineRule="exact"/>
        <w:ind w:left="283" w:hanging="283"/>
        <w:jc w:val="both"/>
        <w:rPr>
          <w:rFonts w:ascii="FrankRuehl" w:hAnsi="FrankRuehl" w:cs="FrankRuehl"/>
          <w:rtl/>
        </w:rPr>
      </w:pPr>
      <w:r w:rsidRPr="00091AA9">
        <w:rPr>
          <w:rFonts w:ascii="FrankRuehl" w:hAnsi="FrankRuehl" w:cs="FrankRuehl"/>
          <w:rtl/>
        </w:rPr>
        <w:t xml:space="preserve">חקיקה שאוזכרה: </w:t>
      </w:r>
    </w:p>
    <w:p w14:paraId="0D9C4CE3" w14:textId="77777777" w:rsidR="00091AA9" w:rsidRPr="00091AA9" w:rsidRDefault="00091AA9" w:rsidP="00091AA9">
      <w:pPr>
        <w:spacing w:after="120" w:line="240" w:lineRule="exact"/>
        <w:ind w:left="283" w:hanging="283"/>
        <w:jc w:val="both"/>
        <w:rPr>
          <w:rFonts w:ascii="FrankRuehl" w:hAnsi="FrankRuehl" w:cs="FrankRuehl"/>
          <w:rtl/>
        </w:rPr>
      </w:pPr>
      <w:hyperlink r:id="rId6" w:history="1">
        <w:r w:rsidRPr="00091AA9">
          <w:rPr>
            <w:rFonts w:ascii="FrankRuehl" w:hAnsi="FrankRuehl" w:cs="FrankRuehl"/>
            <w:color w:val="0000FF"/>
            <w:u w:val="single"/>
            <w:rtl/>
          </w:rPr>
          <w:t>חוק העונשין, תשל"ז-1977</w:t>
        </w:r>
      </w:hyperlink>
    </w:p>
    <w:p w14:paraId="403E67F2" w14:textId="77777777" w:rsidR="00091AA9" w:rsidRPr="00091AA9" w:rsidRDefault="00091AA9" w:rsidP="00091AA9">
      <w:pPr>
        <w:spacing w:after="120" w:line="240" w:lineRule="exact"/>
        <w:ind w:left="283" w:hanging="283"/>
        <w:jc w:val="both"/>
        <w:rPr>
          <w:rFonts w:ascii="FrankRuehl" w:hAnsi="FrankRuehl" w:cs="FrankRuehl"/>
          <w:rtl/>
        </w:rPr>
      </w:pPr>
      <w:hyperlink r:id="rId7" w:history="1">
        <w:r w:rsidRPr="00091AA9">
          <w:rPr>
            <w:rFonts w:ascii="FrankRuehl" w:hAnsi="FrankRuehl" w:cs="FrankRuehl"/>
            <w:color w:val="0000FF"/>
            <w:u w:val="single"/>
            <w:rtl/>
          </w:rPr>
          <w:t>פקודת הסמים המסוכנים [נוסח חדש], תשל"ג-1973</w:t>
        </w:r>
      </w:hyperlink>
    </w:p>
    <w:p w14:paraId="352693B2" w14:textId="77777777" w:rsidR="00091AA9" w:rsidRPr="00091AA9" w:rsidRDefault="00091AA9" w:rsidP="00091AA9">
      <w:pPr>
        <w:spacing w:after="120" w:line="240" w:lineRule="exact"/>
        <w:ind w:left="283" w:hanging="283"/>
        <w:jc w:val="both"/>
        <w:rPr>
          <w:rFonts w:ascii="FrankRuehl" w:hAnsi="FrankRuehl" w:cs="FrankRuehl"/>
          <w:rtl/>
        </w:rPr>
      </w:pPr>
    </w:p>
    <w:p w14:paraId="23FCD2E8" w14:textId="77777777" w:rsidR="00C55376" w:rsidRPr="00C55376" w:rsidRDefault="00C55376" w:rsidP="00C55376">
      <w:pPr>
        <w:spacing w:line="360" w:lineRule="auto"/>
        <w:jc w:val="center"/>
        <w:rPr>
          <w:rFonts w:ascii="Arial" w:hAnsi="Arial"/>
          <w:b/>
          <w:bCs/>
          <w:sz w:val="28"/>
          <w:szCs w:val="28"/>
          <w:u w:val="single"/>
          <w:rtl/>
        </w:rPr>
      </w:pPr>
      <w:bookmarkStart w:id="4" w:name="LawTable_End"/>
      <w:bookmarkStart w:id="5" w:name="PsakDin"/>
      <w:bookmarkEnd w:id="0"/>
      <w:bookmarkEnd w:id="4"/>
      <w:r w:rsidRPr="00C55376">
        <w:rPr>
          <w:rFonts w:ascii="Arial" w:hAnsi="Arial"/>
          <w:b/>
          <w:bCs/>
          <w:sz w:val="28"/>
          <w:szCs w:val="28"/>
          <w:u w:val="single"/>
          <w:rtl/>
        </w:rPr>
        <w:t>גזר דין</w:t>
      </w:r>
    </w:p>
    <w:bookmarkEnd w:id="5"/>
    <w:p w14:paraId="3533CD72" w14:textId="77777777" w:rsidR="004B7EB3" w:rsidRDefault="004B7EB3">
      <w:pPr>
        <w:spacing w:line="360" w:lineRule="auto"/>
        <w:jc w:val="both"/>
        <w:rPr>
          <w:rFonts w:ascii="Arial" w:hAnsi="Arial"/>
        </w:rPr>
      </w:pPr>
    </w:p>
    <w:p w14:paraId="1F5D6CFA" w14:textId="77777777" w:rsidR="004B7EB3" w:rsidRDefault="00C55376">
      <w:pPr>
        <w:pStyle w:val="David"/>
        <w:ind w:left="720" w:hanging="720"/>
        <w:rPr>
          <w:rFonts w:ascii="David" w:hAnsi="David"/>
          <w:rtl/>
        </w:rPr>
      </w:pPr>
      <w:r>
        <w:rPr>
          <w:rFonts w:ascii="David" w:hAnsi="David" w:hint="cs"/>
          <w:rtl/>
        </w:rPr>
        <w:t>1.</w:t>
      </w:r>
      <w:r>
        <w:rPr>
          <w:rFonts w:ascii="David" w:hAnsi="David"/>
          <w:rtl/>
        </w:rPr>
        <w:tab/>
      </w:r>
      <w:r>
        <w:rPr>
          <w:rFonts w:ascii="David" w:hAnsi="David" w:hint="cs"/>
          <w:rtl/>
        </w:rPr>
        <w:t xml:space="preserve">הנאשם הורשע על פי הודאתו בעבירות החזקת כלים לצריכה עצמית של סם והחזקת סם לצריכה עצמית. עפ"י העבירות בהן הודה, אזי, ביום 19.314 שעה 10:30 בבוקר נתפס בביתו כשברשותו כלי עישון מאולתר וסם מסוכן מסוג קנאבינואידים במשקל שאינו ידוע למאשימה. </w:t>
      </w:r>
    </w:p>
    <w:p w14:paraId="5E2A6F23" w14:textId="77777777" w:rsidR="004B7EB3" w:rsidRDefault="004B7EB3">
      <w:pPr>
        <w:pStyle w:val="David"/>
        <w:ind w:left="720" w:hanging="720"/>
        <w:rPr>
          <w:rFonts w:ascii="David" w:hAnsi="David"/>
          <w:rtl/>
        </w:rPr>
      </w:pPr>
    </w:p>
    <w:p w14:paraId="1CF67406" w14:textId="77777777" w:rsidR="004B7EB3" w:rsidRDefault="00C55376">
      <w:pPr>
        <w:pStyle w:val="David"/>
        <w:ind w:left="720" w:hanging="720"/>
        <w:rPr>
          <w:rFonts w:ascii="David" w:hAnsi="David"/>
          <w:rtl/>
        </w:rPr>
      </w:pPr>
      <w:r>
        <w:rPr>
          <w:rFonts w:ascii="David" w:hAnsi="David" w:hint="cs"/>
          <w:rtl/>
        </w:rPr>
        <w:t>2.</w:t>
      </w:r>
      <w:r>
        <w:rPr>
          <w:rFonts w:ascii="David" w:hAnsi="David" w:hint="cs"/>
          <w:rtl/>
        </w:rPr>
        <w:tab/>
        <w:t xml:space="preserve">הנאשם נשלח לעריכת תסקיר בעניינו ולאחר מכן הגיעו הצדדים לידי הסכמה על פיה, יושת על הנאשם מאסר מותנה וכן הצדדים יטענו באופן חופשי לעניין הפסילה והפעלת הפסילה המותנית. </w:t>
      </w:r>
    </w:p>
    <w:p w14:paraId="35CDC9A5" w14:textId="77777777" w:rsidR="004B7EB3" w:rsidRDefault="004B7EB3">
      <w:pPr>
        <w:pStyle w:val="David"/>
        <w:ind w:left="720" w:hanging="720"/>
        <w:rPr>
          <w:rFonts w:ascii="David" w:hAnsi="David"/>
          <w:rtl/>
        </w:rPr>
      </w:pPr>
    </w:p>
    <w:p w14:paraId="32BD9303" w14:textId="77777777" w:rsidR="004B7EB3" w:rsidRDefault="00C55376">
      <w:pPr>
        <w:pStyle w:val="David"/>
        <w:ind w:left="720" w:hanging="720"/>
        <w:rPr>
          <w:rFonts w:ascii="Calibri" w:hAnsi="Calibri"/>
          <w:rtl/>
        </w:rPr>
      </w:pPr>
      <w:r>
        <w:rPr>
          <w:rFonts w:ascii="David" w:hAnsi="David" w:hint="cs"/>
          <w:rtl/>
        </w:rPr>
        <w:t>3.</w:t>
      </w:r>
      <w:r>
        <w:rPr>
          <w:rFonts w:ascii="David" w:hAnsi="David" w:hint="cs"/>
          <w:rtl/>
        </w:rPr>
        <w:tab/>
        <w:t>לבקשת ביהמ"ש השלימו הצדדים טיעוניהם לעניין פסילה המותנית. יחד עם זאת, שני הצדדים הסכימו כי בסמכותו של ביהמ"ש להאריך את הפסילה המותנית, אולם חלוקים היו בשאלה האם זהו המקרה</w:t>
      </w:r>
      <w:r>
        <w:rPr>
          <w:rFonts w:ascii="Calibri" w:hAnsi="Calibri" w:hint="cs"/>
          <w:rtl/>
        </w:rPr>
        <w:t xml:space="preserve"> בו יש מקום לעשות שימוש בסמכות זו. </w:t>
      </w:r>
    </w:p>
    <w:p w14:paraId="2DBDAC4A" w14:textId="77777777" w:rsidR="004B7EB3" w:rsidRDefault="004B7EB3">
      <w:pPr>
        <w:pStyle w:val="David"/>
        <w:ind w:left="720" w:hanging="720"/>
        <w:rPr>
          <w:rFonts w:ascii="Calibri" w:hAnsi="Calibri"/>
          <w:rtl/>
        </w:rPr>
      </w:pPr>
    </w:p>
    <w:p w14:paraId="60875053" w14:textId="77777777" w:rsidR="004B7EB3" w:rsidRDefault="00C55376">
      <w:pPr>
        <w:pStyle w:val="David"/>
        <w:ind w:left="720" w:hanging="720"/>
        <w:rPr>
          <w:rFonts w:ascii="Calibri" w:hAnsi="Calibri"/>
          <w:rtl/>
        </w:rPr>
      </w:pPr>
      <w:r>
        <w:rPr>
          <w:rFonts w:ascii="Calibri" w:hAnsi="Calibri" w:hint="cs"/>
          <w:rtl/>
        </w:rPr>
        <w:t>4.</w:t>
      </w:r>
      <w:r>
        <w:rPr>
          <w:rFonts w:ascii="Calibri" w:hAnsi="Calibri" w:hint="cs"/>
          <w:rtl/>
        </w:rPr>
        <w:tab/>
        <w:t xml:space="preserve">תסקיר שירות המבחן מלמד על שינוי מהותי שערך הנאשם בחייו. לעניין זה יצוין כי אף התקבלו שני תסקירים בעניינו. מן התסקירים עולה כי הנאשם בחר להפסיק את שימושו בסמים ועמד בכך. הנאשם אף החליף מקום עבודתו והיום עובד הוא אף מחוץ לעירו והוא נדרש לרכב לצורך המשך עבודתו. </w:t>
      </w:r>
    </w:p>
    <w:p w14:paraId="422157E5" w14:textId="77777777" w:rsidR="004B7EB3" w:rsidRDefault="00C55376">
      <w:pPr>
        <w:pStyle w:val="David"/>
        <w:ind w:left="720" w:hanging="720"/>
        <w:rPr>
          <w:rFonts w:ascii="Calibri" w:hAnsi="Calibri"/>
          <w:rtl/>
        </w:rPr>
      </w:pPr>
      <w:r>
        <w:rPr>
          <w:rFonts w:ascii="Calibri" w:hAnsi="Calibri"/>
          <w:rtl/>
        </w:rPr>
        <w:lastRenderedPageBreak/>
        <w:tab/>
      </w:r>
      <w:r>
        <w:rPr>
          <w:rFonts w:ascii="Calibri" w:hAnsi="Calibri" w:hint="cs"/>
          <w:rtl/>
        </w:rPr>
        <w:t xml:space="preserve">אכן ככלל יש מקום להפעיל פסילה מותנית. לא זו גם כהוראת המחוקק מי שהורשע בעבירת סמים ואין זו הרשעתו הראשונה, מצוות המחוקק פסילת רישיון נהיגה. רק באופן חריג לא יפסול ביהמ"ש נאשם שכזה מהחזקת רישיונו </w:t>
      </w:r>
      <w:r>
        <w:rPr>
          <w:rFonts w:ascii="Calibri" w:hAnsi="Calibri" w:hint="eastAsia"/>
          <w:rtl/>
        </w:rPr>
        <w:t>וזאת מטעמים</w:t>
      </w:r>
      <w:r>
        <w:rPr>
          <w:rFonts w:ascii="Calibri" w:hAnsi="Calibri" w:hint="cs"/>
          <w:rtl/>
        </w:rPr>
        <w:t xml:space="preserve"> מיוחדים שירשמו.  דומה בעיני כי שני טעמים מרכזיים עמדו בפני המחוקק. האחד, הסיכון שבנהיגה תחת השפעת סם. כאשר אדם הורשע למעלה מפעם אחת בשימוש בסם, מלמד הוא כי אין זה מקרי אלא מאפיין של חייו ובכך יוצר הוא סיכון. טעם נוסף שיכול ועמד בפני המחוקק הינו, כי ענישה צריכה להיות אפקטיבית ומרתיעה. יותר מענישה מותנית וקנסות, שלילת רישיון הנהיגה הינה עונש מוחשי ומרתיע הפוגע באורחות חייו של אדם.  על כן, באמת, יש להפעיל את סמכות הפסילה וקל וחומר פסילות מותנות. </w:t>
      </w:r>
    </w:p>
    <w:p w14:paraId="1435BA92" w14:textId="77777777" w:rsidR="004B7EB3" w:rsidRDefault="00C55376">
      <w:pPr>
        <w:spacing w:line="360" w:lineRule="auto"/>
        <w:jc w:val="both"/>
        <w:rPr>
          <w:rtl/>
        </w:rPr>
      </w:pPr>
      <w:r>
        <w:rPr>
          <w:rtl/>
        </w:rPr>
        <w:t xml:space="preserve"> </w:t>
      </w:r>
    </w:p>
    <w:p w14:paraId="6C43265D" w14:textId="77777777" w:rsidR="004B7EB3" w:rsidRDefault="00C55376">
      <w:pPr>
        <w:spacing w:line="360" w:lineRule="auto"/>
        <w:ind w:left="720" w:hanging="720"/>
        <w:jc w:val="both"/>
        <w:rPr>
          <w:rtl/>
        </w:rPr>
      </w:pPr>
      <w:r>
        <w:rPr>
          <w:rFonts w:hint="cs"/>
          <w:rtl/>
        </w:rPr>
        <w:t>5.</w:t>
      </w:r>
      <w:r>
        <w:rPr>
          <w:rFonts w:hint="cs"/>
          <w:rtl/>
        </w:rPr>
        <w:tab/>
        <w:t>לצד כל האמור לעיל, למדנו התיקון ל</w:t>
      </w:r>
      <w:hyperlink r:id="rId8" w:history="1">
        <w:r w:rsidRPr="00C55376">
          <w:rPr>
            <w:color w:val="0000FF"/>
            <w:u w:val="single"/>
            <w:rtl/>
          </w:rPr>
          <w:t>חוק העונשין</w:t>
        </w:r>
      </w:hyperlink>
      <w:r>
        <w:rPr>
          <w:rFonts w:hint="cs"/>
          <w:rtl/>
        </w:rPr>
        <w:t xml:space="preserve"> כי יש להעמיד את השיקום כערך בעל חשיבות מירבית. בפקודת הסמים, בה עסקינן כעת, אף נקבע כי יכול ביהמ"ש להמנע מהפעלת מאסר מותנה חב הפעלה אם הנאשם עבר שיקום ונגמל מן הסם. קל וחומר שיקול זה צריך לעמוד בפני ביהמ"ש כאשר עסקינן ברישיון נהיגה אשר מהווה מרכיב בשיקומו של נאשם. אובדן פרנסה ועבודה מסודרת הינה מכשול אמיתי בפני שיקום. הנאשם הוכיח את עצמו כבר תקופה ארוכה כנקי מהסם, כמחזיק בעבודתו ואף זכה להערכה חיובית מבני משפחתו אודות שיפור התפקוד ומחויבותו לבני הבית. על ביהמ"ש להיזהר מלהכשיל מהלך זה. דומה בעיני כי הידיעה כי הן מאסר מותנה והן פסילת רישיון חב הפעלה, לתקופה ארוכה של 24 חודשים כפי שהשית ביהמ"ש בהליך הקודם, תהווה גורם מרתיע בעל עוצמה רבה יותר לאחר שהשלים הלילך שיקום ופרנסת בני ביתו תלויה בכך. </w:t>
      </w:r>
    </w:p>
    <w:p w14:paraId="6723A7E2" w14:textId="77777777" w:rsidR="004B7EB3" w:rsidRDefault="004B7EB3">
      <w:pPr>
        <w:spacing w:line="360" w:lineRule="auto"/>
        <w:ind w:left="720" w:hanging="720"/>
        <w:jc w:val="both"/>
        <w:rPr>
          <w:rtl/>
        </w:rPr>
      </w:pPr>
    </w:p>
    <w:p w14:paraId="5DEC6ABB" w14:textId="77777777" w:rsidR="004B7EB3" w:rsidRDefault="00C55376">
      <w:pPr>
        <w:spacing w:line="360" w:lineRule="auto"/>
        <w:ind w:left="720" w:hanging="720"/>
        <w:jc w:val="both"/>
        <w:rPr>
          <w:rtl/>
        </w:rPr>
      </w:pPr>
      <w:r>
        <w:rPr>
          <w:rFonts w:hint="cs"/>
          <w:rtl/>
        </w:rPr>
        <w:t>6.</w:t>
      </w:r>
      <w:r>
        <w:rPr>
          <w:rFonts w:hint="cs"/>
          <w:rtl/>
        </w:rPr>
        <w:tab/>
        <w:t>לאור האמור לעיל, הנני גוזרת על הנאשם את העונשים הבאים:</w:t>
      </w:r>
    </w:p>
    <w:p w14:paraId="51C77BC6" w14:textId="77777777" w:rsidR="004B7EB3" w:rsidRDefault="004B7EB3">
      <w:pPr>
        <w:pStyle w:val="a7"/>
        <w:spacing w:line="360" w:lineRule="auto"/>
        <w:rPr>
          <w:b/>
          <w:bCs w:val="0"/>
          <w:rtl/>
        </w:rPr>
      </w:pPr>
    </w:p>
    <w:p w14:paraId="6CE42DB9" w14:textId="77777777" w:rsidR="004B7EB3" w:rsidRDefault="00C55376">
      <w:pPr>
        <w:pStyle w:val="a7"/>
        <w:spacing w:line="360" w:lineRule="auto"/>
        <w:ind w:left="1440" w:hanging="720"/>
        <w:jc w:val="both"/>
        <w:rPr>
          <w:b/>
          <w:bCs w:val="0"/>
          <w:rtl/>
        </w:rPr>
      </w:pPr>
      <w:r>
        <w:rPr>
          <w:rFonts w:hint="cs"/>
          <w:b/>
          <w:bCs w:val="0"/>
          <w:rtl/>
        </w:rPr>
        <w:t>א.</w:t>
      </w:r>
      <w:r>
        <w:rPr>
          <w:rFonts w:hint="cs"/>
          <w:b/>
          <w:bCs w:val="0"/>
          <w:rtl/>
        </w:rPr>
        <w:tab/>
      </w:r>
      <w:r>
        <w:rPr>
          <w:rFonts w:hint="eastAsia"/>
          <w:b/>
          <w:bCs w:val="0"/>
          <w:rtl/>
        </w:rPr>
        <w:t>מאסר</w:t>
      </w:r>
      <w:r>
        <w:rPr>
          <w:b/>
          <w:bCs w:val="0"/>
          <w:rtl/>
        </w:rPr>
        <w:t xml:space="preserve"> על תנאי לתקופה של  </w:t>
      </w:r>
      <w:r>
        <w:rPr>
          <w:rFonts w:hint="cs"/>
          <w:b/>
          <w:bCs w:val="0"/>
          <w:rtl/>
        </w:rPr>
        <w:t>4</w:t>
      </w:r>
      <w:r>
        <w:rPr>
          <w:b/>
          <w:bCs w:val="0"/>
          <w:rtl/>
        </w:rPr>
        <w:t xml:space="preserve">   </w:t>
      </w:r>
      <w:r>
        <w:rPr>
          <w:rFonts w:hint="eastAsia"/>
          <w:b/>
          <w:bCs w:val="0"/>
          <w:rtl/>
        </w:rPr>
        <w:t>חודשים</w:t>
      </w:r>
      <w:r>
        <w:rPr>
          <w:b/>
          <w:bCs w:val="0"/>
          <w:rtl/>
        </w:rPr>
        <w:t xml:space="preserve"> למשך  </w:t>
      </w:r>
      <w:r>
        <w:rPr>
          <w:rFonts w:hint="cs"/>
          <w:b/>
          <w:bCs w:val="0"/>
          <w:rtl/>
        </w:rPr>
        <w:t>3</w:t>
      </w:r>
      <w:r>
        <w:rPr>
          <w:b/>
          <w:bCs w:val="0"/>
          <w:rtl/>
        </w:rPr>
        <w:t xml:space="preserve"> </w:t>
      </w:r>
      <w:r>
        <w:rPr>
          <w:rFonts w:hint="eastAsia"/>
          <w:b/>
          <w:bCs w:val="0"/>
          <w:rtl/>
        </w:rPr>
        <w:t>שנים</w:t>
      </w:r>
      <w:r>
        <w:rPr>
          <w:b/>
          <w:bCs w:val="0"/>
          <w:rtl/>
        </w:rPr>
        <w:t xml:space="preserve"> </w:t>
      </w:r>
      <w:r>
        <w:rPr>
          <w:rFonts w:hint="eastAsia"/>
          <w:b/>
          <w:bCs w:val="0"/>
          <w:rtl/>
        </w:rPr>
        <w:t>מהיום</w:t>
      </w:r>
      <w:r>
        <w:rPr>
          <w:b/>
          <w:bCs w:val="0"/>
          <w:rtl/>
        </w:rPr>
        <w:t xml:space="preserve"> והתנאי הוא כי הנאשם לא יעבור בתקופה זאת </w:t>
      </w:r>
      <w:r>
        <w:rPr>
          <w:rFonts w:hint="cs"/>
          <w:b/>
          <w:bCs w:val="0"/>
          <w:rtl/>
        </w:rPr>
        <w:t xml:space="preserve">עבירה על </w:t>
      </w:r>
      <w:hyperlink r:id="rId9" w:history="1">
        <w:r w:rsidRPr="00C55376">
          <w:rPr>
            <w:b/>
            <w:bCs w:val="0"/>
            <w:color w:val="0000FF"/>
            <w:u w:val="single"/>
            <w:rtl/>
          </w:rPr>
          <w:t>פקודת הסמים המסוכנים</w:t>
        </w:r>
      </w:hyperlink>
      <w:r>
        <w:rPr>
          <w:b/>
          <w:bCs w:val="0"/>
          <w:rtl/>
        </w:rPr>
        <w:t xml:space="preserve"> ויורשע עליה בדין. </w:t>
      </w:r>
    </w:p>
    <w:p w14:paraId="08BB0766" w14:textId="77777777" w:rsidR="004B7EB3" w:rsidRDefault="004B7EB3">
      <w:pPr>
        <w:pStyle w:val="a7"/>
        <w:spacing w:line="360" w:lineRule="auto"/>
        <w:jc w:val="both"/>
        <w:rPr>
          <w:b/>
          <w:bCs w:val="0"/>
          <w:rtl/>
        </w:rPr>
      </w:pPr>
    </w:p>
    <w:p w14:paraId="0A178AD5" w14:textId="77777777" w:rsidR="004B7EB3" w:rsidRDefault="00C55376">
      <w:pPr>
        <w:pStyle w:val="a7"/>
        <w:spacing w:line="360" w:lineRule="auto"/>
        <w:ind w:left="1440" w:hanging="720"/>
        <w:jc w:val="both"/>
        <w:rPr>
          <w:b/>
          <w:bCs w:val="0"/>
          <w:rtl/>
        </w:rPr>
      </w:pPr>
      <w:r>
        <w:rPr>
          <w:rFonts w:hint="cs"/>
          <w:b/>
          <w:bCs w:val="0"/>
          <w:rtl/>
        </w:rPr>
        <w:t>ב.</w:t>
      </w:r>
      <w:r>
        <w:rPr>
          <w:rFonts w:hint="cs"/>
          <w:b/>
          <w:bCs w:val="0"/>
          <w:rtl/>
        </w:rPr>
        <w:tab/>
        <w:t xml:space="preserve">הנני מורה על הארכת הפסילה המותנית של רישיון הנהיגה אשר הושת על הנאשם במסגרת </w:t>
      </w:r>
      <w:hyperlink r:id="rId10" w:history="1">
        <w:r w:rsidRPr="00C55376">
          <w:rPr>
            <w:b/>
            <w:bCs w:val="0"/>
            <w:color w:val="0000FF"/>
            <w:u w:val="single"/>
            <w:rtl/>
          </w:rPr>
          <w:t>ת.פ. 56785-06-13</w:t>
        </w:r>
      </w:hyperlink>
      <w:r>
        <w:rPr>
          <w:rFonts w:hint="cs"/>
          <w:b/>
          <w:bCs w:val="0"/>
          <w:rtl/>
        </w:rPr>
        <w:t xml:space="preserve"> בן 24 חודשים למשך שנתיים נוספות מהיום שלא יעבור עבירה  על </w:t>
      </w:r>
      <w:hyperlink r:id="rId11" w:history="1">
        <w:r w:rsidRPr="00C55376">
          <w:rPr>
            <w:b/>
            <w:bCs w:val="0"/>
            <w:color w:val="0000FF"/>
            <w:u w:val="single"/>
            <w:rtl/>
          </w:rPr>
          <w:t>פקודת הסמים המסוכנים</w:t>
        </w:r>
      </w:hyperlink>
      <w:r>
        <w:rPr>
          <w:rFonts w:hint="cs"/>
          <w:b/>
          <w:bCs w:val="0"/>
          <w:rtl/>
        </w:rPr>
        <w:t xml:space="preserve"> ויורשע עליה בדין. </w:t>
      </w:r>
    </w:p>
    <w:p w14:paraId="4435B863" w14:textId="77777777" w:rsidR="004B7EB3" w:rsidRDefault="004B7EB3">
      <w:pPr>
        <w:pStyle w:val="a7"/>
        <w:rPr>
          <w:b/>
          <w:bCs w:val="0"/>
          <w:rtl/>
        </w:rPr>
      </w:pPr>
    </w:p>
    <w:p w14:paraId="5BEF91D8" w14:textId="77777777" w:rsidR="004B7EB3" w:rsidRDefault="00C55376">
      <w:pPr>
        <w:pStyle w:val="a7"/>
        <w:rPr>
          <w:b/>
          <w:bCs w:val="0"/>
          <w:rtl/>
        </w:rPr>
      </w:pPr>
      <w:r>
        <w:rPr>
          <w:rFonts w:hint="eastAsia"/>
          <w:b/>
          <w:bCs w:val="0"/>
          <w:rtl/>
        </w:rPr>
        <w:t>זכות</w:t>
      </w:r>
      <w:r>
        <w:rPr>
          <w:b/>
          <w:bCs w:val="0"/>
          <w:rtl/>
        </w:rPr>
        <w:t xml:space="preserve"> </w:t>
      </w:r>
      <w:r>
        <w:rPr>
          <w:rFonts w:hint="eastAsia"/>
          <w:b/>
          <w:bCs w:val="0"/>
          <w:rtl/>
        </w:rPr>
        <w:t>ערעור</w:t>
      </w:r>
      <w:r>
        <w:rPr>
          <w:b/>
          <w:bCs w:val="0"/>
          <w:rtl/>
        </w:rPr>
        <w:t xml:space="preserve"> תוך 45 יום. </w:t>
      </w:r>
    </w:p>
    <w:p w14:paraId="10BAEA2E" w14:textId="77777777" w:rsidR="004B7EB3" w:rsidRDefault="004B7EB3">
      <w:pPr>
        <w:pStyle w:val="a7"/>
        <w:rPr>
          <w:b/>
          <w:bCs w:val="0"/>
          <w:rtl/>
        </w:rPr>
      </w:pPr>
    </w:p>
    <w:p w14:paraId="6DB6B0F6" w14:textId="77777777" w:rsidR="004B7EB3" w:rsidRDefault="00C55376">
      <w:pPr>
        <w:pStyle w:val="a7"/>
        <w:rPr>
          <w:sz w:val="6"/>
          <w:szCs w:val="6"/>
          <w:rtl/>
        </w:rPr>
      </w:pPr>
      <w:r>
        <w:rPr>
          <w:sz w:val="6"/>
          <w:szCs w:val="6"/>
          <w:rtl/>
        </w:rPr>
        <w:t>&lt;#4#&gt;</w:t>
      </w:r>
    </w:p>
    <w:p w14:paraId="14AFCDCC" w14:textId="77777777" w:rsidR="004B7EB3" w:rsidRDefault="004B7EB3">
      <w:pPr>
        <w:jc w:val="right"/>
        <w:rPr>
          <w:rtl/>
        </w:rPr>
      </w:pPr>
    </w:p>
    <w:p w14:paraId="3776CB79" w14:textId="77777777" w:rsidR="004B7EB3" w:rsidRDefault="00C55376">
      <w:pPr>
        <w:jc w:val="center"/>
        <w:rPr>
          <w:rtl/>
        </w:rPr>
      </w:pPr>
      <w:r>
        <w:rPr>
          <w:b/>
          <w:bCs/>
          <w:rtl/>
        </w:rPr>
        <w:t xml:space="preserve">ניתנה והודעה היום י"ג סיוון תשע"ו, 19/06/2016 במעמד הנוכחים. </w:t>
      </w:r>
    </w:p>
    <w:p w14:paraId="6368BBEB" w14:textId="77777777" w:rsidR="004B7EB3" w:rsidRDefault="004B7EB3">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B7EB3" w14:paraId="50C4F4A0" w14:textId="77777777">
        <w:trPr>
          <w:trHeight w:val="316"/>
          <w:jc w:val="right"/>
        </w:trPr>
        <w:tc>
          <w:tcPr>
            <w:tcW w:w="3936" w:type="dxa"/>
            <w:shd w:val="clear" w:color="auto" w:fill="auto"/>
          </w:tcPr>
          <w:p w14:paraId="43FE13D7" w14:textId="77777777" w:rsidR="004B7EB3" w:rsidRDefault="004B7EB3">
            <w:pPr>
              <w:jc w:val="center"/>
              <w:rPr>
                <w:rFonts w:ascii="Times New Roman" w:eastAsia="Times New Roman" w:hAnsi="Times New Roman" w:cs="Times New Roman"/>
              </w:rPr>
            </w:pPr>
          </w:p>
          <w:p w14:paraId="054C0769" w14:textId="77777777" w:rsidR="004B7EB3" w:rsidRDefault="004B7EB3">
            <w:pPr>
              <w:jc w:val="center"/>
              <w:rPr>
                <w:rFonts w:ascii="Times New Roman" w:eastAsia="Times New Roman" w:hAnsi="Times New Roman" w:cs="Times New Roman"/>
                <w:rtl/>
              </w:rPr>
            </w:pPr>
          </w:p>
        </w:tc>
      </w:tr>
      <w:tr w:rsidR="004B7EB3" w14:paraId="4F249F76" w14:textId="77777777">
        <w:trPr>
          <w:trHeight w:val="361"/>
          <w:jc w:val="right"/>
        </w:trPr>
        <w:tc>
          <w:tcPr>
            <w:tcW w:w="3936" w:type="dxa"/>
            <w:shd w:val="clear" w:color="auto" w:fill="auto"/>
          </w:tcPr>
          <w:p w14:paraId="2EE981C8" w14:textId="77777777" w:rsidR="004B7EB3" w:rsidRDefault="00C55376">
            <w:pPr>
              <w:jc w:val="center"/>
              <w:rPr>
                <w:rFonts w:ascii="Times New Roman" w:eastAsia="Times New Roman" w:hAnsi="Times New Roman"/>
                <w:b/>
                <w:bCs/>
                <w:rtl/>
              </w:rPr>
            </w:pPr>
            <w:r>
              <w:rPr>
                <w:rFonts w:ascii="Times New Roman" w:eastAsia="Times New Roman" w:hAnsi="Times New Roman" w:hint="cs"/>
                <w:b/>
                <w:bCs/>
                <w:rtl/>
              </w:rPr>
              <w:t>שושנה פיינסוד-כהן</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4B06487C" w14:textId="77777777" w:rsidR="004B7EB3" w:rsidRDefault="004B7EB3">
      <w:pPr>
        <w:jc w:val="right"/>
        <w:rPr>
          <w:rtl/>
        </w:rPr>
      </w:pPr>
    </w:p>
    <w:p w14:paraId="4B1795FD" w14:textId="77777777" w:rsidR="004B7EB3" w:rsidRDefault="004B7EB3">
      <w:pPr>
        <w:jc w:val="both"/>
        <w:rPr>
          <w:rtl/>
        </w:rPr>
      </w:pPr>
    </w:p>
    <w:p w14:paraId="62E1D5B0" w14:textId="77777777" w:rsidR="004B7EB3" w:rsidRDefault="004B7EB3">
      <w:pPr>
        <w:pStyle w:val="a7"/>
        <w:jc w:val="center"/>
        <w:rPr>
          <w:rFonts w:ascii="David" w:hAnsi="David"/>
          <w:bCs w:val="0"/>
          <w:sz w:val="24"/>
          <w:rtl/>
        </w:rPr>
      </w:pPr>
    </w:p>
    <w:p w14:paraId="0CCFA56B" w14:textId="77777777" w:rsidR="004B7EB3" w:rsidRDefault="00C55376">
      <w:pPr>
        <w:pStyle w:val="a7"/>
        <w:jc w:val="both"/>
        <w:rPr>
          <w:rFonts w:ascii="David" w:hAnsi="David"/>
          <w:bCs w:val="0"/>
          <w:sz w:val="24"/>
          <w:rtl/>
        </w:rPr>
      </w:pPr>
      <w:r>
        <w:rPr>
          <w:rFonts w:ascii="David" w:hAnsi="David" w:hint="cs"/>
          <w:bCs w:val="0"/>
          <w:sz w:val="24"/>
          <w:rtl/>
        </w:rPr>
        <w:t>קלדנית: א.סימה</w:t>
      </w:r>
    </w:p>
    <w:p w14:paraId="1509C39A" w14:textId="77777777" w:rsidR="004B7EB3" w:rsidRDefault="004B7EB3">
      <w:pPr>
        <w:pStyle w:val="a7"/>
        <w:rPr>
          <w:rtl/>
        </w:rPr>
      </w:pPr>
    </w:p>
    <w:p w14:paraId="32A1BA98" w14:textId="77777777" w:rsidR="004B7EB3" w:rsidRPr="00C55376" w:rsidRDefault="00C55376">
      <w:pPr>
        <w:rPr>
          <w:color w:val="FFFFFF"/>
          <w:sz w:val="2"/>
          <w:szCs w:val="2"/>
          <w:rtl/>
        </w:rPr>
      </w:pPr>
      <w:r w:rsidRPr="00C55376">
        <w:rPr>
          <w:color w:val="FFFFFF"/>
          <w:sz w:val="2"/>
          <w:szCs w:val="2"/>
          <w:rtl/>
        </w:rPr>
        <w:t>5129371</w:t>
      </w:r>
    </w:p>
    <w:p w14:paraId="01803649" w14:textId="77777777" w:rsidR="004B7EB3" w:rsidRPr="00C55376" w:rsidRDefault="00C55376">
      <w:pPr>
        <w:rPr>
          <w:color w:val="FFFFFF"/>
          <w:sz w:val="2"/>
          <w:szCs w:val="2"/>
          <w:rtl/>
        </w:rPr>
      </w:pPr>
      <w:r w:rsidRPr="00C55376">
        <w:rPr>
          <w:color w:val="FFFFFF"/>
          <w:sz w:val="2"/>
          <w:szCs w:val="2"/>
          <w:rtl/>
        </w:rPr>
        <w:t>54678313</w:t>
      </w:r>
    </w:p>
    <w:p w14:paraId="2EAF3290" w14:textId="77777777" w:rsidR="004B7EB3" w:rsidRDefault="00C55376">
      <w:pPr>
        <w:rPr>
          <w:rtl/>
        </w:rPr>
      </w:pPr>
      <w:r>
        <w:rPr>
          <w:rtl/>
        </w:rPr>
        <w:t xml:space="preserve"> </w:t>
      </w:r>
    </w:p>
    <w:p w14:paraId="12337FF4" w14:textId="77777777" w:rsidR="004B7EB3" w:rsidRDefault="004B7EB3">
      <w:pPr>
        <w:rPr>
          <w:rtl/>
        </w:rPr>
      </w:pPr>
    </w:p>
    <w:p w14:paraId="5CC0771D" w14:textId="77777777" w:rsidR="004B7EB3" w:rsidRDefault="004B7EB3"/>
    <w:p w14:paraId="5EA66FF5" w14:textId="77777777" w:rsidR="004B7EB3" w:rsidRPr="00091AA9" w:rsidRDefault="00091AA9">
      <w:pPr>
        <w:spacing w:line="360" w:lineRule="auto"/>
        <w:ind w:left="720" w:hanging="720"/>
        <w:jc w:val="both"/>
        <w:rPr>
          <w:color w:val="FFFFFF"/>
          <w:sz w:val="2"/>
          <w:szCs w:val="2"/>
          <w:rtl/>
        </w:rPr>
      </w:pPr>
      <w:r w:rsidRPr="00091AA9">
        <w:rPr>
          <w:color w:val="FFFFFF"/>
          <w:sz w:val="2"/>
          <w:szCs w:val="2"/>
          <w:rtl/>
        </w:rPr>
        <w:t>5129371</w:t>
      </w:r>
    </w:p>
    <w:p w14:paraId="3221F90C" w14:textId="77777777" w:rsidR="00C55376" w:rsidRPr="00091AA9" w:rsidRDefault="00091AA9" w:rsidP="00C55376">
      <w:pPr>
        <w:keepNext/>
        <w:rPr>
          <w:color w:val="FFFFFF"/>
          <w:sz w:val="2"/>
          <w:szCs w:val="2"/>
          <w:rtl/>
        </w:rPr>
      </w:pPr>
      <w:r w:rsidRPr="00091AA9">
        <w:rPr>
          <w:color w:val="FFFFFF"/>
          <w:sz w:val="2"/>
          <w:szCs w:val="2"/>
          <w:rtl/>
        </w:rPr>
        <w:t>54678313</w:t>
      </w:r>
    </w:p>
    <w:p w14:paraId="5C5C228A" w14:textId="77777777" w:rsidR="00C55376" w:rsidRPr="00C55376" w:rsidRDefault="00C55376" w:rsidP="00C55376">
      <w:pPr>
        <w:keepNext/>
        <w:rPr>
          <w:color w:val="000000"/>
          <w:sz w:val="22"/>
          <w:szCs w:val="22"/>
          <w:rtl/>
        </w:rPr>
      </w:pPr>
      <w:r w:rsidRPr="00C55376">
        <w:rPr>
          <w:color w:val="000000"/>
          <w:sz w:val="22"/>
          <w:szCs w:val="22"/>
          <w:rtl/>
        </w:rPr>
        <w:t>שושנה פיינסוד כהן 54678313</w:t>
      </w:r>
    </w:p>
    <w:p w14:paraId="55A5F886" w14:textId="77777777" w:rsidR="00C55376" w:rsidRDefault="00C55376" w:rsidP="00C55376">
      <w:r w:rsidRPr="00C55376">
        <w:rPr>
          <w:color w:val="000000"/>
          <w:rtl/>
        </w:rPr>
        <w:t>נוסח מסמך זה כפוף לשינויי ניסוח ועריכה</w:t>
      </w:r>
    </w:p>
    <w:p w14:paraId="5B3C1833" w14:textId="77777777" w:rsidR="00C55376" w:rsidRDefault="00C55376" w:rsidP="00C55376">
      <w:pPr>
        <w:rPr>
          <w:rtl/>
        </w:rPr>
      </w:pPr>
    </w:p>
    <w:p w14:paraId="2B794F78" w14:textId="77777777" w:rsidR="00C55376" w:rsidRDefault="00C55376" w:rsidP="00C55376">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sectPr w:rsidR="00C55376" w:rsidSect="00091AA9">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32B2C" w14:textId="77777777" w:rsidR="0080286A" w:rsidRDefault="0080286A">
      <w:r>
        <w:separator/>
      </w:r>
    </w:p>
  </w:endnote>
  <w:endnote w:type="continuationSeparator" w:id="0">
    <w:p w14:paraId="3563FBD1" w14:textId="77777777" w:rsidR="0080286A" w:rsidRDefault="00802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9B2D4" w14:textId="77777777" w:rsidR="0080286A" w:rsidRDefault="0080286A" w:rsidP="00091A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EE49E8" w14:textId="77777777" w:rsidR="0080286A" w:rsidRPr="00091AA9" w:rsidRDefault="0080286A" w:rsidP="00091AA9">
    <w:pPr>
      <w:pStyle w:val="a5"/>
      <w:pBdr>
        <w:top w:val="single" w:sz="4" w:space="1" w:color="auto"/>
        <w:between w:val="single" w:sz="4" w:space="0" w:color="auto"/>
      </w:pBdr>
      <w:spacing w:after="60"/>
      <w:jc w:val="center"/>
      <w:rPr>
        <w:rFonts w:ascii="FrankRuehl" w:hAnsi="FrankRuehl" w:cs="FrankRuehl"/>
        <w:color w:val="000000"/>
      </w:rPr>
    </w:pPr>
    <w:r w:rsidRPr="00091A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43A4B" w14:textId="77777777" w:rsidR="0080286A" w:rsidRDefault="0080286A" w:rsidP="00091A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5EBA">
      <w:rPr>
        <w:rFonts w:ascii="FrankRuehl" w:hAnsi="FrankRuehl" w:cs="FrankRuehl"/>
        <w:noProof/>
        <w:rtl/>
      </w:rPr>
      <w:t>1</w:t>
    </w:r>
    <w:r>
      <w:rPr>
        <w:rFonts w:ascii="FrankRuehl" w:hAnsi="FrankRuehl" w:cs="FrankRuehl"/>
        <w:rtl/>
      </w:rPr>
      <w:fldChar w:fldCharType="end"/>
    </w:r>
  </w:p>
  <w:p w14:paraId="0E6D22CB" w14:textId="77777777" w:rsidR="0080286A" w:rsidRPr="00091AA9" w:rsidRDefault="0080286A" w:rsidP="00091AA9">
    <w:pPr>
      <w:pStyle w:val="a5"/>
      <w:pBdr>
        <w:top w:val="single" w:sz="4" w:space="1" w:color="auto"/>
        <w:between w:val="single" w:sz="4" w:space="0" w:color="auto"/>
      </w:pBdr>
      <w:spacing w:after="60"/>
      <w:jc w:val="center"/>
      <w:rPr>
        <w:rFonts w:ascii="FrankRuehl" w:hAnsi="FrankRuehl" w:cs="FrankRuehl"/>
        <w:color w:val="000000"/>
      </w:rPr>
    </w:pPr>
    <w:r w:rsidRPr="00091AA9">
      <w:rPr>
        <w:rFonts w:ascii="FrankRuehl" w:hAnsi="FrankRuehl" w:cs="FrankRuehl"/>
        <w:color w:val="000000"/>
      </w:rPr>
      <w:pict w14:anchorId="367FE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A340D" w14:textId="77777777" w:rsidR="0080286A" w:rsidRDefault="0080286A">
      <w:r>
        <w:separator/>
      </w:r>
    </w:p>
  </w:footnote>
  <w:footnote w:type="continuationSeparator" w:id="0">
    <w:p w14:paraId="5A63580D" w14:textId="77777777" w:rsidR="0080286A" w:rsidRDefault="00802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4A74" w14:textId="77777777" w:rsidR="0080286A" w:rsidRPr="00091AA9" w:rsidRDefault="0080286A" w:rsidP="00091AA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45226-07-14</w:t>
    </w:r>
    <w:r>
      <w:rPr>
        <w:color w:val="000000"/>
        <w:sz w:val="22"/>
        <w:szCs w:val="22"/>
        <w:rtl/>
      </w:rPr>
      <w:tab/>
      <w:t xml:space="preserve"> מדינת ישראל נ' יובל לחמני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C4361" w14:textId="77777777" w:rsidR="0080286A" w:rsidRPr="00091AA9" w:rsidRDefault="0080286A" w:rsidP="00091AA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45226-07-14</w:t>
    </w:r>
    <w:r>
      <w:rPr>
        <w:color w:val="000000"/>
        <w:sz w:val="22"/>
        <w:szCs w:val="22"/>
        <w:rtl/>
      </w:rPr>
      <w:tab/>
      <w:t xml:space="preserve"> מדינת ישראל נ' יובל לחמני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7EB3"/>
    <w:rsid w:val="00091AA9"/>
    <w:rsid w:val="00180319"/>
    <w:rsid w:val="00207AFE"/>
    <w:rsid w:val="00475EBA"/>
    <w:rsid w:val="004B7EB3"/>
    <w:rsid w:val="0080286A"/>
    <w:rsid w:val="008C5828"/>
    <w:rsid w:val="00950475"/>
    <w:rsid w:val="00C553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FD323C"/>
  <w15:chartTrackingRefBased/>
  <w15:docId w15:val="{A1C33769-CF0A-453D-B311-0F0F3627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EB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B7EB3"/>
  </w:style>
  <w:style w:type="paragraph" w:styleId="a4">
    <w:name w:val="header"/>
    <w:basedOn w:val="a"/>
    <w:rsid w:val="004B7EB3"/>
    <w:pPr>
      <w:tabs>
        <w:tab w:val="center" w:pos="4153"/>
        <w:tab w:val="right" w:pos="8306"/>
      </w:tabs>
    </w:pPr>
  </w:style>
  <w:style w:type="paragraph" w:styleId="a5">
    <w:name w:val="footer"/>
    <w:basedOn w:val="a"/>
    <w:rsid w:val="004B7EB3"/>
    <w:pPr>
      <w:tabs>
        <w:tab w:val="center" w:pos="4153"/>
        <w:tab w:val="right" w:pos="8306"/>
      </w:tabs>
    </w:pPr>
  </w:style>
  <w:style w:type="character" w:styleId="a6">
    <w:name w:val="page number"/>
    <w:basedOn w:val="a0"/>
    <w:rsid w:val="004B7EB3"/>
  </w:style>
  <w:style w:type="character" w:customStyle="1" w:styleId="TimesNewRomanTimesNewRoman">
    <w:name w:val="סגנון (לטיני) Times New Roman (עברית ושפות אחרות) Times New Roman..."/>
    <w:rsid w:val="004B7EB3"/>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4B7EB3"/>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4B7EB3"/>
    <w:pPr>
      <w:spacing w:line="360" w:lineRule="auto"/>
      <w:jc w:val="both"/>
    </w:pPr>
    <w:rPr>
      <w:rFonts w:ascii="Times New Roman" w:eastAsia="Times New Roman" w:hAnsi="Times New Roman"/>
    </w:rPr>
  </w:style>
  <w:style w:type="paragraph" w:customStyle="1" w:styleId="a7">
    <w:name w:val="החלטה"/>
    <w:basedOn w:val="a"/>
    <w:rsid w:val="004B7EB3"/>
    <w:pPr>
      <w:suppressLineNumbers/>
    </w:pPr>
    <w:rPr>
      <w:rFonts w:ascii="Times New Roman" w:eastAsia="Times New Roman" w:hAnsi="Times New Roman"/>
      <w:bCs/>
      <w:snapToGrid w:val="0"/>
      <w:sz w:val="20"/>
      <w:lang w:eastAsia="he-IL"/>
    </w:rPr>
  </w:style>
  <w:style w:type="character" w:styleId="Hyperlink">
    <w:name w:val="Hyperlink"/>
    <w:basedOn w:val="a0"/>
    <w:rsid w:val="00C553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case/7701659"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3728</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3670135</vt:i4>
      </vt:variant>
      <vt:variant>
        <vt:i4>12</vt:i4>
      </vt:variant>
      <vt:variant>
        <vt:i4>0</vt:i4>
      </vt:variant>
      <vt:variant>
        <vt:i4>5</vt:i4>
      </vt:variant>
      <vt:variant>
        <vt:lpwstr>http://www.nevo.co.il/case/7701659</vt:lpwstr>
      </vt:variant>
      <vt:variant>
        <vt:lpwstr/>
      </vt:variant>
      <vt:variant>
        <vt:i4>8257637</vt:i4>
      </vt:variant>
      <vt:variant>
        <vt:i4>9</vt:i4>
      </vt:variant>
      <vt:variant>
        <vt:i4>0</vt:i4>
      </vt:variant>
      <vt:variant>
        <vt:i4>5</vt:i4>
      </vt:variant>
      <vt:variant>
        <vt:lpwstr>http://www.nevo.co.il/law/4216</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2025-04-22T22:23:00Z</dcterms:created>
  <dcterms:modified xsi:type="dcterms:W3CDTF">2025-04-22T22:23:00Z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45226</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יובל לחמני</vt:lpwstr>
  </property>
  <property fmtid="{D5CDD505-2E9C-101B-9397-08002B2CF9AE}" pid="10" name="LAWYER">
    <vt:lpwstr>דני קייזר;אדיב נסרה</vt:lpwstr>
  </property>
  <property fmtid="{D5CDD505-2E9C-101B-9397-08002B2CF9AE}" pid="11" name="JUDGE">
    <vt:lpwstr>שושנה פיינסוד כהן</vt:lpwstr>
  </property>
  <property fmtid="{D5CDD505-2E9C-101B-9397-08002B2CF9AE}" pid="12" name="CITY">
    <vt:lpwstr>עכו</vt:lpwstr>
  </property>
  <property fmtid="{D5CDD505-2E9C-101B-9397-08002B2CF9AE}" pid="13" name="DATE">
    <vt:lpwstr>20160619</vt:lpwstr>
  </property>
  <property fmtid="{D5CDD505-2E9C-101B-9397-08002B2CF9AE}" pid="14" name="TYPE_N_DATE">
    <vt:lpwstr>38020160619</vt:lpwstr>
  </property>
  <property fmtid="{D5CDD505-2E9C-101B-9397-08002B2CF9AE}" pid="15" name="CASESLISTTMP1">
    <vt:lpwstr>7701659</vt:lpwstr>
  </property>
  <property fmtid="{D5CDD505-2E9C-101B-9397-08002B2CF9AE}" pid="16" name="WORDNUMPAGES">
    <vt:lpwstr>3</vt:lpwstr>
  </property>
  <property fmtid="{D5CDD505-2E9C-101B-9397-08002B2CF9AE}" pid="17" name="TYPE_ABS_DATE">
    <vt:lpwstr>380020160619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vt:lpwstr>
  </property>
  <property fmtid="{D5CDD505-2E9C-101B-9397-08002B2CF9AE}" pid="36" name="LAWLISTTMP2">
    <vt:lpwstr>4216:2</vt:lpwstr>
  </property>
</Properties>
</file>