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9A07FB" w:rsidRPr="00760BCB" w14:paraId="145D6B8E" w14:textId="77777777" w:rsidTr="00760BCB">
        <w:trPr>
          <w:trHeight w:hRule="exact" w:val="418"/>
          <w:jc w:val="center"/>
        </w:trPr>
        <w:tc>
          <w:tcPr>
            <w:tcW w:w="8720" w:type="dxa"/>
            <w:gridSpan w:val="3"/>
          </w:tcPr>
          <w:p w14:paraId="3D62DA4C" w14:textId="77777777" w:rsidR="009A07FB" w:rsidRPr="00760BCB" w:rsidRDefault="009A07FB" w:rsidP="00760BCB">
            <w:pPr>
              <w:pStyle w:val="a4"/>
              <w:tabs>
                <w:tab w:val="clear" w:pos="8306"/>
              </w:tabs>
              <w:jc w:val="center"/>
              <w:rPr>
                <w:rFonts w:ascii="Tahoma" w:hAnsi="Tahoma" w:cs="Tahoma"/>
                <w:b/>
                <w:bCs/>
                <w:color w:val="000080"/>
                <w:sz w:val="20"/>
                <w:szCs w:val="20"/>
                <w:rtl/>
              </w:rPr>
            </w:pPr>
            <w:bookmarkStart w:id="0" w:name="LastJudge"/>
            <w:r w:rsidRPr="00760BCB">
              <w:rPr>
                <w:rFonts w:ascii="Tahoma" w:hAnsi="Tahoma" w:cs="Tahoma"/>
                <w:b/>
                <w:bCs/>
                <w:color w:val="000080"/>
                <w:sz w:val="20"/>
                <w:szCs w:val="20"/>
                <w:rtl/>
              </w:rPr>
              <w:t>בית משפט השלום בנתניה</w:t>
            </w:r>
          </w:p>
        </w:tc>
      </w:tr>
      <w:tr w:rsidR="009A07FB" w:rsidRPr="00760BCB" w14:paraId="1418FF56" w14:textId="77777777" w:rsidTr="00760BCB">
        <w:trPr>
          <w:trHeight w:val="337"/>
          <w:jc w:val="center"/>
        </w:trPr>
        <w:tc>
          <w:tcPr>
            <w:tcW w:w="6396" w:type="dxa"/>
          </w:tcPr>
          <w:p w14:paraId="5EF3E72C" w14:textId="77777777" w:rsidR="009A07FB" w:rsidRPr="00760BCB" w:rsidRDefault="009A07FB" w:rsidP="00760BCB">
            <w:pPr>
              <w:rPr>
                <w:b/>
                <w:bCs/>
                <w:sz w:val="26"/>
                <w:szCs w:val="26"/>
                <w:rtl/>
              </w:rPr>
            </w:pPr>
            <w:r w:rsidRPr="00760BCB">
              <w:rPr>
                <w:b/>
                <w:bCs/>
                <w:sz w:val="26"/>
                <w:szCs w:val="26"/>
                <w:rtl/>
              </w:rPr>
              <w:t>ת"פ</w:t>
            </w:r>
            <w:r w:rsidRPr="00760BCB">
              <w:rPr>
                <w:rFonts w:hint="cs"/>
                <w:b/>
                <w:bCs/>
                <w:sz w:val="26"/>
                <w:szCs w:val="26"/>
                <w:rtl/>
              </w:rPr>
              <w:t xml:space="preserve"> </w:t>
            </w:r>
            <w:r w:rsidRPr="00760BCB">
              <w:rPr>
                <w:b/>
                <w:bCs/>
                <w:sz w:val="26"/>
                <w:szCs w:val="26"/>
                <w:rtl/>
              </w:rPr>
              <w:t>10430-08-14</w:t>
            </w:r>
            <w:r w:rsidRPr="00760BCB">
              <w:rPr>
                <w:rFonts w:hint="cs"/>
                <w:b/>
                <w:bCs/>
                <w:sz w:val="26"/>
                <w:szCs w:val="26"/>
                <w:rtl/>
              </w:rPr>
              <w:t xml:space="preserve"> </w:t>
            </w:r>
            <w:r w:rsidRPr="00760BCB">
              <w:rPr>
                <w:b/>
                <w:bCs/>
                <w:sz w:val="26"/>
                <w:szCs w:val="26"/>
                <w:rtl/>
              </w:rPr>
              <w:t>מדינת ישראל נ' כחלון</w:t>
            </w:r>
          </w:p>
          <w:p w14:paraId="4DF872DA" w14:textId="77777777" w:rsidR="009A07FB" w:rsidRPr="00760BCB" w:rsidRDefault="009A07FB" w:rsidP="00760BCB">
            <w:pPr>
              <w:rPr>
                <w:b/>
                <w:bCs/>
                <w:sz w:val="26"/>
                <w:szCs w:val="26"/>
                <w:rtl/>
              </w:rPr>
            </w:pPr>
            <w:r w:rsidRPr="00760BCB">
              <w:rPr>
                <w:rFonts w:hint="cs"/>
                <w:b/>
                <w:bCs/>
                <w:sz w:val="26"/>
                <w:szCs w:val="26"/>
                <w:rtl/>
              </w:rPr>
              <w:t>328-12-14</w:t>
            </w:r>
          </w:p>
        </w:tc>
        <w:tc>
          <w:tcPr>
            <w:tcW w:w="236" w:type="dxa"/>
          </w:tcPr>
          <w:p w14:paraId="4F5AF64D" w14:textId="77777777" w:rsidR="009A07FB" w:rsidRPr="00760BCB" w:rsidRDefault="009A07FB" w:rsidP="00760BCB">
            <w:pPr>
              <w:pStyle w:val="a4"/>
              <w:jc w:val="right"/>
              <w:rPr>
                <w:b/>
                <w:bCs/>
                <w:sz w:val="26"/>
                <w:szCs w:val="26"/>
                <w:rtl/>
              </w:rPr>
            </w:pPr>
          </w:p>
        </w:tc>
        <w:tc>
          <w:tcPr>
            <w:tcW w:w="2088" w:type="dxa"/>
          </w:tcPr>
          <w:p w14:paraId="6FA7D165" w14:textId="77777777" w:rsidR="009A07FB" w:rsidRPr="00760BCB" w:rsidRDefault="009A07FB" w:rsidP="00760BCB">
            <w:pPr>
              <w:pStyle w:val="a4"/>
              <w:tabs>
                <w:tab w:val="clear" w:pos="4153"/>
              </w:tabs>
              <w:jc w:val="right"/>
              <w:rPr>
                <w:b/>
                <w:bCs/>
                <w:sz w:val="26"/>
                <w:szCs w:val="26"/>
                <w:rtl/>
              </w:rPr>
            </w:pPr>
            <w:r w:rsidRPr="00760BCB">
              <w:rPr>
                <w:b/>
                <w:bCs/>
                <w:sz w:val="26"/>
                <w:szCs w:val="26"/>
                <w:rtl/>
              </w:rPr>
              <w:t>29 מרץ 2017</w:t>
            </w:r>
          </w:p>
        </w:tc>
      </w:tr>
    </w:tbl>
    <w:p w14:paraId="1E085299" w14:textId="77777777" w:rsidR="009A07FB" w:rsidRPr="00760BCB" w:rsidRDefault="009A07FB" w:rsidP="009A07FB">
      <w:pPr>
        <w:pStyle w:val="a4"/>
        <w:jc w:val="center"/>
        <w:rPr>
          <w:rFonts w:ascii="Tahoma" w:hAnsi="Tahoma" w:cs="Tahoma"/>
          <w:b/>
          <w:bCs/>
          <w:color w:val="000080"/>
          <w:sz w:val="20"/>
          <w:szCs w:val="20"/>
          <w:rtl/>
        </w:rPr>
      </w:pPr>
    </w:p>
    <w:p w14:paraId="40556E94" w14:textId="77777777" w:rsidR="009A07FB" w:rsidRPr="00760BCB" w:rsidRDefault="009A07FB" w:rsidP="009A07FB">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9A07FB" w:rsidRPr="00760BCB" w14:paraId="530E1F83" w14:textId="77777777" w:rsidTr="00760BCB">
        <w:trPr>
          <w:gridAfter w:val="1"/>
          <w:wAfter w:w="56" w:type="dxa"/>
        </w:trPr>
        <w:tc>
          <w:tcPr>
            <w:tcW w:w="8718" w:type="dxa"/>
            <w:gridSpan w:val="2"/>
            <w:shd w:val="clear" w:color="auto" w:fill="auto"/>
          </w:tcPr>
          <w:p w14:paraId="28800A0B" w14:textId="77777777" w:rsidR="009A07FB" w:rsidRPr="00760BCB" w:rsidRDefault="009A07FB" w:rsidP="00760BCB">
            <w:pPr>
              <w:rPr>
                <w:rFonts w:ascii="Times New Roman" w:eastAsia="Times New Roman" w:hAnsi="Times New Roman"/>
                <w:b/>
                <w:bCs/>
                <w:sz w:val="26"/>
                <w:szCs w:val="26"/>
                <w:rtl/>
              </w:rPr>
            </w:pPr>
            <w:r w:rsidRPr="00760BCB">
              <w:rPr>
                <w:rFonts w:ascii="Times New Roman" w:eastAsia="Times New Roman" w:hAnsi="Times New Roman" w:hint="cs"/>
                <w:b/>
                <w:bCs/>
                <w:sz w:val="26"/>
                <w:szCs w:val="26"/>
                <w:rtl/>
              </w:rPr>
              <w:t>לפני כבוד ה</w:t>
            </w:r>
            <w:r w:rsidRPr="00760BCB">
              <w:rPr>
                <w:rFonts w:ascii="Times New Roman" w:eastAsia="Times New Roman" w:hAnsi="Times New Roman" w:hint="cs"/>
                <w:rtl/>
              </w:rPr>
              <w:t>שופט עמית פרייז</w:t>
            </w:r>
            <w:r w:rsidRPr="00760BCB">
              <w:rPr>
                <w:rStyle w:val="TimesNewRomanTimesNewRoman"/>
                <w:rFonts w:eastAsia="Times New Roman"/>
                <w:rtl/>
              </w:rPr>
              <w:t xml:space="preserve"> </w:t>
            </w:r>
          </w:p>
        </w:tc>
      </w:tr>
      <w:tr w:rsidR="009A07FB" w:rsidRPr="00760BCB" w14:paraId="785CF15A" w14:textId="77777777" w:rsidTr="00760BCB">
        <w:trPr>
          <w:cantSplit/>
          <w:trHeight w:val="724"/>
        </w:trPr>
        <w:tc>
          <w:tcPr>
            <w:tcW w:w="2880" w:type="dxa"/>
            <w:shd w:val="clear" w:color="auto" w:fill="auto"/>
          </w:tcPr>
          <w:p w14:paraId="5FDBC46C" w14:textId="77777777" w:rsidR="009A07FB" w:rsidRPr="00760BCB" w:rsidRDefault="009A07FB" w:rsidP="00760BCB">
            <w:pPr>
              <w:ind w:left="26"/>
              <w:rPr>
                <w:rFonts w:ascii="Times New Roman" w:eastAsia="Times New Roman" w:hAnsi="Times New Roman"/>
                <w:b/>
                <w:bCs/>
                <w:sz w:val="26"/>
                <w:szCs w:val="26"/>
                <w:rtl/>
              </w:rPr>
            </w:pPr>
            <w:bookmarkStart w:id="1" w:name="FirstAppellant"/>
          </w:p>
          <w:p w14:paraId="0D0B494A" w14:textId="77777777" w:rsidR="009A07FB" w:rsidRPr="00760BCB" w:rsidRDefault="009A07FB" w:rsidP="00760BCB">
            <w:pPr>
              <w:ind w:left="26"/>
              <w:rPr>
                <w:rFonts w:ascii="Times New Roman" w:eastAsia="Times New Roman" w:hAnsi="Times New Roman"/>
                <w:b/>
                <w:bCs/>
                <w:sz w:val="26"/>
                <w:szCs w:val="26"/>
                <w:rtl/>
              </w:rPr>
            </w:pPr>
            <w:r w:rsidRPr="00760BCB">
              <w:rPr>
                <w:rFonts w:ascii="Times New Roman" w:eastAsia="Times New Roman" w:hAnsi="Times New Roman" w:hint="cs"/>
                <w:b/>
                <w:bCs/>
                <w:sz w:val="26"/>
                <w:szCs w:val="26"/>
                <w:rtl/>
              </w:rPr>
              <w:t>המאשימה</w:t>
            </w:r>
          </w:p>
        </w:tc>
        <w:tc>
          <w:tcPr>
            <w:tcW w:w="5922" w:type="dxa"/>
            <w:gridSpan w:val="2"/>
            <w:shd w:val="clear" w:color="auto" w:fill="auto"/>
          </w:tcPr>
          <w:p w14:paraId="05075E7F" w14:textId="77777777" w:rsidR="009A07FB" w:rsidRPr="00760BCB" w:rsidRDefault="009A07FB" w:rsidP="00760BCB">
            <w:pPr>
              <w:rPr>
                <w:rFonts w:ascii="Times New Roman" w:eastAsia="Times New Roman" w:hAnsi="Times New Roman" w:cs="Times New Roman"/>
                <w:rtl/>
              </w:rPr>
            </w:pPr>
          </w:p>
          <w:p w14:paraId="06C0F3F9" w14:textId="77777777" w:rsidR="009A07FB" w:rsidRPr="00760BCB" w:rsidRDefault="009A07FB" w:rsidP="00760BCB">
            <w:pPr>
              <w:rPr>
                <w:rFonts w:ascii="Times New Roman" w:eastAsia="Times New Roman" w:hAnsi="Times New Roman"/>
                <w:b/>
                <w:bCs/>
                <w:sz w:val="26"/>
                <w:szCs w:val="26"/>
                <w:rtl/>
              </w:rPr>
            </w:pPr>
            <w:r w:rsidRPr="00760BCB">
              <w:rPr>
                <w:rFonts w:ascii="Times New Roman" w:eastAsia="Times New Roman" w:hAnsi="Times New Roman" w:cs="Times New Roman" w:hint="cs"/>
                <w:rtl/>
              </w:rPr>
              <w:t xml:space="preserve"> </w:t>
            </w:r>
            <w:r w:rsidRPr="00760BCB">
              <w:rPr>
                <w:rFonts w:ascii="Times New Roman" w:eastAsia="Times New Roman" w:hAnsi="Times New Roman" w:hint="cs"/>
                <w:rtl/>
              </w:rPr>
              <w:t>מדינת ישראל</w:t>
            </w:r>
          </w:p>
          <w:p w14:paraId="335C5606" w14:textId="77777777" w:rsidR="009A07FB" w:rsidRPr="00760BCB" w:rsidRDefault="009A07FB" w:rsidP="00760BCB">
            <w:pPr>
              <w:rPr>
                <w:rFonts w:ascii="Times New Roman" w:eastAsia="Times New Roman" w:hAnsi="Times New Roman"/>
                <w:b/>
                <w:bCs/>
                <w:sz w:val="26"/>
                <w:szCs w:val="26"/>
                <w:rtl/>
              </w:rPr>
            </w:pPr>
          </w:p>
        </w:tc>
      </w:tr>
      <w:bookmarkEnd w:id="1"/>
      <w:tr w:rsidR="009A07FB" w:rsidRPr="00760BCB" w14:paraId="17ABF050" w14:textId="77777777" w:rsidTr="00760BCB">
        <w:tc>
          <w:tcPr>
            <w:tcW w:w="8802" w:type="dxa"/>
            <w:gridSpan w:val="3"/>
            <w:shd w:val="clear" w:color="auto" w:fill="auto"/>
            <w:vAlign w:val="center"/>
          </w:tcPr>
          <w:p w14:paraId="20A40D59" w14:textId="77777777" w:rsidR="009A07FB" w:rsidRPr="00760BCB" w:rsidRDefault="009A07FB" w:rsidP="00760BCB">
            <w:pPr>
              <w:jc w:val="center"/>
              <w:rPr>
                <w:rFonts w:ascii="Arial" w:eastAsia="Times New Roman" w:hAnsi="Arial"/>
                <w:b/>
                <w:bCs/>
                <w:sz w:val="26"/>
                <w:szCs w:val="26"/>
                <w:rtl/>
              </w:rPr>
            </w:pPr>
          </w:p>
          <w:p w14:paraId="50A0C85A" w14:textId="77777777" w:rsidR="009A07FB" w:rsidRPr="00760BCB" w:rsidRDefault="009A07FB" w:rsidP="00760BCB">
            <w:pPr>
              <w:jc w:val="center"/>
              <w:rPr>
                <w:rFonts w:ascii="Arial" w:eastAsia="Times New Roman" w:hAnsi="Arial"/>
                <w:b/>
                <w:bCs/>
                <w:sz w:val="26"/>
                <w:szCs w:val="26"/>
                <w:rtl/>
              </w:rPr>
            </w:pPr>
            <w:r w:rsidRPr="00760BCB">
              <w:rPr>
                <w:rFonts w:ascii="Arial" w:eastAsia="Times New Roman" w:hAnsi="Arial"/>
                <w:b/>
                <w:bCs/>
                <w:sz w:val="26"/>
                <w:szCs w:val="26"/>
                <w:rtl/>
              </w:rPr>
              <w:t>נגד</w:t>
            </w:r>
          </w:p>
          <w:p w14:paraId="4333074D" w14:textId="77777777" w:rsidR="009A07FB" w:rsidRPr="00760BCB" w:rsidRDefault="009A07FB" w:rsidP="00760BCB">
            <w:pPr>
              <w:rPr>
                <w:rFonts w:ascii="Arial" w:eastAsia="Times New Roman" w:hAnsi="Arial"/>
                <w:b/>
                <w:bCs/>
                <w:sz w:val="26"/>
                <w:szCs w:val="26"/>
              </w:rPr>
            </w:pPr>
          </w:p>
        </w:tc>
      </w:tr>
      <w:tr w:rsidR="009A07FB" w:rsidRPr="00760BCB" w14:paraId="6758C9E3" w14:textId="77777777" w:rsidTr="00760BCB">
        <w:tc>
          <w:tcPr>
            <w:tcW w:w="2880" w:type="dxa"/>
            <w:shd w:val="clear" w:color="auto" w:fill="auto"/>
          </w:tcPr>
          <w:p w14:paraId="3A2EF0A6" w14:textId="77777777" w:rsidR="009A07FB" w:rsidRPr="00760BCB" w:rsidRDefault="009A07FB" w:rsidP="00760BCB">
            <w:pPr>
              <w:ind w:left="26"/>
              <w:rPr>
                <w:rFonts w:ascii="Times New Roman" w:eastAsia="Times New Roman" w:hAnsi="Times New Roman"/>
                <w:b/>
                <w:bCs/>
                <w:sz w:val="26"/>
                <w:szCs w:val="26"/>
                <w:rtl/>
              </w:rPr>
            </w:pPr>
            <w:r w:rsidRPr="00760BCB">
              <w:rPr>
                <w:rFonts w:ascii="Times New Roman" w:eastAsia="Times New Roman" w:hAnsi="Times New Roman" w:hint="cs"/>
                <w:b/>
                <w:bCs/>
                <w:sz w:val="26"/>
                <w:szCs w:val="26"/>
                <w:rtl/>
              </w:rPr>
              <w:t>הנאשם</w:t>
            </w:r>
          </w:p>
        </w:tc>
        <w:tc>
          <w:tcPr>
            <w:tcW w:w="5922" w:type="dxa"/>
            <w:gridSpan w:val="2"/>
            <w:shd w:val="clear" w:color="auto" w:fill="auto"/>
          </w:tcPr>
          <w:p w14:paraId="35D2E400" w14:textId="77777777" w:rsidR="009A07FB" w:rsidRPr="00760BCB" w:rsidRDefault="009A07FB" w:rsidP="001E375F">
            <w:pPr>
              <w:rPr>
                <w:rFonts w:ascii="Times New Roman" w:eastAsia="Times New Roman" w:hAnsi="Times New Roman" w:hint="cs"/>
                <w:b/>
                <w:bCs/>
                <w:sz w:val="26"/>
                <w:szCs w:val="26"/>
                <w:rtl/>
              </w:rPr>
            </w:pPr>
            <w:r w:rsidRPr="00760BCB">
              <w:rPr>
                <w:rFonts w:ascii="Times New Roman" w:eastAsia="Times New Roman" w:hAnsi="Times New Roman" w:cs="Times New Roman" w:hint="cs"/>
                <w:rtl/>
              </w:rPr>
              <w:t xml:space="preserve"> </w:t>
            </w:r>
            <w:r w:rsidRPr="00760BCB">
              <w:rPr>
                <w:rFonts w:ascii="Times New Roman" w:eastAsia="Times New Roman" w:hAnsi="Times New Roman" w:hint="cs"/>
                <w:rtl/>
              </w:rPr>
              <w:t>נסים כחלון</w:t>
            </w:r>
            <w:r w:rsidRPr="00760BCB">
              <w:rPr>
                <w:rFonts w:ascii="Times New Roman" w:eastAsia="Times New Roman" w:hAnsi="Times New Roman" w:cs="Times New Roman" w:hint="cs"/>
                <w:rtl/>
              </w:rPr>
              <w:t xml:space="preserve"> </w:t>
            </w:r>
          </w:p>
          <w:p w14:paraId="7681A9B7" w14:textId="77777777" w:rsidR="009A07FB" w:rsidRPr="00760BCB" w:rsidRDefault="009A07FB" w:rsidP="00760BCB">
            <w:pPr>
              <w:rPr>
                <w:rFonts w:ascii="Times New Roman" w:eastAsia="Times New Roman" w:hAnsi="Times New Roman"/>
                <w:b/>
                <w:bCs/>
                <w:sz w:val="26"/>
                <w:szCs w:val="26"/>
                <w:rtl/>
              </w:rPr>
            </w:pPr>
          </w:p>
        </w:tc>
      </w:tr>
    </w:tbl>
    <w:p w14:paraId="544605C5" w14:textId="77777777" w:rsidR="009A07FB" w:rsidRPr="00760BCB" w:rsidRDefault="009A07FB" w:rsidP="009A07FB">
      <w:pPr>
        <w:spacing w:line="360" w:lineRule="auto"/>
        <w:jc w:val="both"/>
        <w:rPr>
          <w:sz w:val="6"/>
          <w:szCs w:val="6"/>
          <w:rtl/>
        </w:rPr>
      </w:pPr>
      <w:r w:rsidRPr="00760BCB">
        <w:rPr>
          <w:sz w:val="6"/>
          <w:szCs w:val="6"/>
          <w:rtl/>
        </w:rPr>
        <w:t>&lt;#2#&gt;</w:t>
      </w:r>
    </w:p>
    <w:p w14:paraId="1D583D85" w14:textId="77777777" w:rsidR="009A07FB" w:rsidRPr="00760BCB" w:rsidRDefault="009A07FB" w:rsidP="009A07FB">
      <w:pPr>
        <w:pStyle w:val="12"/>
        <w:rPr>
          <w:u w:val="none"/>
          <w:rtl/>
        </w:rPr>
      </w:pPr>
      <w:r w:rsidRPr="00760BCB">
        <w:rPr>
          <w:rFonts w:hint="cs"/>
          <w:u w:val="none"/>
          <w:rtl/>
        </w:rPr>
        <w:t>נוכחים:</w:t>
      </w:r>
    </w:p>
    <w:p w14:paraId="5D3CE0D2" w14:textId="77777777" w:rsidR="009A07FB" w:rsidRPr="00760BCB" w:rsidRDefault="009A07FB" w:rsidP="009A07FB">
      <w:pPr>
        <w:pStyle w:val="12"/>
        <w:rPr>
          <w:b w:val="0"/>
          <w:bCs w:val="0"/>
          <w:u w:val="none"/>
        </w:rPr>
      </w:pPr>
      <w:bookmarkStart w:id="2" w:name="FirstLawyer"/>
      <w:r w:rsidRPr="00760BCB">
        <w:rPr>
          <w:rFonts w:hint="cs"/>
          <w:b w:val="0"/>
          <w:bCs w:val="0"/>
          <w:u w:val="none"/>
          <w:rtl/>
        </w:rPr>
        <w:t>ב"כ</w:t>
      </w:r>
      <w:bookmarkEnd w:id="2"/>
      <w:r w:rsidRPr="00760BCB">
        <w:rPr>
          <w:rFonts w:hint="cs"/>
          <w:b w:val="0"/>
          <w:bCs w:val="0"/>
          <w:u w:val="none"/>
          <w:rtl/>
        </w:rPr>
        <w:t xml:space="preserve"> המאשימה עו"ד רוני אלסטר</w:t>
      </w:r>
    </w:p>
    <w:p w14:paraId="0389B966" w14:textId="77777777" w:rsidR="009A07FB" w:rsidRPr="00760BCB" w:rsidRDefault="009A07FB" w:rsidP="009A07FB">
      <w:pPr>
        <w:pStyle w:val="12"/>
        <w:rPr>
          <w:b w:val="0"/>
          <w:bCs w:val="0"/>
          <w:u w:val="none"/>
          <w:rtl/>
        </w:rPr>
      </w:pPr>
      <w:r w:rsidRPr="00760BCB">
        <w:rPr>
          <w:rFonts w:hint="cs"/>
          <w:b w:val="0"/>
          <w:bCs w:val="0"/>
          <w:u w:val="none"/>
          <w:rtl/>
        </w:rPr>
        <w:t xml:space="preserve">הנאשם וב"כ עו"ד עמי מלול </w:t>
      </w:r>
    </w:p>
    <w:p w14:paraId="559A411D" w14:textId="77777777" w:rsidR="001E375F" w:rsidRDefault="009A07FB" w:rsidP="009A07FB">
      <w:pPr>
        <w:tabs>
          <w:tab w:val="left" w:pos="566"/>
        </w:tabs>
        <w:spacing w:line="360" w:lineRule="auto"/>
        <w:jc w:val="center"/>
        <w:rPr>
          <w:rFonts w:ascii="Arial" w:hAnsi="Arial"/>
          <w:sz w:val="28"/>
          <w:szCs w:val="28"/>
          <w:rtl/>
        </w:rPr>
      </w:pPr>
      <w:r w:rsidRPr="00760BCB">
        <w:rPr>
          <w:rFonts w:ascii="Arial" w:hAnsi="Arial"/>
          <w:b/>
          <w:color w:val="FF0000"/>
          <w:sz w:val="28"/>
          <w:rtl/>
        </w:rPr>
        <w:t>במסמך זה הושמטו פרוטוקולים</w:t>
      </w:r>
      <w:bookmarkStart w:id="3" w:name="LawTable"/>
      <w:bookmarkEnd w:id="3"/>
    </w:p>
    <w:p w14:paraId="19C0E52E" w14:textId="77777777" w:rsidR="001E375F" w:rsidRPr="001E375F" w:rsidRDefault="001E375F" w:rsidP="001E375F">
      <w:pPr>
        <w:tabs>
          <w:tab w:val="left" w:pos="566"/>
        </w:tabs>
        <w:spacing w:after="120" w:line="240" w:lineRule="exact"/>
        <w:ind w:left="283" w:hanging="283"/>
        <w:jc w:val="both"/>
        <w:rPr>
          <w:rFonts w:ascii="FrankRuehl" w:hAnsi="FrankRuehl" w:cs="FrankRuehl"/>
          <w:rtl/>
        </w:rPr>
      </w:pPr>
    </w:p>
    <w:p w14:paraId="1824E1EA" w14:textId="77777777" w:rsidR="001E375F" w:rsidRPr="001E375F" w:rsidRDefault="001E375F" w:rsidP="001E375F">
      <w:pPr>
        <w:tabs>
          <w:tab w:val="left" w:pos="566"/>
        </w:tabs>
        <w:spacing w:after="120" w:line="240" w:lineRule="exact"/>
        <w:ind w:left="283" w:hanging="283"/>
        <w:jc w:val="both"/>
        <w:rPr>
          <w:rFonts w:ascii="FrankRuehl" w:hAnsi="FrankRuehl" w:cs="FrankRuehl"/>
          <w:rtl/>
        </w:rPr>
      </w:pPr>
      <w:r w:rsidRPr="001E375F">
        <w:rPr>
          <w:rFonts w:ascii="FrankRuehl" w:hAnsi="FrankRuehl" w:cs="FrankRuehl"/>
          <w:rtl/>
        </w:rPr>
        <w:t xml:space="preserve">חקיקה שאוזכרה: </w:t>
      </w:r>
    </w:p>
    <w:p w14:paraId="59FB9D6E" w14:textId="77777777" w:rsidR="001E375F" w:rsidRPr="001E375F" w:rsidRDefault="001E375F" w:rsidP="001E375F">
      <w:pPr>
        <w:tabs>
          <w:tab w:val="left" w:pos="566"/>
        </w:tabs>
        <w:spacing w:after="120" w:line="240" w:lineRule="exact"/>
        <w:ind w:left="283" w:hanging="283"/>
        <w:jc w:val="both"/>
        <w:rPr>
          <w:rFonts w:ascii="FrankRuehl" w:hAnsi="FrankRuehl" w:cs="FrankRuehl"/>
          <w:rtl/>
        </w:rPr>
      </w:pPr>
      <w:hyperlink r:id="rId7" w:history="1">
        <w:r w:rsidRPr="001E375F">
          <w:rPr>
            <w:rFonts w:ascii="FrankRuehl" w:hAnsi="FrankRuehl" w:cs="FrankRuehl"/>
            <w:color w:val="0000FF"/>
            <w:u w:val="single"/>
            <w:rtl/>
          </w:rPr>
          <w:t>פקודת הסמים המסוכנים [נוסח חדש], תשל"ג-1973</w:t>
        </w:r>
      </w:hyperlink>
    </w:p>
    <w:p w14:paraId="24D3737B" w14:textId="77777777" w:rsidR="00760BCB" w:rsidRPr="00760BCB" w:rsidRDefault="00760BCB" w:rsidP="00760BCB">
      <w:pPr>
        <w:tabs>
          <w:tab w:val="left" w:pos="566"/>
        </w:tabs>
        <w:spacing w:after="120" w:line="240" w:lineRule="exact"/>
        <w:ind w:left="283" w:hanging="283"/>
        <w:jc w:val="both"/>
        <w:rPr>
          <w:rFonts w:ascii="FrankRuehl" w:hAnsi="FrankRuehl" w:cs="FrankRuehl"/>
          <w:rtl/>
        </w:rPr>
      </w:pPr>
    </w:p>
    <w:p w14:paraId="5F020C73" w14:textId="77777777" w:rsidR="00760BCB" w:rsidRPr="00760BCB" w:rsidRDefault="00760BCB" w:rsidP="00760BCB">
      <w:pPr>
        <w:tabs>
          <w:tab w:val="left" w:pos="566"/>
        </w:tabs>
        <w:spacing w:line="360" w:lineRule="auto"/>
        <w:jc w:val="center"/>
        <w:rPr>
          <w:rFonts w:ascii="Arial" w:hAnsi="Arial"/>
          <w:b/>
          <w:bCs/>
          <w:sz w:val="28"/>
          <w:szCs w:val="28"/>
          <w:u w:val="single"/>
          <w:rtl/>
        </w:rPr>
      </w:pPr>
      <w:bookmarkStart w:id="4" w:name="PsakDin"/>
      <w:bookmarkEnd w:id="0"/>
      <w:r w:rsidRPr="00760BCB">
        <w:rPr>
          <w:rFonts w:ascii="Arial" w:hAnsi="Arial"/>
          <w:b/>
          <w:bCs/>
          <w:sz w:val="28"/>
          <w:szCs w:val="28"/>
          <w:u w:val="single"/>
          <w:rtl/>
        </w:rPr>
        <w:t>גזר דין</w:t>
      </w:r>
    </w:p>
    <w:bookmarkEnd w:id="4"/>
    <w:p w14:paraId="6CA47EA7" w14:textId="77777777" w:rsidR="009A07FB" w:rsidRDefault="009A07FB" w:rsidP="009A07FB">
      <w:pPr>
        <w:tabs>
          <w:tab w:val="left" w:pos="566"/>
        </w:tabs>
        <w:spacing w:line="360" w:lineRule="auto"/>
        <w:jc w:val="both"/>
        <w:rPr>
          <w:rtl/>
        </w:rPr>
      </w:pPr>
      <w:r>
        <w:rPr>
          <w:rFonts w:hint="cs"/>
          <w:rtl/>
        </w:rPr>
        <w:t>ה</w:t>
      </w:r>
      <w:r w:rsidRPr="00300654">
        <w:rPr>
          <w:rFonts w:hint="cs"/>
          <w:rtl/>
        </w:rPr>
        <w:t xml:space="preserve">נאשם הורשע על פי הודאתו, </w:t>
      </w:r>
      <w:r>
        <w:rPr>
          <w:rFonts w:hint="cs"/>
          <w:rtl/>
        </w:rPr>
        <w:t xml:space="preserve">בביצוע עבירות של החזקת סמים לצריכה עצמית במספר הזדמנויות, כאשר בשלב הטיעונים לעונש הציגו הצדדים הסדר טיעון. מדובר במספר אירועים  בחודשים יולי 2012, דצמבר 2013, מרץ 2014, ואוגוסט 2014 כאשר בחיפושים שונים שנערכו לנאשם נתפסו ברשותו כמויות שונות של סם מסוכן מסוג חשיש. </w:t>
      </w:r>
    </w:p>
    <w:p w14:paraId="7D9BB590" w14:textId="77777777" w:rsidR="009A07FB" w:rsidRDefault="009A07FB" w:rsidP="009A07FB">
      <w:pPr>
        <w:tabs>
          <w:tab w:val="left" w:pos="566"/>
        </w:tabs>
        <w:spacing w:line="360" w:lineRule="auto"/>
        <w:jc w:val="both"/>
        <w:rPr>
          <w:rtl/>
        </w:rPr>
      </w:pPr>
    </w:p>
    <w:p w14:paraId="599160E7" w14:textId="77777777" w:rsidR="009A07FB" w:rsidRDefault="009A07FB" w:rsidP="009A07FB">
      <w:pPr>
        <w:tabs>
          <w:tab w:val="left" w:pos="566"/>
        </w:tabs>
        <w:spacing w:line="360" w:lineRule="auto"/>
        <w:jc w:val="both"/>
        <w:rPr>
          <w:rtl/>
        </w:rPr>
      </w:pPr>
      <w:r>
        <w:rPr>
          <w:rFonts w:hint="cs"/>
          <w:rtl/>
        </w:rPr>
        <w:t xml:space="preserve">מדובר באירועים ישנים כאשר כעולה מהתסקיר האחרון לאחר שנים רבות של התמכרות, הנאשם הצליח להפסיק את השימוש בסם מסוג זה, וזאת בשים לב להמלצת רופאיו לאחר הידרדרות במצבו הבריאותי. </w:t>
      </w:r>
    </w:p>
    <w:p w14:paraId="393F670B" w14:textId="77777777" w:rsidR="009A07FB" w:rsidRDefault="009A07FB" w:rsidP="009A07FB">
      <w:pPr>
        <w:tabs>
          <w:tab w:val="left" w:pos="566"/>
        </w:tabs>
        <w:spacing w:line="360" w:lineRule="auto"/>
        <w:jc w:val="both"/>
        <w:rPr>
          <w:rtl/>
        </w:rPr>
      </w:pPr>
    </w:p>
    <w:p w14:paraId="5060E4C4" w14:textId="77777777" w:rsidR="009A07FB" w:rsidRDefault="009A07FB" w:rsidP="009A07FB">
      <w:pPr>
        <w:tabs>
          <w:tab w:val="left" w:pos="566"/>
        </w:tabs>
        <w:spacing w:line="360" w:lineRule="auto"/>
        <w:jc w:val="both"/>
        <w:rPr>
          <w:rtl/>
        </w:rPr>
      </w:pPr>
      <w:r>
        <w:rPr>
          <w:rFonts w:hint="cs"/>
          <w:rtl/>
        </w:rPr>
        <w:t xml:space="preserve">בנסיבות אלה, הסדר הטיעון שהובא בפני הינו סביר, ועל כן הריני לאמצו. </w:t>
      </w:r>
    </w:p>
    <w:p w14:paraId="30350FE4" w14:textId="77777777" w:rsidR="009A07FB" w:rsidRDefault="009A07FB" w:rsidP="009A07FB">
      <w:pPr>
        <w:tabs>
          <w:tab w:val="left" w:pos="566"/>
        </w:tabs>
        <w:snapToGrid w:val="0"/>
        <w:spacing w:line="360" w:lineRule="auto"/>
        <w:jc w:val="both"/>
        <w:rPr>
          <w:rtl/>
        </w:rPr>
      </w:pPr>
      <w:r>
        <w:rPr>
          <w:rFonts w:hint="cs"/>
          <w:rtl/>
        </w:rPr>
        <w:t xml:space="preserve"> </w:t>
      </w:r>
    </w:p>
    <w:p w14:paraId="7EAF6BC0" w14:textId="77777777" w:rsidR="009A07FB" w:rsidRPr="00300654" w:rsidRDefault="009A07FB" w:rsidP="009A07FB">
      <w:pPr>
        <w:tabs>
          <w:tab w:val="left" w:pos="566"/>
        </w:tabs>
        <w:snapToGrid w:val="0"/>
        <w:spacing w:line="360" w:lineRule="auto"/>
        <w:jc w:val="both"/>
        <w:rPr>
          <w:rtl/>
        </w:rPr>
      </w:pPr>
      <w:r w:rsidRPr="00300654">
        <w:rPr>
          <w:rFonts w:hint="cs"/>
          <w:rtl/>
        </w:rPr>
        <w:t>אני גוזר על הנאשם את העונשים הבאים:</w:t>
      </w:r>
    </w:p>
    <w:p w14:paraId="2AC5A15B" w14:textId="77777777" w:rsidR="009A07FB" w:rsidRDefault="009A07FB" w:rsidP="009A07FB">
      <w:pPr>
        <w:numPr>
          <w:ilvl w:val="0"/>
          <w:numId w:val="1"/>
        </w:numPr>
        <w:tabs>
          <w:tab w:val="left" w:pos="566"/>
        </w:tabs>
        <w:snapToGrid w:val="0"/>
        <w:spacing w:line="360" w:lineRule="auto"/>
        <w:ind w:left="658" w:hanging="298"/>
        <w:jc w:val="both"/>
      </w:pPr>
      <w:r>
        <w:rPr>
          <w:rFonts w:hint="cs"/>
          <w:rtl/>
        </w:rPr>
        <w:t xml:space="preserve">הריני מורה על הארכה של תקופת המאסר על תנאי בן 3 חודשים שהוטל על הנאשם בת.פ. 4198/08 שלום נתניה למשך שנתיים נוספות החל מהיום. </w:t>
      </w:r>
    </w:p>
    <w:p w14:paraId="7ACBFC97" w14:textId="77777777" w:rsidR="009A07FB" w:rsidRDefault="009A07FB" w:rsidP="009A07FB">
      <w:pPr>
        <w:numPr>
          <w:ilvl w:val="0"/>
          <w:numId w:val="1"/>
        </w:numPr>
        <w:tabs>
          <w:tab w:val="left" w:pos="566"/>
        </w:tabs>
        <w:snapToGrid w:val="0"/>
        <w:spacing w:line="360" w:lineRule="auto"/>
        <w:ind w:left="658" w:hanging="298"/>
        <w:jc w:val="both"/>
      </w:pPr>
      <w:r>
        <w:rPr>
          <w:rFonts w:hint="cs"/>
          <w:rtl/>
        </w:rPr>
        <w:t xml:space="preserve"> </w:t>
      </w:r>
      <w:r w:rsidRPr="00300654">
        <w:rPr>
          <w:rFonts w:hint="cs"/>
          <w:rtl/>
        </w:rPr>
        <w:t xml:space="preserve">קנס בסך </w:t>
      </w:r>
      <w:r>
        <w:rPr>
          <w:rFonts w:hint="cs"/>
          <w:rtl/>
        </w:rPr>
        <w:t>1500</w:t>
      </w:r>
      <w:r w:rsidRPr="00300654">
        <w:rPr>
          <w:rFonts w:hint="cs"/>
          <w:rtl/>
        </w:rPr>
        <w:t xml:space="preserve"> ₪, או </w:t>
      </w:r>
      <w:r>
        <w:rPr>
          <w:rFonts w:hint="cs"/>
          <w:rtl/>
        </w:rPr>
        <w:t>15</w:t>
      </w:r>
      <w:r w:rsidRPr="00300654">
        <w:rPr>
          <w:rFonts w:hint="cs"/>
          <w:rtl/>
        </w:rPr>
        <w:t xml:space="preserve"> ימי מאסר תמורתו</w:t>
      </w:r>
      <w:r>
        <w:rPr>
          <w:rFonts w:hint="cs"/>
          <w:rtl/>
        </w:rPr>
        <w:t xml:space="preserve"> אם הקנס לא ישולם</w:t>
      </w:r>
      <w:r w:rsidRPr="00300654">
        <w:rPr>
          <w:rFonts w:hint="cs"/>
          <w:rtl/>
        </w:rPr>
        <w:t xml:space="preserve">. הקנס ישולם </w:t>
      </w:r>
      <w:r>
        <w:rPr>
          <w:rFonts w:hint="cs"/>
          <w:rtl/>
        </w:rPr>
        <w:t xml:space="preserve">עד ליום 1.5.17. </w:t>
      </w:r>
    </w:p>
    <w:p w14:paraId="7EA63991" w14:textId="77777777" w:rsidR="009A07FB" w:rsidRDefault="009A07FB" w:rsidP="009A07FB">
      <w:pPr>
        <w:numPr>
          <w:ilvl w:val="0"/>
          <w:numId w:val="1"/>
        </w:numPr>
        <w:tabs>
          <w:tab w:val="left" w:pos="566"/>
        </w:tabs>
        <w:snapToGrid w:val="0"/>
        <w:spacing w:line="360" w:lineRule="auto"/>
        <w:ind w:left="658" w:hanging="298"/>
        <w:jc w:val="both"/>
      </w:pPr>
      <w:r>
        <w:rPr>
          <w:rFonts w:hint="cs"/>
          <w:rtl/>
        </w:rPr>
        <w:t xml:space="preserve"> </w:t>
      </w:r>
      <w:r w:rsidRPr="00300654">
        <w:rPr>
          <w:rFonts w:hint="cs"/>
          <w:rtl/>
        </w:rPr>
        <w:t xml:space="preserve">הנאשם יחתום על התחייבות בסך </w:t>
      </w:r>
      <w:r>
        <w:rPr>
          <w:rFonts w:hint="cs"/>
          <w:rtl/>
        </w:rPr>
        <w:t>2000</w:t>
      </w:r>
      <w:r w:rsidRPr="00300654">
        <w:rPr>
          <w:rFonts w:hint="cs"/>
          <w:rtl/>
        </w:rPr>
        <w:t xml:space="preserve"> ₪ להימנע במשך שלוש שנים מהיום מלעבור </w:t>
      </w:r>
      <w:r>
        <w:rPr>
          <w:rFonts w:hint="cs"/>
          <w:rtl/>
        </w:rPr>
        <w:t xml:space="preserve">כל עבירה על </w:t>
      </w:r>
      <w:hyperlink r:id="rId8" w:history="1">
        <w:r w:rsidR="00760BCB" w:rsidRPr="00760BCB">
          <w:rPr>
            <w:color w:val="0000FF"/>
            <w:u w:val="single"/>
            <w:rtl/>
          </w:rPr>
          <w:t>פקודת הסמים המסוכנים</w:t>
        </w:r>
      </w:hyperlink>
      <w:r>
        <w:rPr>
          <w:rFonts w:hint="cs"/>
          <w:rtl/>
        </w:rPr>
        <w:t xml:space="preserve">. </w:t>
      </w:r>
      <w:r>
        <w:rPr>
          <w:rFonts w:hint="cs"/>
        </w:rPr>
        <w:t xml:space="preserve"> </w:t>
      </w:r>
      <w:r w:rsidRPr="00300654">
        <w:rPr>
          <w:rFonts w:hint="cs"/>
          <w:rtl/>
        </w:rPr>
        <w:t xml:space="preserve"> לא יחתום על ההתחייבות, ייאסר למשך 7 ימים. </w:t>
      </w:r>
    </w:p>
    <w:p w14:paraId="49FB74AC" w14:textId="77777777" w:rsidR="009A07FB" w:rsidRDefault="009A07FB" w:rsidP="009A07FB">
      <w:pPr>
        <w:tabs>
          <w:tab w:val="left" w:pos="566"/>
        </w:tabs>
        <w:snapToGrid w:val="0"/>
        <w:spacing w:line="360" w:lineRule="auto"/>
        <w:jc w:val="both"/>
        <w:rPr>
          <w:rtl/>
        </w:rPr>
      </w:pPr>
    </w:p>
    <w:p w14:paraId="4EB7D435" w14:textId="77777777" w:rsidR="009A07FB" w:rsidRPr="00300654" w:rsidRDefault="009A07FB" w:rsidP="009A07FB">
      <w:pPr>
        <w:tabs>
          <w:tab w:val="left" w:pos="566"/>
        </w:tabs>
        <w:snapToGrid w:val="0"/>
        <w:spacing w:line="360" w:lineRule="auto"/>
        <w:jc w:val="both"/>
        <w:rPr>
          <w:rtl/>
        </w:rPr>
      </w:pPr>
      <w:r>
        <w:rPr>
          <w:rFonts w:hint="cs"/>
          <w:rtl/>
        </w:rPr>
        <w:lastRenderedPageBreak/>
        <w:t xml:space="preserve">ניתן צו להשמדת המוצג, הסמים שנתפסו בכל האירועים. </w:t>
      </w:r>
    </w:p>
    <w:p w14:paraId="7D54DA67" w14:textId="77777777" w:rsidR="009A07FB" w:rsidRDefault="009A07FB" w:rsidP="009A07FB">
      <w:pPr>
        <w:tabs>
          <w:tab w:val="left" w:pos="566"/>
        </w:tabs>
        <w:snapToGrid w:val="0"/>
        <w:spacing w:line="360" w:lineRule="auto"/>
        <w:ind w:left="567" w:hanging="567"/>
        <w:jc w:val="both"/>
        <w:rPr>
          <w:rtl/>
        </w:rPr>
      </w:pPr>
      <w:r>
        <w:rPr>
          <w:rFonts w:hint="cs"/>
        </w:rPr>
        <w:t xml:space="preserve"> </w:t>
      </w:r>
      <w:r w:rsidRPr="00300654">
        <w:rPr>
          <w:rFonts w:hint="cs"/>
          <w:rtl/>
        </w:rPr>
        <w:t>זכות ערעור לבית-המשפט המחוזי בלוד בתוך 45 יום.</w:t>
      </w:r>
    </w:p>
    <w:p w14:paraId="3B4BA9DD" w14:textId="77777777" w:rsidR="009A07FB" w:rsidRPr="00300654" w:rsidRDefault="009A07FB" w:rsidP="009A07FB">
      <w:pPr>
        <w:tabs>
          <w:tab w:val="left" w:pos="566"/>
        </w:tabs>
        <w:snapToGrid w:val="0"/>
        <w:spacing w:line="360" w:lineRule="auto"/>
        <w:ind w:left="567" w:hanging="567"/>
        <w:jc w:val="both"/>
      </w:pPr>
      <w:r>
        <w:rPr>
          <w:rFonts w:hint="cs"/>
          <w:rtl/>
        </w:rPr>
        <w:t xml:space="preserve">הפרוטוקול יתויק בשני התיקים. </w:t>
      </w:r>
    </w:p>
    <w:p w14:paraId="60C05448" w14:textId="77777777" w:rsidR="009A07FB" w:rsidRDefault="009A07FB" w:rsidP="009A07FB">
      <w:pPr>
        <w:spacing w:line="360" w:lineRule="auto"/>
        <w:jc w:val="both"/>
        <w:rPr>
          <w:sz w:val="6"/>
          <w:szCs w:val="6"/>
          <w:rtl/>
        </w:rPr>
      </w:pPr>
      <w:r>
        <w:rPr>
          <w:rFonts w:hint="cs"/>
        </w:rPr>
        <w:t xml:space="preserve"> </w:t>
      </w:r>
      <w:r>
        <w:rPr>
          <w:sz w:val="6"/>
          <w:szCs w:val="6"/>
          <w:rtl/>
        </w:rPr>
        <w:t>&lt;#5#&gt;</w:t>
      </w:r>
    </w:p>
    <w:p w14:paraId="4D6E358F" w14:textId="77777777" w:rsidR="009A07FB" w:rsidRDefault="009A07FB" w:rsidP="009A07FB">
      <w:pPr>
        <w:jc w:val="right"/>
        <w:rPr>
          <w:rtl/>
        </w:rPr>
      </w:pPr>
    </w:p>
    <w:p w14:paraId="18097BE7" w14:textId="77777777" w:rsidR="009A07FB" w:rsidRDefault="00760BCB" w:rsidP="009A07FB">
      <w:pPr>
        <w:jc w:val="right"/>
        <w:rPr>
          <w:rtl/>
        </w:rPr>
      </w:pPr>
      <w:r w:rsidRPr="00760BCB">
        <w:rPr>
          <w:b/>
          <w:bCs/>
          <w:color w:val="FFFFFF"/>
          <w:sz w:val="2"/>
          <w:szCs w:val="2"/>
          <w:rtl/>
        </w:rPr>
        <w:t>5129371</w:t>
      </w:r>
      <w:r>
        <w:rPr>
          <w:b/>
          <w:bCs/>
          <w:rtl/>
        </w:rPr>
        <w:t xml:space="preserve">ניתנה והודעה היום ב' ניסן תשע"ז, 29/03/2017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A07FB" w14:paraId="4072D4AC" w14:textId="77777777" w:rsidTr="00760BCB">
        <w:trPr>
          <w:trHeight w:val="316"/>
          <w:jc w:val="right"/>
        </w:trPr>
        <w:tc>
          <w:tcPr>
            <w:tcW w:w="3936" w:type="dxa"/>
            <w:shd w:val="clear" w:color="auto" w:fill="auto"/>
          </w:tcPr>
          <w:p w14:paraId="3EE3154D" w14:textId="77777777" w:rsidR="009A07FB" w:rsidRPr="00760BCB" w:rsidRDefault="00760BCB" w:rsidP="00760BCB">
            <w:pPr>
              <w:jc w:val="center"/>
              <w:rPr>
                <w:rFonts w:ascii="Times New Roman" w:eastAsia="Times New Roman" w:hAnsi="Times New Roman" w:cs="Times New Roman"/>
                <w:color w:val="FFFFFF"/>
                <w:sz w:val="2"/>
                <w:szCs w:val="2"/>
              </w:rPr>
            </w:pPr>
            <w:r w:rsidRPr="00760BCB">
              <w:rPr>
                <w:rFonts w:ascii="Times New Roman" w:eastAsia="Times New Roman" w:hAnsi="Times New Roman" w:cs="Times New Roman"/>
                <w:color w:val="FFFFFF"/>
                <w:sz w:val="2"/>
                <w:szCs w:val="2"/>
                <w:rtl/>
              </w:rPr>
              <w:t>54678313</w:t>
            </w:r>
          </w:p>
          <w:p w14:paraId="28B4F048" w14:textId="77777777" w:rsidR="009A07FB" w:rsidRPr="00A75180" w:rsidRDefault="009A07FB" w:rsidP="00760BCB">
            <w:pPr>
              <w:jc w:val="center"/>
              <w:rPr>
                <w:rFonts w:ascii="Times New Roman" w:eastAsia="Times New Roman" w:hAnsi="Times New Roman" w:cs="Times New Roman"/>
                <w:rtl/>
              </w:rPr>
            </w:pPr>
          </w:p>
        </w:tc>
      </w:tr>
      <w:tr w:rsidR="009A07FB" w14:paraId="3D3AFC1B" w14:textId="77777777" w:rsidTr="00760BCB">
        <w:trPr>
          <w:trHeight w:val="361"/>
          <w:jc w:val="right"/>
        </w:trPr>
        <w:tc>
          <w:tcPr>
            <w:tcW w:w="3936" w:type="dxa"/>
            <w:shd w:val="clear" w:color="auto" w:fill="auto"/>
          </w:tcPr>
          <w:p w14:paraId="10558E26" w14:textId="77777777" w:rsidR="009A07FB" w:rsidRPr="00A75180" w:rsidRDefault="009A07FB" w:rsidP="00760BCB">
            <w:pPr>
              <w:jc w:val="center"/>
              <w:rPr>
                <w:rFonts w:ascii="Times New Roman" w:eastAsia="Times New Roman" w:hAnsi="Times New Roman"/>
                <w:b/>
                <w:bCs/>
                <w:rtl/>
              </w:rPr>
            </w:pPr>
            <w:r w:rsidRPr="00A75180">
              <w:rPr>
                <w:rFonts w:ascii="Times New Roman" w:eastAsia="Times New Roman" w:hAnsi="Times New Roman" w:hint="cs"/>
                <w:b/>
                <w:bCs/>
                <w:rtl/>
              </w:rPr>
              <w:t>עמית פרייז</w:t>
            </w:r>
            <w:r w:rsidRPr="00A75180">
              <w:rPr>
                <w:rFonts w:ascii="Times New Roman" w:eastAsia="Times New Roman" w:hAnsi="Times New Roman"/>
                <w:b/>
                <w:bCs/>
                <w:rtl/>
              </w:rPr>
              <w:t xml:space="preserve"> </w:t>
            </w:r>
            <w:r w:rsidRPr="00A75180">
              <w:rPr>
                <w:rFonts w:ascii="Times New Roman" w:eastAsia="Times New Roman" w:hAnsi="Times New Roman" w:hint="cs"/>
                <w:b/>
                <w:bCs/>
                <w:rtl/>
              </w:rPr>
              <w:t>, שופט</w:t>
            </w:r>
            <w:r w:rsidRPr="00A75180">
              <w:rPr>
                <w:rFonts w:ascii="Times New Roman" w:eastAsia="Times New Roman" w:hAnsi="Times New Roman"/>
                <w:b/>
                <w:bCs/>
                <w:rtl/>
              </w:rPr>
              <w:t xml:space="preserve"> </w:t>
            </w:r>
          </w:p>
        </w:tc>
      </w:tr>
    </w:tbl>
    <w:p w14:paraId="1AE66968" w14:textId="77777777" w:rsidR="009A07FB" w:rsidRDefault="009A07FB" w:rsidP="009A07FB">
      <w:pPr>
        <w:jc w:val="right"/>
        <w:rPr>
          <w:rtl/>
        </w:rPr>
      </w:pPr>
    </w:p>
    <w:p w14:paraId="14668D35" w14:textId="77777777" w:rsidR="009A07FB" w:rsidRDefault="009A07FB" w:rsidP="009A07FB">
      <w:r>
        <w:rPr>
          <w:rtl/>
        </w:rPr>
        <w:t>הוקלד</w:t>
      </w:r>
      <w:r>
        <w:t xml:space="preserve"> </w:t>
      </w:r>
      <w:r>
        <w:rPr>
          <w:rtl/>
        </w:rPr>
        <w:t>על</w:t>
      </w:r>
      <w:r>
        <w:t xml:space="preserve"> </w:t>
      </w:r>
      <w:r>
        <w:rPr>
          <w:rtl/>
        </w:rPr>
        <w:t>ידי</w:t>
      </w:r>
      <w:r>
        <w:t xml:space="preserve"> </w:t>
      </w:r>
      <w:r>
        <w:rPr>
          <w:rtl/>
        </w:rPr>
        <w:t>סופיה</w:t>
      </w:r>
      <w:r>
        <w:t xml:space="preserve"> </w:t>
      </w:r>
      <w:r>
        <w:rPr>
          <w:rtl/>
        </w:rPr>
        <w:t>עטיה</w:t>
      </w:r>
    </w:p>
    <w:p w14:paraId="3D43D63D" w14:textId="77777777" w:rsidR="00760BCB" w:rsidRPr="00760BCB" w:rsidRDefault="00760BCB" w:rsidP="00760BCB">
      <w:pPr>
        <w:keepNext/>
        <w:rPr>
          <w:color w:val="000000"/>
          <w:sz w:val="22"/>
          <w:szCs w:val="22"/>
          <w:rtl/>
        </w:rPr>
      </w:pPr>
    </w:p>
    <w:p w14:paraId="6E7EAD89" w14:textId="77777777" w:rsidR="00760BCB" w:rsidRPr="00760BCB" w:rsidRDefault="00760BCB" w:rsidP="00760BCB">
      <w:pPr>
        <w:keepNext/>
        <w:rPr>
          <w:color w:val="000000"/>
          <w:sz w:val="22"/>
          <w:szCs w:val="22"/>
          <w:rtl/>
        </w:rPr>
      </w:pPr>
      <w:r w:rsidRPr="00760BCB">
        <w:rPr>
          <w:color w:val="000000"/>
          <w:sz w:val="22"/>
          <w:szCs w:val="22"/>
          <w:rtl/>
        </w:rPr>
        <w:t>עמית פרייז 54678313</w:t>
      </w:r>
    </w:p>
    <w:p w14:paraId="0CD456A3" w14:textId="77777777" w:rsidR="00760BCB" w:rsidRDefault="00760BCB" w:rsidP="00760BCB">
      <w:r w:rsidRPr="00760BCB">
        <w:rPr>
          <w:color w:val="000000"/>
          <w:rtl/>
        </w:rPr>
        <w:t>נוסח מסמך זה כפוף לשינויי ניסוח ועריכה</w:t>
      </w:r>
    </w:p>
    <w:p w14:paraId="490C540D" w14:textId="77777777" w:rsidR="00760BCB" w:rsidRDefault="00760BCB" w:rsidP="00760BCB">
      <w:pPr>
        <w:rPr>
          <w:rtl/>
        </w:rPr>
      </w:pPr>
    </w:p>
    <w:p w14:paraId="79015055" w14:textId="77777777" w:rsidR="00760BCB" w:rsidRDefault="00760BCB" w:rsidP="00760BCB">
      <w:pPr>
        <w:jc w:val="center"/>
        <w:rPr>
          <w:color w:val="0000FF"/>
          <w:u w:val="single"/>
        </w:rPr>
      </w:pPr>
      <w:hyperlink r:id="rId9" w:history="1">
        <w:r>
          <w:rPr>
            <w:color w:val="0000FF"/>
            <w:u w:val="single"/>
            <w:rtl/>
          </w:rPr>
          <w:t>בעניין עריכה ושינויים במסמכי פסיקה, חקיקה ועוד באתר נבו – הקש כאן</w:t>
        </w:r>
      </w:hyperlink>
    </w:p>
    <w:p w14:paraId="4273D65F" w14:textId="77777777" w:rsidR="00DF27D7" w:rsidRPr="00760BCB" w:rsidRDefault="00DF27D7" w:rsidP="00760BCB">
      <w:pPr>
        <w:jc w:val="center"/>
        <w:rPr>
          <w:color w:val="0000FF"/>
          <w:u w:val="single"/>
        </w:rPr>
      </w:pPr>
    </w:p>
    <w:sectPr w:rsidR="00DF27D7" w:rsidRPr="00760BCB" w:rsidSect="00760BCB">
      <w:headerReference w:type="even" r:id="rId10"/>
      <w:headerReference w:type="default" r:id="rId11"/>
      <w:footerReference w:type="even" r:id="rId12"/>
      <w:footerReference w:type="default" r:id="rId1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B815C2" w14:textId="77777777" w:rsidR="00467C44" w:rsidRDefault="00467C44">
      <w:r>
        <w:separator/>
      </w:r>
    </w:p>
  </w:endnote>
  <w:endnote w:type="continuationSeparator" w:id="0">
    <w:p w14:paraId="6E10F85F" w14:textId="77777777" w:rsidR="00467C44" w:rsidRDefault="00467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706BD" w14:textId="77777777" w:rsidR="00467C44" w:rsidRDefault="00467C44" w:rsidP="00760BC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10</w:t>
    </w:r>
    <w:r>
      <w:rPr>
        <w:rFonts w:ascii="FrankRuehl" w:hAnsi="FrankRuehl" w:cs="FrankRuehl"/>
        <w:rtl/>
      </w:rPr>
      <w:fldChar w:fldCharType="end"/>
    </w:r>
  </w:p>
  <w:p w14:paraId="44BA3B67" w14:textId="77777777" w:rsidR="00467C44" w:rsidRPr="00760BCB" w:rsidRDefault="00467C44" w:rsidP="00760BCB">
    <w:pPr>
      <w:pStyle w:val="a5"/>
      <w:pBdr>
        <w:top w:val="single" w:sz="4" w:space="1" w:color="auto"/>
        <w:between w:val="single" w:sz="4" w:space="0" w:color="auto"/>
      </w:pBdr>
      <w:spacing w:after="60"/>
      <w:jc w:val="center"/>
      <w:rPr>
        <w:rFonts w:ascii="FrankRuehl" w:hAnsi="FrankRuehl" w:cs="FrankRuehl"/>
        <w:color w:val="000000"/>
      </w:rPr>
    </w:pPr>
    <w:r w:rsidRPr="00760BC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072C0" w14:textId="77777777" w:rsidR="00467C44" w:rsidRDefault="00467C44" w:rsidP="00760BC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7705A">
      <w:rPr>
        <w:rFonts w:ascii="FrankRuehl" w:hAnsi="FrankRuehl" w:cs="FrankRuehl"/>
        <w:noProof/>
        <w:rtl/>
      </w:rPr>
      <w:t>1</w:t>
    </w:r>
    <w:r>
      <w:rPr>
        <w:rFonts w:ascii="FrankRuehl" w:hAnsi="FrankRuehl" w:cs="FrankRuehl"/>
        <w:rtl/>
      </w:rPr>
      <w:fldChar w:fldCharType="end"/>
    </w:r>
  </w:p>
  <w:p w14:paraId="034EFBF5" w14:textId="77777777" w:rsidR="00467C44" w:rsidRPr="00760BCB" w:rsidRDefault="00467C44" w:rsidP="00760BCB">
    <w:pPr>
      <w:pStyle w:val="a5"/>
      <w:pBdr>
        <w:top w:val="single" w:sz="4" w:space="1" w:color="auto"/>
        <w:between w:val="single" w:sz="4" w:space="0" w:color="auto"/>
      </w:pBdr>
      <w:spacing w:after="60"/>
      <w:jc w:val="center"/>
      <w:rPr>
        <w:rFonts w:ascii="FrankRuehl" w:hAnsi="FrankRuehl" w:cs="FrankRuehl"/>
        <w:color w:val="000000"/>
      </w:rPr>
    </w:pPr>
    <w:r w:rsidRPr="00760BCB">
      <w:rPr>
        <w:rFonts w:ascii="FrankRuehl" w:hAnsi="FrankRuehl" w:cs="FrankRuehl"/>
        <w:color w:val="000000"/>
      </w:rPr>
      <w:pict w14:anchorId="496A75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F23DAD" w14:textId="77777777" w:rsidR="00467C44" w:rsidRDefault="00467C44">
      <w:r>
        <w:separator/>
      </w:r>
    </w:p>
  </w:footnote>
  <w:footnote w:type="continuationSeparator" w:id="0">
    <w:p w14:paraId="56BC918A" w14:textId="77777777" w:rsidR="00467C44" w:rsidRDefault="00467C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60492" w14:textId="77777777" w:rsidR="00467C44" w:rsidRPr="00760BCB" w:rsidRDefault="00467C44" w:rsidP="00760BCB">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10430-08-14</w:t>
    </w:r>
    <w:r>
      <w:rPr>
        <w:color w:val="000000"/>
        <w:sz w:val="22"/>
        <w:szCs w:val="22"/>
        <w:rtl/>
      </w:rPr>
      <w:tab/>
      <w:t xml:space="preserve"> מדינת ישראל נ' נסים כחלון </w:t>
    </w:r>
    <w:r>
      <w:rPr>
        <w:color w:val="000000"/>
        <w:sz w:val="22"/>
        <w:szCs w:val="22"/>
      </w:rPr>
      <w:t>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9A95F" w14:textId="77777777" w:rsidR="00467C44" w:rsidRPr="00760BCB" w:rsidRDefault="00467C44" w:rsidP="00760BCB">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10430-08-14</w:t>
    </w:r>
    <w:r>
      <w:rPr>
        <w:color w:val="000000"/>
        <w:sz w:val="22"/>
        <w:szCs w:val="22"/>
        <w:rtl/>
      </w:rPr>
      <w:tab/>
      <w:t xml:space="preserve"> מדינת ישראל נ' נסים כחלון </w:t>
    </w:r>
    <w:r>
      <w:rPr>
        <w:color w:val="000000"/>
        <w:sz w:val="22"/>
        <w:szCs w:val="22"/>
      </w:rPr>
      <w:t>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82539A"/>
    <w:multiLevelType w:val="hybridMultilevel"/>
    <w:tmpl w:val="3378CA90"/>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990383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A07FB"/>
    <w:rsid w:val="001E375F"/>
    <w:rsid w:val="002342A7"/>
    <w:rsid w:val="002E7D0B"/>
    <w:rsid w:val="00467C44"/>
    <w:rsid w:val="00760BCB"/>
    <w:rsid w:val="009A07FB"/>
    <w:rsid w:val="009D6A87"/>
    <w:rsid w:val="009F1639"/>
    <w:rsid w:val="00D7705A"/>
    <w:rsid w:val="00DF27D7"/>
    <w:rsid w:val="00E021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C2B23F2"/>
  <w15:chartTrackingRefBased/>
  <w15:docId w15:val="{104C6033-F716-4FB5-B7B7-E5010E499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A07FB"/>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9A07FB"/>
  </w:style>
  <w:style w:type="paragraph" w:styleId="a4">
    <w:name w:val="header"/>
    <w:basedOn w:val="a"/>
    <w:rsid w:val="009A07FB"/>
    <w:pPr>
      <w:tabs>
        <w:tab w:val="center" w:pos="4153"/>
        <w:tab w:val="right" w:pos="8306"/>
      </w:tabs>
    </w:pPr>
  </w:style>
  <w:style w:type="paragraph" w:styleId="a5">
    <w:name w:val="footer"/>
    <w:basedOn w:val="a"/>
    <w:rsid w:val="009A07FB"/>
    <w:pPr>
      <w:tabs>
        <w:tab w:val="center" w:pos="4153"/>
        <w:tab w:val="right" w:pos="8306"/>
      </w:tabs>
    </w:pPr>
  </w:style>
  <w:style w:type="character" w:styleId="a6">
    <w:name w:val="page number"/>
    <w:basedOn w:val="a0"/>
    <w:rsid w:val="009A07FB"/>
  </w:style>
  <w:style w:type="character" w:customStyle="1" w:styleId="TimesNewRomanTimesNewRoman">
    <w:name w:val="סגנון (לטיני) Times New Roman (עברית ושפות אחרות) Times New Roman..."/>
    <w:rsid w:val="009A07FB"/>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9A07FB"/>
    <w:rPr>
      <w:rFonts w:ascii="Times New Roman" w:eastAsia="Times New Roman" w:hAnsi="Times New Roman"/>
      <w:b/>
      <w:bCs/>
      <w:u w:val="single"/>
    </w:rPr>
  </w:style>
  <w:style w:type="character" w:styleId="Hyperlink">
    <w:name w:val="Hyperlink"/>
    <w:basedOn w:val="a0"/>
    <w:rsid w:val="00760B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303</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1816</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2025-04-22T22:24:00Z</dcterms:created>
  <dcterms:modified xsi:type="dcterms:W3CDTF">2025-04-22T22:24:00Z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10430</vt:lpwstr>
  </property>
  <property fmtid="{D5CDD505-2E9C-101B-9397-08002B2CF9AE}" pid="6" name="NEWPARTB">
    <vt:lpwstr>08</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נסים כחלון </vt:lpwstr>
  </property>
  <property fmtid="{D5CDD505-2E9C-101B-9397-08002B2CF9AE}" pid="10" name="LAWYER">
    <vt:lpwstr>רוני אלסטר;עמי מלול</vt:lpwstr>
  </property>
  <property fmtid="{D5CDD505-2E9C-101B-9397-08002B2CF9AE}" pid="11" name="JUDGE">
    <vt:lpwstr>עמית פרייז</vt:lpwstr>
  </property>
  <property fmtid="{D5CDD505-2E9C-101B-9397-08002B2CF9AE}" pid="12" name="CITY">
    <vt:lpwstr>נת'</vt:lpwstr>
  </property>
  <property fmtid="{D5CDD505-2E9C-101B-9397-08002B2CF9AE}" pid="13" name="DATE">
    <vt:lpwstr>20170329</vt:lpwstr>
  </property>
  <property fmtid="{D5CDD505-2E9C-101B-9397-08002B2CF9AE}" pid="14" name="TYPE_N_DATE">
    <vt:lpwstr>38020170329</vt:lpwstr>
  </property>
  <property fmtid="{D5CDD505-2E9C-101B-9397-08002B2CF9AE}" pid="15" name="CASENOTES1">
    <vt:lpwstr>ProcID=209&amp;PartA=4198&amp;PartC=08</vt:lpwstr>
  </property>
  <property fmtid="{D5CDD505-2E9C-101B-9397-08002B2CF9AE}" pid="16" name="WORDNUMPAGES">
    <vt:lpwstr>2</vt:lpwstr>
  </property>
  <property fmtid="{D5CDD505-2E9C-101B-9397-08002B2CF9AE}" pid="17" name="TYPE_ABS_DATE">
    <vt:lpwstr>380020170329</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vt:lpwstr>
  </property>
</Properties>
</file>