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65410" w:rsidRPr="00FD3584" w14:paraId="46AB64FF" w14:textId="77777777">
        <w:trPr>
          <w:trHeight w:hRule="exact" w:val="418"/>
          <w:jc w:val="center"/>
        </w:trPr>
        <w:tc>
          <w:tcPr>
            <w:tcW w:w="8721" w:type="dxa"/>
            <w:gridSpan w:val="2"/>
          </w:tcPr>
          <w:p w14:paraId="19E37926" w14:textId="77777777" w:rsidR="00B65410" w:rsidRPr="00FD3584" w:rsidRDefault="00B65410" w:rsidP="00FD3584">
            <w:pPr>
              <w:pStyle w:val="a3"/>
              <w:jc w:val="center"/>
              <w:rPr>
                <w:rFonts w:ascii="Tahoma" w:hAnsi="Tahoma" w:cs="Tahoma"/>
                <w:color w:val="000080"/>
                <w:rtl/>
              </w:rPr>
            </w:pPr>
            <w:bookmarkStart w:id="0" w:name="FirstLawyer"/>
            <w:bookmarkStart w:id="1" w:name="LastJudge"/>
            <w:r w:rsidRPr="00FD3584">
              <w:rPr>
                <w:rFonts w:ascii="Tahoma" w:hAnsi="Tahoma" w:cs="Tahoma"/>
                <w:b/>
                <w:bCs/>
                <w:color w:val="000080"/>
                <w:rtl/>
              </w:rPr>
              <w:t>בית משפט השלום בתל אביב - יפו</w:t>
            </w:r>
          </w:p>
        </w:tc>
      </w:tr>
      <w:tr w:rsidR="00B65410" w:rsidRPr="00FD3584" w14:paraId="2464493F" w14:textId="77777777">
        <w:trPr>
          <w:trHeight w:val="337"/>
          <w:jc w:val="center"/>
        </w:trPr>
        <w:tc>
          <w:tcPr>
            <w:tcW w:w="5056" w:type="dxa"/>
          </w:tcPr>
          <w:p w14:paraId="384E5B56" w14:textId="77777777" w:rsidR="00B65410" w:rsidRPr="00FD3584" w:rsidRDefault="00B65410" w:rsidP="00FD3584">
            <w:pPr>
              <w:rPr>
                <w:rFonts w:cs="FrankRuehl"/>
                <w:sz w:val="28"/>
                <w:szCs w:val="28"/>
                <w:rtl/>
              </w:rPr>
            </w:pPr>
            <w:r w:rsidRPr="00FD3584">
              <w:rPr>
                <w:rFonts w:cs="FrankRuehl"/>
                <w:sz w:val="28"/>
                <w:szCs w:val="28"/>
                <w:rtl/>
              </w:rPr>
              <w:t>ת"פ</w:t>
            </w:r>
            <w:r w:rsidRPr="00FD3584">
              <w:rPr>
                <w:rFonts w:cs="FrankRuehl" w:hint="cs"/>
                <w:sz w:val="28"/>
                <w:szCs w:val="28"/>
                <w:rtl/>
              </w:rPr>
              <w:t xml:space="preserve"> </w:t>
            </w:r>
            <w:r w:rsidRPr="00FD3584">
              <w:rPr>
                <w:rFonts w:cs="FrankRuehl"/>
                <w:sz w:val="28"/>
                <w:szCs w:val="28"/>
                <w:rtl/>
              </w:rPr>
              <w:t>30091-09-14</w:t>
            </w:r>
            <w:r w:rsidRPr="00FD3584">
              <w:rPr>
                <w:rFonts w:cs="FrankRuehl" w:hint="cs"/>
                <w:sz w:val="28"/>
                <w:szCs w:val="28"/>
                <w:rtl/>
              </w:rPr>
              <w:t xml:space="preserve"> </w:t>
            </w:r>
            <w:r w:rsidRPr="00FD3584">
              <w:rPr>
                <w:rFonts w:cs="FrankRuehl"/>
                <w:sz w:val="28"/>
                <w:szCs w:val="28"/>
                <w:rtl/>
              </w:rPr>
              <w:t>פרקליטות מחוז תל אביב  פלילי נ' ג'לאג'ל</w:t>
            </w:r>
          </w:p>
          <w:p w14:paraId="3112BDC5" w14:textId="77777777" w:rsidR="00B65410" w:rsidRPr="00FD3584" w:rsidRDefault="00B65410" w:rsidP="00FD3584">
            <w:pPr>
              <w:pStyle w:val="a3"/>
              <w:rPr>
                <w:rFonts w:cs="FrankRuehl"/>
                <w:sz w:val="28"/>
                <w:szCs w:val="28"/>
                <w:rtl/>
              </w:rPr>
            </w:pPr>
          </w:p>
        </w:tc>
        <w:tc>
          <w:tcPr>
            <w:tcW w:w="3665" w:type="dxa"/>
          </w:tcPr>
          <w:p w14:paraId="37070C01" w14:textId="77777777" w:rsidR="00B65410" w:rsidRPr="00FD3584" w:rsidRDefault="00B65410" w:rsidP="00FD3584">
            <w:pPr>
              <w:pStyle w:val="a3"/>
              <w:jc w:val="right"/>
              <w:rPr>
                <w:rFonts w:cs="FrankRuehl"/>
                <w:sz w:val="28"/>
                <w:szCs w:val="28"/>
                <w:rtl/>
              </w:rPr>
            </w:pPr>
          </w:p>
        </w:tc>
      </w:tr>
    </w:tbl>
    <w:p w14:paraId="365AC948" w14:textId="77777777" w:rsidR="00B65410" w:rsidRPr="00FD3584" w:rsidRDefault="00B65410" w:rsidP="00B65410">
      <w:pPr>
        <w:pStyle w:val="a3"/>
        <w:rPr>
          <w:rtl/>
        </w:rPr>
      </w:pPr>
      <w:r w:rsidRPr="00FD3584">
        <w:rPr>
          <w:rFonts w:hint="cs"/>
          <w:rtl/>
        </w:rPr>
        <w:t xml:space="preserve"> </w:t>
      </w:r>
    </w:p>
    <w:p w14:paraId="53E8AF5D" w14:textId="77777777" w:rsidR="00B65410" w:rsidRPr="00FD3584" w:rsidRDefault="00B65410" w:rsidP="00B65410">
      <w:pPr>
        <w:spacing w:line="276"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65410" w:rsidRPr="00FD3584" w14:paraId="0E21E421" w14:textId="77777777">
        <w:trPr>
          <w:trHeight w:val="295"/>
          <w:jc w:val="center"/>
        </w:trPr>
        <w:tc>
          <w:tcPr>
            <w:tcW w:w="923" w:type="dxa"/>
            <w:tcBorders>
              <w:top w:val="nil"/>
              <w:left w:val="nil"/>
              <w:bottom w:val="nil"/>
              <w:right w:val="nil"/>
            </w:tcBorders>
            <w:shd w:val="clear" w:color="auto" w:fill="auto"/>
          </w:tcPr>
          <w:p w14:paraId="209C6551" w14:textId="77777777" w:rsidR="00B65410" w:rsidRPr="00FD3584" w:rsidRDefault="00B65410" w:rsidP="00FD3584">
            <w:pPr>
              <w:spacing w:line="276" w:lineRule="auto"/>
              <w:jc w:val="both"/>
              <w:rPr>
                <w:rFonts w:ascii="Arial" w:hAnsi="Arial" w:cs="FrankRuehl"/>
                <w:sz w:val="28"/>
                <w:szCs w:val="28"/>
              </w:rPr>
            </w:pPr>
            <w:r w:rsidRPr="00FD3584">
              <w:rPr>
                <w:rFonts w:ascii="Arial" w:hAnsi="Arial" w:cs="FrankRuehl" w:hint="cs"/>
                <w:sz w:val="28"/>
                <w:szCs w:val="28"/>
                <w:rtl/>
              </w:rPr>
              <w:t>ב</w:t>
            </w:r>
            <w:r w:rsidRPr="00FD358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AE7A8CC" w14:textId="77777777" w:rsidR="00B65410" w:rsidRPr="00FD3584" w:rsidRDefault="00B65410" w:rsidP="00FD3584">
            <w:pPr>
              <w:spacing w:line="276" w:lineRule="auto"/>
              <w:rPr>
                <w:rFonts w:ascii="Arial" w:hAnsi="Arial"/>
                <w:b/>
                <w:bCs/>
                <w:rtl/>
              </w:rPr>
            </w:pPr>
            <w:r w:rsidRPr="00FD3584">
              <w:rPr>
                <w:rFonts w:ascii="Arial" w:hAnsi="Arial" w:hint="cs"/>
                <w:b/>
                <w:bCs/>
                <w:rtl/>
              </w:rPr>
              <w:t>כבוד ה</w:t>
            </w:r>
            <w:r w:rsidRPr="00FD3584">
              <w:rPr>
                <w:rFonts w:hint="cs"/>
                <w:rtl/>
              </w:rPr>
              <w:t>שופט בכיר</w:t>
            </w:r>
            <w:r w:rsidRPr="00FD3584">
              <w:rPr>
                <w:rFonts w:ascii="Arial" w:hAnsi="Arial" w:hint="cs"/>
                <w:b/>
                <w:bCs/>
                <w:rtl/>
              </w:rPr>
              <w:t xml:space="preserve">  </w:t>
            </w:r>
            <w:r w:rsidRPr="00FD3584">
              <w:rPr>
                <w:rFonts w:hint="cs"/>
                <w:rtl/>
              </w:rPr>
              <w:t>דניאל בארי</w:t>
            </w:r>
          </w:p>
          <w:p w14:paraId="144361D2" w14:textId="77777777" w:rsidR="00B65410" w:rsidRPr="00FD3584" w:rsidRDefault="00B65410" w:rsidP="00FD3584">
            <w:pPr>
              <w:spacing w:line="276" w:lineRule="auto"/>
              <w:rPr>
                <w:rtl/>
              </w:rPr>
            </w:pPr>
          </w:p>
          <w:p w14:paraId="780C623E" w14:textId="77777777" w:rsidR="00B65410" w:rsidRPr="00FD3584" w:rsidRDefault="00B65410" w:rsidP="00FD3584">
            <w:pPr>
              <w:spacing w:line="276" w:lineRule="auto"/>
              <w:jc w:val="both"/>
              <w:rPr>
                <w:rFonts w:ascii="Arial" w:hAnsi="Arial" w:cs="FrankRuehl"/>
                <w:sz w:val="28"/>
                <w:szCs w:val="28"/>
              </w:rPr>
            </w:pPr>
          </w:p>
        </w:tc>
      </w:tr>
      <w:tr w:rsidR="00B65410" w:rsidRPr="00FD3584" w14:paraId="7F8C75CC" w14:textId="77777777">
        <w:trPr>
          <w:trHeight w:val="355"/>
          <w:jc w:val="center"/>
        </w:trPr>
        <w:tc>
          <w:tcPr>
            <w:tcW w:w="923" w:type="dxa"/>
            <w:tcBorders>
              <w:top w:val="nil"/>
              <w:left w:val="nil"/>
              <w:bottom w:val="nil"/>
              <w:right w:val="nil"/>
            </w:tcBorders>
            <w:shd w:val="clear" w:color="auto" w:fill="auto"/>
          </w:tcPr>
          <w:p w14:paraId="4539865A" w14:textId="77777777" w:rsidR="00B65410" w:rsidRPr="00FD3584" w:rsidRDefault="00B65410" w:rsidP="00FD3584">
            <w:pPr>
              <w:spacing w:line="276" w:lineRule="auto"/>
              <w:jc w:val="both"/>
              <w:rPr>
                <w:rFonts w:ascii="Arial" w:hAnsi="Arial" w:cs="FrankRuehl"/>
                <w:b/>
                <w:bCs/>
                <w:sz w:val="28"/>
                <w:szCs w:val="28"/>
              </w:rPr>
            </w:pPr>
            <w:bookmarkStart w:id="2" w:name="FirstAppellant"/>
            <w:r w:rsidRPr="00FD3584">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4AE405A8" w14:textId="77777777" w:rsidR="00B65410" w:rsidRPr="00FD3584" w:rsidRDefault="00B65410" w:rsidP="00FD3584">
            <w:pPr>
              <w:spacing w:line="276" w:lineRule="auto"/>
              <w:rPr>
                <w:b/>
                <w:bCs/>
              </w:rPr>
            </w:pPr>
            <w:r w:rsidRPr="00FD3584">
              <w:rPr>
                <w:rFonts w:hint="cs"/>
                <w:b/>
                <w:bCs/>
                <w:rtl/>
              </w:rPr>
              <w:t>פרקליטות מחוז תל אביב  פלילי –</w:t>
            </w:r>
            <w:r w:rsidRPr="00FD3584">
              <w:rPr>
                <w:rFonts w:hint="cs"/>
                <w:b/>
                <w:bCs/>
                <w:rtl/>
              </w:rPr>
              <w:br/>
              <w:t>ע"י עו"ד טיטלבאום</w:t>
            </w:r>
          </w:p>
        </w:tc>
        <w:tc>
          <w:tcPr>
            <w:tcW w:w="3771" w:type="dxa"/>
            <w:tcBorders>
              <w:top w:val="nil"/>
              <w:left w:val="nil"/>
              <w:bottom w:val="nil"/>
              <w:right w:val="nil"/>
            </w:tcBorders>
            <w:shd w:val="clear" w:color="auto" w:fill="auto"/>
          </w:tcPr>
          <w:p w14:paraId="28B9EB81" w14:textId="77777777" w:rsidR="00B65410" w:rsidRPr="00FD3584" w:rsidRDefault="00B65410" w:rsidP="00FD3584">
            <w:pPr>
              <w:spacing w:line="276" w:lineRule="auto"/>
              <w:jc w:val="both"/>
              <w:rPr>
                <w:rFonts w:ascii="Arial" w:hAnsi="Arial" w:cs="FrankRuehl"/>
                <w:b/>
                <w:bCs/>
                <w:sz w:val="28"/>
                <w:szCs w:val="28"/>
              </w:rPr>
            </w:pPr>
          </w:p>
        </w:tc>
      </w:tr>
      <w:bookmarkEnd w:id="2"/>
      <w:tr w:rsidR="00B65410" w:rsidRPr="00FD3584" w14:paraId="6B7175D4" w14:textId="77777777">
        <w:trPr>
          <w:trHeight w:val="355"/>
          <w:jc w:val="center"/>
        </w:trPr>
        <w:tc>
          <w:tcPr>
            <w:tcW w:w="923" w:type="dxa"/>
            <w:tcBorders>
              <w:top w:val="nil"/>
              <w:left w:val="nil"/>
              <w:bottom w:val="nil"/>
              <w:right w:val="nil"/>
            </w:tcBorders>
            <w:shd w:val="clear" w:color="auto" w:fill="auto"/>
          </w:tcPr>
          <w:p w14:paraId="4A900D51" w14:textId="77777777" w:rsidR="00B65410" w:rsidRPr="00FD3584" w:rsidRDefault="00B65410" w:rsidP="00FD3584">
            <w:pPr>
              <w:spacing w:line="276"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35BC029" w14:textId="77777777" w:rsidR="00B65410" w:rsidRPr="00FD3584" w:rsidRDefault="00B65410" w:rsidP="00FD3584">
            <w:pPr>
              <w:spacing w:line="276" w:lineRule="auto"/>
              <w:jc w:val="both"/>
              <w:rPr>
                <w:b/>
                <w:bCs/>
                <w:rtl/>
              </w:rPr>
            </w:pPr>
          </w:p>
        </w:tc>
        <w:tc>
          <w:tcPr>
            <w:tcW w:w="3771" w:type="dxa"/>
            <w:tcBorders>
              <w:top w:val="nil"/>
              <w:left w:val="nil"/>
              <w:bottom w:val="nil"/>
              <w:right w:val="nil"/>
            </w:tcBorders>
            <w:shd w:val="clear" w:color="auto" w:fill="auto"/>
          </w:tcPr>
          <w:p w14:paraId="41E78F4E" w14:textId="77777777" w:rsidR="00B65410" w:rsidRPr="00FD3584" w:rsidRDefault="00B65410" w:rsidP="00FD3584">
            <w:pPr>
              <w:spacing w:line="276" w:lineRule="auto"/>
              <w:jc w:val="right"/>
              <w:rPr>
                <w:rFonts w:ascii="Arial" w:hAnsi="Arial" w:cs="FrankRuehl"/>
                <w:b/>
                <w:bCs/>
                <w:sz w:val="28"/>
                <w:szCs w:val="28"/>
                <w:rtl/>
              </w:rPr>
            </w:pPr>
            <w:r w:rsidRPr="00FD3584">
              <w:rPr>
                <w:rFonts w:ascii="Arial" w:hAnsi="Arial" w:cs="FrankRuehl" w:hint="cs"/>
                <w:b/>
                <w:bCs/>
                <w:sz w:val="28"/>
                <w:szCs w:val="28"/>
                <w:rtl/>
              </w:rPr>
              <w:t>ה</w:t>
            </w:r>
            <w:r w:rsidRPr="00FD3584">
              <w:rPr>
                <w:rFonts w:hint="cs"/>
                <w:b/>
                <w:bCs/>
                <w:rtl/>
              </w:rPr>
              <w:t>מאשימה</w:t>
            </w:r>
          </w:p>
        </w:tc>
      </w:tr>
      <w:tr w:rsidR="00B65410" w:rsidRPr="00FD3584" w14:paraId="6610B0B9" w14:textId="77777777">
        <w:trPr>
          <w:trHeight w:val="355"/>
          <w:jc w:val="center"/>
        </w:trPr>
        <w:tc>
          <w:tcPr>
            <w:tcW w:w="923" w:type="dxa"/>
            <w:tcBorders>
              <w:top w:val="nil"/>
              <w:left w:val="nil"/>
              <w:bottom w:val="nil"/>
              <w:right w:val="nil"/>
            </w:tcBorders>
            <w:shd w:val="clear" w:color="auto" w:fill="auto"/>
          </w:tcPr>
          <w:p w14:paraId="7AC245B1" w14:textId="77777777" w:rsidR="00B65410" w:rsidRPr="00FD3584" w:rsidRDefault="00B65410" w:rsidP="00FD3584">
            <w:pPr>
              <w:spacing w:line="276"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9F884ED" w14:textId="77777777" w:rsidR="00B65410" w:rsidRPr="00FD3584" w:rsidRDefault="00B65410" w:rsidP="00FD3584">
            <w:pPr>
              <w:spacing w:line="276" w:lineRule="auto"/>
              <w:jc w:val="center"/>
              <w:rPr>
                <w:rFonts w:ascii="Arial" w:hAnsi="Arial" w:cs="FrankRuehl"/>
                <w:b/>
                <w:bCs/>
                <w:sz w:val="28"/>
                <w:szCs w:val="28"/>
                <w:rtl/>
              </w:rPr>
            </w:pPr>
          </w:p>
          <w:p w14:paraId="1E1021AF" w14:textId="77777777" w:rsidR="00B65410" w:rsidRPr="00FD3584" w:rsidRDefault="00B65410" w:rsidP="00FD3584">
            <w:pPr>
              <w:spacing w:line="276" w:lineRule="auto"/>
              <w:jc w:val="center"/>
              <w:rPr>
                <w:rFonts w:ascii="Arial" w:hAnsi="Arial" w:cs="FrankRuehl"/>
                <w:b/>
                <w:bCs/>
                <w:sz w:val="28"/>
                <w:szCs w:val="28"/>
                <w:rtl/>
              </w:rPr>
            </w:pPr>
            <w:r w:rsidRPr="00FD3584">
              <w:rPr>
                <w:rFonts w:ascii="Arial" w:hAnsi="Arial" w:cs="FrankRuehl"/>
                <w:b/>
                <w:bCs/>
                <w:sz w:val="28"/>
                <w:szCs w:val="28"/>
                <w:rtl/>
              </w:rPr>
              <w:t>נגד</w:t>
            </w:r>
          </w:p>
          <w:p w14:paraId="6BE90925" w14:textId="77777777" w:rsidR="00B65410" w:rsidRPr="00FD3584" w:rsidRDefault="00B65410" w:rsidP="00FD3584">
            <w:pPr>
              <w:spacing w:line="276" w:lineRule="auto"/>
              <w:jc w:val="both"/>
              <w:rPr>
                <w:rFonts w:ascii="Arial" w:hAnsi="Arial" w:cs="FrankRuehl"/>
                <w:b/>
                <w:bCs/>
                <w:sz w:val="28"/>
                <w:szCs w:val="28"/>
              </w:rPr>
            </w:pPr>
          </w:p>
        </w:tc>
      </w:tr>
      <w:tr w:rsidR="00B65410" w:rsidRPr="00FD3584" w14:paraId="12C6F56B" w14:textId="77777777">
        <w:trPr>
          <w:trHeight w:val="355"/>
          <w:jc w:val="center"/>
        </w:trPr>
        <w:tc>
          <w:tcPr>
            <w:tcW w:w="923" w:type="dxa"/>
            <w:tcBorders>
              <w:top w:val="nil"/>
              <w:left w:val="nil"/>
              <w:bottom w:val="nil"/>
              <w:right w:val="nil"/>
            </w:tcBorders>
            <w:shd w:val="clear" w:color="auto" w:fill="auto"/>
          </w:tcPr>
          <w:p w14:paraId="295892C8" w14:textId="77777777" w:rsidR="00B65410" w:rsidRPr="00FD3584" w:rsidRDefault="00B65410" w:rsidP="00FD3584">
            <w:pPr>
              <w:spacing w:line="276" w:lineRule="auto"/>
              <w:rPr>
                <w:rFonts w:ascii="Arial" w:hAnsi="Arial" w:cs="FrankRuehl"/>
                <w:b/>
                <w:bCs/>
                <w:sz w:val="28"/>
                <w:szCs w:val="28"/>
                <w:rtl/>
              </w:rPr>
            </w:pPr>
          </w:p>
        </w:tc>
        <w:tc>
          <w:tcPr>
            <w:tcW w:w="4126" w:type="dxa"/>
            <w:tcBorders>
              <w:top w:val="nil"/>
              <w:left w:val="nil"/>
              <w:bottom w:val="nil"/>
              <w:right w:val="nil"/>
            </w:tcBorders>
            <w:shd w:val="clear" w:color="auto" w:fill="auto"/>
          </w:tcPr>
          <w:p w14:paraId="4603D9DF" w14:textId="77777777" w:rsidR="00B65410" w:rsidRPr="00FD3584" w:rsidRDefault="00B65410" w:rsidP="00FD3584">
            <w:pPr>
              <w:spacing w:line="276" w:lineRule="auto"/>
              <w:rPr>
                <w:b/>
                <w:bCs/>
                <w:rtl/>
              </w:rPr>
            </w:pPr>
            <w:r w:rsidRPr="00FD3584">
              <w:rPr>
                <w:rFonts w:hint="cs"/>
                <w:b/>
                <w:bCs/>
                <w:rtl/>
              </w:rPr>
              <w:t>מחמד ג'לאג'ל -</w:t>
            </w:r>
            <w:r w:rsidRPr="00FD3584">
              <w:rPr>
                <w:rFonts w:hint="cs"/>
                <w:b/>
                <w:bCs/>
                <w:rtl/>
              </w:rPr>
              <w:br/>
              <w:t>ע"י עו"ד יוסי סקה</w:t>
            </w:r>
          </w:p>
        </w:tc>
        <w:tc>
          <w:tcPr>
            <w:tcW w:w="3771" w:type="dxa"/>
            <w:tcBorders>
              <w:top w:val="nil"/>
              <w:left w:val="nil"/>
              <w:bottom w:val="nil"/>
              <w:right w:val="nil"/>
            </w:tcBorders>
            <w:shd w:val="clear" w:color="auto" w:fill="auto"/>
          </w:tcPr>
          <w:p w14:paraId="1CCA2A56" w14:textId="77777777" w:rsidR="00B65410" w:rsidRPr="00FD3584" w:rsidRDefault="00B65410" w:rsidP="00FD3584">
            <w:pPr>
              <w:spacing w:line="276" w:lineRule="auto"/>
              <w:jc w:val="right"/>
              <w:rPr>
                <w:rFonts w:ascii="Arial" w:hAnsi="Arial" w:cs="FrankRuehl"/>
                <w:b/>
                <w:bCs/>
                <w:sz w:val="28"/>
                <w:szCs w:val="28"/>
              </w:rPr>
            </w:pPr>
          </w:p>
        </w:tc>
      </w:tr>
      <w:tr w:rsidR="00B65410" w:rsidRPr="00FD3584" w14:paraId="137F7B3F" w14:textId="77777777">
        <w:trPr>
          <w:trHeight w:val="355"/>
          <w:jc w:val="center"/>
        </w:trPr>
        <w:tc>
          <w:tcPr>
            <w:tcW w:w="923" w:type="dxa"/>
            <w:tcBorders>
              <w:top w:val="nil"/>
              <w:left w:val="nil"/>
              <w:bottom w:val="nil"/>
              <w:right w:val="nil"/>
            </w:tcBorders>
            <w:shd w:val="clear" w:color="auto" w:fill="auto"/>
          </w:tcPr>
          <w:p w14:paraId="75C1CAFB" w14:textId="77777777" w:rsidR="00B65410" w:rsidRPr="00FD3584" w:rsidRDefault="00B65410" w:rsidP="00FD3584">
            <w:pPr>
              <w:spacing w:line="276"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2694F978" w14:textId="77777777" w:rsidR="00B65410" w:rsidRPr="00FD3584" w:rsidRDefault="00B65410" w:rsidP="00FD3584">
            <w:pPr>
              <w:spacing w:line="276" w:lineRule="auto"/>
              <w:jc w:val="both"/>
              <w:rPr>
                <w:rtl/>
              </w:rPr>
            </w:pPr>
          </w:p>
        </w:tc>
        <w:tc>
          <w:tcPr>
            <w:tcW w:w="3771" w:type="dxa"/>
            <w:tcBorders>
              <w:top w:val="nil"/>
              <w:left w:val="nil"/>
              <w:bottom w:val="nil"/>
              <w:right w:val="nil"/>
            </w:tcBorders>
            <w:shd w:val="clear" w:color="auto" w:fill="auto"/>
          </w:tcPr>
          <w:p w14:paraId="3C3334DB" w14:textId="77777777" w:rsidR="00B65410" w:rsidRPr="00FD3584" w:rsidRDefault="00B65410" w:rsidP="00FD3584">
            <w:pPr>
              <w:spacing w:line="276" w:lineRule="auto"/>
              <w:jc w:val="right"/>
              <w:rPr>
                <w:rFonts w:ascii="Arial" w:hAnsi="Arial" w:cs="FrankRuehl"/>
                <w:sz w:val="28"/>
                <w:szCs w:val="28"/>
              </w:rPr>
            </w:pPr>
            <w:r w:rsidRPr="00FD3584">
              <w:rPr>
                <w:rFonts w:ascii="Arial" w:hAnsi="Arial" w:cs="FrankRuehl" w:hint="cs"/>
                <w:sz w:val="28"/>
                <w:szCs w:val="28"/>
                <w:rtl/>
              </w:rPr>
              <w:t>ה</w:t>
            </w:r>
            <w:r w:rsidRPr="00FD3584">
              <w:rPr>
                <w:rFonts w:hint="cs"/>
                <w:rtl/>
              </w:rPr>
              <w:t>נאשמים</w:t>
            </w:r>
          </w:p>
        </w:tc>
      </w:tr>
      <w:tr w:rsidR="00B65410" w14:paraId="73BB6353" w14:textId="77777777">
        <w:trPr>
          <w:trHeight w:val="355"/>
          <w:jc w:val="center"/>
        </w:trPr>
        <w:tc>
          <w:tcPr>
            <w:tcW w:w="8820" w:type="dxa"/>
            <w:gridSpan w:val="3"/>
            <w:tcBorders>
              <w:top w:val="nil"/>
              <w:left w:val="nil"/>
              <w:bottom w:val="nil"/>
              <w:right w:val="nil"/>
            </w:tcBorders>
            <w:shd w:val="clear" w:color="auto" w:fill="auto"/>
          </w:tcPr>
          <w:p w14:paraId="1CA7D085" w14:textId="77777777" w:rsidR="00104A2A" w:rsidRPr="00104A2A" w:rsidRDefault="00104A2A" w:rsidP="00104A2A">
            <w:pPr>
              <w:spacing w:after="120" w:line="240" w:lineRule="exact"/>
              <w:ind w:left="283" w:hanging="283"/>
              <w:jc w:val="both"/>
              <w:rPr>
                <w:rFonts w:ascii="FrankRuehl" w:hAnsi="FrankRuehl" w:cs="FrankRuehl"/>
                <w:rtl/>
              </w:rPr>
            </w:pPr>
            <w:bookmarkStart w:id="3" w:name="PsakDin" w:colFirst="0" w:colLast="0"/>
            <w:bookmarkStart w:id="4" w:name="LawTable"/>
            <w:bookmarkEnd w:id="0"/>
            <w:bookmarkEnd w:id="1"/>
            <w:bookmarkEnd w:id="4"/>
          </w:p>
          <w:p w14:paraId="6CF72D5E" w14:textId="77777777" w:rsidR="00104A2A" w:rsidRPr="00104A2A" w:rsidRDefault="00104A2A" w:rsidP="00104A2A">
            <w:pPr>
              <w:spacing w:after="120" w:line="240" w:lineRule="exact"/>
              <w:ind w:left="283" w:hanging="283"/>
              <w:jc w:val="both"/>
              <w:rPr>
                <w:rFonts w:ascii="FrankRuehl" w:hAnsi="FrankRuehl" w:cs="FrankRuehl"/>
                <w:rtl/>
              </w:rPr>
            </w:pPr>
            <w:r w:rsidRPr="00104A2A">
              <w:rPr>
                <w:rFonts w:ascii="FrankRuehl" w:hAnsi="FrankRuehl" w:cs="FrankRuehl"/>
                <w:rtl/>
              </w:rPr>
              <w:t xml:space="preserve">חקיקה שאוזכרה: </w:t>
            </w:r>
          </w:p>
          <w:p w14:paraId="6194720C" w14:textId="77777777" w:rsidR="00104A2A" w:rsidRPr="00104A2A" w:rsidRDefault="00104A2A" w:rsidP="00104A2A">
            <w:pPr>
              <w:spacing w:after="120" w:line="240" w:lineRule="exact"/>
              <w:ind w:left="283" w:hanging="283"/>
              <w:jc w:val="both"/>
              <w:rPr>
                <w:rFonts w:ascii="FrankRuehl" w:hAnsi="FrankRuehl" w:cs="FrankRuehl"/>
                <w:rtl/>
              </w:rPr>
            </w:pPr>
            <w:hyperlink r:id="rId6" w:history="1">
              <w:r w:rsidRPr="00104A2A">
                <w:rPr>
                  <w:rFonts w:ascii="FrankRuehl" w:hAnsi="FrankRuehl" w:cs="FrankRuehl"/>
                  <w:color w:val="0000FF"/>
                  <w:u w:val="single"/>
                  <w:rtl/>
                </w:rPr>
                <w:t>חוק העונשין, תשל"ז-1977</w:t>
              </w:r>
            </w:hyperlink>
            <w:r w:rsidRPr="00104A2A">
              <w:rPr>
                <w:rFonts w:ascii="FrankRuehl" w:hAnsi="FrankRuehl" w:cs="FrankRuehl"/>
                <w:rtl/>
              </w:rPr>
              <w:t xml:space="preserve">: סע'  </w:t>
            </w:r>
            <w:hyperlink r:id="rId7" w:history="1">
              <w:r w:rsidRPr="00104A2A">
                <w:rPr>
                  <w:rFonts w:ascii="FrankRuehl" w:hAnsi="FrankRuehl" w:cs="FrankRuehl"/>
                  <w:color w:val="0000FF"/>
                  <w:u w:val="single"/>
                  <w:rtl/>
                </w:rPr>
                <w:t>40 ד</w:t>
              </w:r>
            </w:hyperlink>
          </w:p>
          <w:p w14:paraId="16E81CCA" w14:textId="77777777" w:rsidR="00104A2A" w:rsidRPr="00104A2A" w:rsidRDefault="00104A2A" w:rsidP="00104A2A">
            <w:pPr>
              <w:spacing w:after="120" w:line="240" w:lineRule="exact"/>
              <w:ind w:left="283" w:hanging="283"/>
              <w:jc w:val="both"/>
              <w:rPr>
                <w:rFonts w:ascii="FrankRuehl" w:hAnsi="FrankRuehl" w:cs="FrankRuehl"/>
                <w:rtl/>
              </w:rPr>
            </w:pPr>
            <w:hyperlink r:id="rId8" w:history="1">
              <w:r w:rsidRPr="00104A2A">
                <w:rPr>
                  <w:rFonts w:ascii="FrankRuehl" w:hAnsi="FrankRuehl" w:cs="FrankRuehl"/>
                  <w:color w:val="0000FF"/>
                  <w:u w:val="single"/>
                  <w:rtl/>
                </w:rPr>
                <w:t>פקודת הסמים המסוכנים [נוסח חדש], תשל"ג-1973</w:t>
              </w:r>
            </w:hyperlink>
          </w:p>
          <w:p w14:paraId="61A53079" w14:textId="77777777" w:rsidR="00104A2A" w:rsidRPr="00104A2A" w:rsidRDefault="00104A2A" w:rsidP="00104A2A">
            <w:pPr>
              <w:spacing w:after="120" w:line="240" w:lineRule="exact"/>
              <w:ind w:left="283" w:hanging="283"/>
              <w:jc w:val="both"/>
              <w:rPr>
                <w:rFonts w:ascii="FrankRuehl" w:hAnsi="FrankRuehl" w:cs="FrankRuehl"/>
                <w:rtl/>
              </w:rPr>
            </w:pPr>
          </w:p>
          <w:p w14:paraId="1941698D" w14:textId="77777777" w:rsidR="00FD3584" w:rsidRPr="00FD3584" w:rsidRDefault="00FD3584" w:rsidP="00FD3584">
            <w:pPr>
              <w:spacing w:line="276" w:lineRule="auto"/>
              <w:jc w:val="center"/>
              <w:rPr>
                <w:rFonts w:ascii="Arial" w:hAnsi="Arial" w:cs="FrankRuehl"/>
                <w:b/>
                <w:bCs/>
                <w:sz w:val="32"/>
                <w:szCs w:val="32"/>
                <w:u w:val="single"/>
                <w:rtl/>
              </w:rPr>
            </w:pPr>
            <w:bookmarkStart w:id="5" w:name="LawTable_End"/>
            <w:bookmarkEnd w:id="5"/>
            <w:r w:rsidRPr="00FD3584">
              <w:rPr>
                <w:rFonts w:ascii="Arial" w:hAnsi="Arial" w:cs="FrankRuehl"/>
                <w:b/>
                <w:bCs/>
                <w:sz w:val="32"/>
                <w:szCs w:val="32"/>
                <w:u w:val="single"/>
                <w:rtl/>
              </w:rPr>
              <w:t>גזר דין</w:t>
            </w:r>
          </w:p>
          <w:p w14:paraId="7D7B06A8" w14:textId="77777777" w:rsidR="00B65410" w:rsidRPr="00FD3584" w:rsidRDefault="00B65410" w:rsidP="00FD3584">
            <w:pPr>
              <w:spacing w:line="276" w:lineRule="auto"/>
              <w:jc w:val="center"/>
              <w:rPr>
                <w:rFonts w:ascii="Arial" w:hAnsi="Arial" w:cs="FrankRuehl"/>
                <w:bCs/>
                <w:sz w:val="32"/>
                <w:szCs w:val="32"/>
                <w:u w:val="single"/>
                <w:rtl/>
              </w:rPr>
            </w:pPr>
          </w:p>
        </w:tc>
      </w:tr>
      <w:bookmarkEnd w:id="3"/>
    </w:tbl>
    <w:p w14:paraId="76DE5093" w14:textId="77777777" w:rsidR="00B65410" w:rsidRPr="00B05847" w:rsidRDefault="00B65410" w:rsidP="00B65410">
      <w:pPr>
        <w:spacing w:line="276" w:lineRule="auto"/>
        <w:rPr>
          <w:rFonts w:ascii="Arial" w:hAnsi="Arial"/>
          <w:rtl/>
        </w:rPr>
      </w:pPr>
    </w:p>
    <w:p w14:paraId="49C6071F" w14:textId="77777777" w:rsidR="00B65410" w:rsidRDefault="00B65410" w:rsidP="00B65410">
      <w:pPr>
        <w:spacing w:after="120"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ביום 8.9.14 בשעה 01:53 נסע הנאשם במונית כשברשותו סם מסוג קוקאין במשקל כולל של 25.18 גר' נטו</w:t>
      </w:r>
      <w:bookmarkStart w:id="7" w:name="ABSTRACT_END"/>
      <w:bookmarkEnd w:id="7"/>
      <w:r>
        <w:rPr>
          <w:rFonts w:ascii="Arial" w:hAnsi="Arial" w:hint="cs"/>
          <w:rtl/>
        </w:rPr>
        <w:t>.</w:t>
      </w:r>
    </w:p>
    <w:p w14:paraId="4D0C0382" w14:textId="77777777" w:rsidR="00B65410" w:rsidRDefault="00B65410" w:rsidP="00B65410">
      <w:pPr>
        <w:spacing w:after="120" w:line="360" w:lineRule="auto"/>
        <w:ind w:left="720" w:hanging="720"/>
        <w:jc w:val="both"/>
        <w:rPr>
          <w:rFonts w:ascii="Arial" w:hAnsi="Arial"/>
          <w:rtl/>
        </w:rPr>
      </w:pPr>
    </w:p>
    <w:p w14:paraId="60EF647F" w14:textId="77777777" w:rsidR="00B65410" w:rsidRDefault="00B65410" w:rsidP="00B65410">
      <w:pPr>
        <w:spacing w:after="120" w:line="360" w:lineRule="auto"/>
        <w:ind w:left="720" w:hanging="720"/>
        <w:jc w:val="both"/>
        <w:rPr>
          <w:rFonts w:ascii="Arial" w:hAnsi="Arial"/>
          <w:rtl/>
        </w:rPr>
      </w:pPr>
      <w:r>
        <w:rPr>
          <w:rFonts w:ascii="Arial" w:hAnsi="Arial" w:hint="cs"/>
          <w:rtl/>
        </w:rPr>
        <w:t>2.</w:t>
      </w:r>
      <w:r>
        <w:rPr>
          <w:rFonts w:ascii="Arial" w:hAnsi="Arial" w:hint="cs"/>
          <w:rtl/>
        </w:rPr>
        <w:tab/>
        <w:t>שוטרים שעצרו את המונית הבחינו כי הנאשם מחזיק בידו חומר החשוד כסם מסוכן. הנאשם ניסה לברוח מהמקום, הסתיר את הסם בכך שקמץ את אגרוף יד שמאל והפריע לשוטרים לאזוק אותו.</w:t>
      </w:r>
    </w:p>
    <w:p w14:paraId="5AEF46E9" w14:textId="77777777" w:rsidR="00B65410" w:rsidRDefault="00B65410" w:rsidP="00B65410">
      <w:pPr>
        <w:spacing w:after="120" w:line="360" w:lineRule="auto"/>
        <w:ind w:left="720" w:hanging="720"/>
        <w:jc w:val="both"/>
        <w:rPr>
          <w:rFonts w:ascii="Arial" w:hAnsi="Arial"/>
          <w:rtl/>
        </w:rPr>
      </w:pPr>
    </w:p>
    <w:p w14:paraId="28802C44" w14:textId="77777777" w:rsidR="00B65410" w:rsidRDefault="00B65410" w:rsidP="00B65410">
      <w:pPr>
        <w:spacing w:after="120" w:line="360" w:lineRule="auto"/>
        <w:ind w:left="720" w:hanging="720"/>
        <w:jc w:val="both"/>
        <w:rPr>
          <w:rFonts w:ascii="Arial" w:hAnsi="Arial"/>
          <w:rtl/>
        </w:rPr>
      </w:pPr>
      <w:r>
        <w:rPr>
          <w:rFonts w:ascii="Arial" w:hAnsi="Arial" w:hint="cs"/>
          <w:rtl/>
        </w:rPr>
        <w:t>3.</w:t>
      </w:r>
      <w:r>
        <w:rPr>
          <w:rFonts w:ascii="Arial" w:hAnsi="Arial" w:hint="cs"/>
          <w:rtl/>
        </w:rPr>
        <w:tab/>
        <w:t>הנאשם כפר במיוחס לו וטען כי החיפוש שנערך לא היה חוקי, לחלופין טען הנאשם כי הסם הוחזק לצריכתו העצמית.</w:t>
      </w:r>
    </w:p>
    <w:p w14:paraId="582EFB74" w14:textId="77777777" w:rsidR="00B65410" w:rsidRDefault="00B65410" w:rsidP="00B65410">
      <w:pPr>
        <w:spacing w:after="120" w:line="360" w:lineRule="auto"/>
        <w:ind w:left="720" w:hanging="720"/>
        <w:jc w:val="both"/>
        <w:rPr>
          <w:rFonts w:ascii="Arial" w:hAnsi="Arial"/>
          <w:rtl/>
        </w:rPr>
      </w:pPr>
    </w:p>
    <w:p w14:paraId="1D716750" w14:textId="77777777" w:rsidR="00B65410" w:rsidRDefault="00B65410" w:rsidP="00B65410">
      <w:pPr>
        <w:spacing w:after="120" w:line="360" w:lineRule="auto"/>
        <w:ind w:left="720" w:hanging="720"/>
        <w:jc w:val="both"/>
        <w:rPr>
          <w:rFonts w:ascii="Arial" w:hAnsi="Arial"/>
          <w:rtl/>
        </w:rPr>
      </w:pPr>
      <w:r>
        <w:rPr>
          <w:rFonts w:ascii="Arial" w:hAnsi="Arial" w:hint="cs"/>
          <w:rtl/>
        </w:rPr>
        <w:lastRenderedPageBreak/>
        <w:t>4.</w:t>
      </w:r>
      <w:r>
        <w:rPr>
          <w:rFonts w:ascii="Arial" w:hAnsi="Arial" w:hint="cs"/>
          <w:rtl/>
        </w:rPr>
        <w:tab/>
        <w:t>ביום 13.12.15 דחיתי את טענותיו של הנאשם והחלטתי להרשיע אותו בעבירות שיוחסו לו בכתב האישום.</w:t>
      </w:r>
    </w:p>
    <w:p w14:paraId="22951732" w14:textId="77777777" w:rsidR="00B65410" w:rsidRDefault="00B65410" w:rsidP="00B65410">
      <w:pPr>
        <w:spacing w:after="120" w:line="360" w:lineRule="auto"/>
        <w:ind w:left="720" w:hanging="720"/>
        <w:jc w:val="both"/>
        <w:rPr>
          <w:rFonts w:ascii="Arial" w:hAnsi="Arial"/>
          <w:rtl/>
        </w:rPr>
      </w:pPr>
    </w:p>
    <w:p w14:paraId="4CA7964E" w14:textId="77777777" w:rsidR="00B65410" w:rsidRDefault="00B65410" w:rsidP="00B65410">
      <w:pPr>
        <w:spacing w:after="120" w:line="360" w:lineRule="auto"/>
        <w:ind w:left="720" w:hanging="720"/>
        <w:jc w:val="both"/>
        <w:rPr>
          <w:rFonts w:ascii="Arial" w:hAnsi="Arial"/>
          <w:rtl/>
        </w:rPr>
      </w:pPr>
      <w:r>
        <w:rPr>
          <w:rFonts w:ascii="Arial" w:hAnsi="Arial" w:hint="cs"/>
          <w:rtl/>
        </w:rPr>
        <w:t>5.</w:t>
      </w:r>
      <w:r>
        <w:rPr>
          <w:rFonts w:ascii="Arial" w:hAnsi="Arial" w:hint="cs"/>
          <w:rtl/>
        </w:rPr>
        <w:tab/>
        <w:t>הערכים המוגנים בהם פגע הנאשם הם מניעת הפצתם של סמים מסוכנים וכן הגנה על שוטרים הממלאים תפקיד חיוני.</w:t>
      </w:r>
    </w:p>
    <w:p w14:paraId="543E1091" w14:textId="77777777" w:rsidR="00B65410" w:rsidRDefault="00B65410" w:rsidP="00B65410">
      <w:pPr>
        <w:spacing w:after="120" w:line="360" w:lineRule="auto"/>
        <w:ind w:left="720" w:hanging="720"/>
        <w:jc w:val="both"/>
        <w:rPr>
          <w:rFonts w:ascii="Arial" w:hAnsi="Arial"/>
          <w:rtl/>
        </w:rPr>
      </w:pPr>
    </w:p>
    <w:p w14:paraId="6C0E6988" w14:textId="77777777" w:rsidR="00B65410" w:rsidRDefault="00B65410" w:rsidP="00B65410">
      <w:pPr>
        <w:spacing w:after="120" w:line="360" w:lineRule="auto"/>
        <w:ind w:left="720" w:hanging="720"/>
        <w:jc w:val="both"/>
        <w:rPr>
          <w:rFonts w:ascii="Arial" w:hAnsi="Arial"/>
          <w:rtl/>
        </w:rPr>
      </w:pPr>
      <w:r>
        <w:rPr>
          <w:rFonts w:ascii="Arial" w:hAnsi="Arial" w:hint="cs"/>
          <w:rtl/>
        </w:rPr>
        <w:t>6.</w:t>
      </w:r>
      <w:r>
        <w:rPr>
          <w:rFonts w:ascii="Arial" w:hAnsi="Arial" w:hint="cs"/>
          <w:rtl/>
        </w:rPr>
        <w:tab/>
        <w:t>מתחם הענישה ההולם לענין עבירת החזקת הסם המסוכן שלא לצריכה עצמית נע בין 14 ל 28 חודשי מאסר.</w:t>
      </w:r>
    </w:p>
    <w:p w14:paraId="7FF384F5" w14:textId="77777777" w:rsidR="00B65410" w:rsidRDefault="00B65410" w:rsidP="00B65410">
      <w:pPr>
        <w:spacing w:after="120" w:line="360" w:lineRule="auto"/>
        <w:ind w:left="720"/>
        <w:jc w:val="both"/>
        <w:rPr>
          <w:rFonts w:ascii="Arial" w:hAnsi="Arial"/>
          <w:rtl/>
        </w:rPr>
      </w:pPr>
      <w:r>
        <w:rPr>
          <w:rFonts w:ascii="Arial" w:hAnsi="Arial" w:hint="cs"/>
          <w:rtl/>
        </w:rPr>
        <w:t xml:space="preserve">מתחם הענישה ההולם בגין העבירה של הפרעה לשוטר במילוי תפקידו נע בין מאסר מותנה למאסר קצר. </w:t>
      </w:r>
    </w:p>
    <w:p w14:paraId="3C40A344" w14:textId="77777777" w:rsidR="00B65410" w:rsidRDefault="00B65410" w:rsidP="00B65410">
      <w:pPr>
        <w:spacing w:after="120" w:line="360" w:lineRule="auto"/>
        <w:ind w:left="720" w:hanging="720"/>
        <w:jc w:val="both"/>
        <w:rPr>
          <w:rFonts w:ascii="Arial" w:hAnsi="Arial"/>
          <w:rtl/>
        </w:rPr>
      </w:pPr>
    </w:p>
    <w:p w14:paraId="16C42FB6" w14:textId="77777777" w:rsidR="00B65410" w:rsidRDefault="00B65410" w:rsidP="00B65410">
      <w:pPr>
        <w:spacing w:after="120" w:line="360" w:lineRule="auto"/>
        <w:ind w:left="720" w:hanging="720"/>
        <w:jc w:val="both"/>
        <w:rPr>
          <w:rFonts w:ascii="Arial" w:hAnsi="Arial"/>
          <w:rtl/>
        </w:rPr>
      </w:pPr>
      <w:r>
        <w:rPr>
          <w:rFonts w:ascii="Arial" w:hAnsi="Arial" w:hint="cs"/>
          <w:rtl/>
        </w:rPr>
        <w:t>7.</w:t>
      </w:r>
      <w:r>
        <w:rPr>
          <w:rFonts w:ascii="Arial" w:hAnsi="Arial" w:hint="cs"/>
          <w:rtl/>
        </w:rPr>
        <w:tab/>
        <w:t>אין ספק כי החזקת כמות של כ- 25 גרם קוקאין שלא לצריכה עצמית הוא מעשה חמור. מדובר בסם קשה שממנו ניתן ליצר מנות רבות של סם.</w:t>
      </w:r>
    </w:p>
    <w:p w14:paraId="7F6721F2" w14:textId="77777777" w:rsidR="00B65410" w:rsidRDefault="00B65410" w:rsidP="00B65410">
      <w:pPr>
        <w:spacing w:after="120" w:line="360" w:lineRule="auto"/>
        <w:ind w:left="720" w:hanging="720"/>
        <w:rPr>
          <w:rFonts w:ascii="Arial" w:hAnsi="Arial"/>
          <w:rtl/>
        </w:rPr>
      </w:pPr>
    </w:p>
    <w:p w14:paraId="328E3009" w14:textId="77777777" w:rsidR="00B65410" w:rsidRDefault="00B65410" w:rsidP="00B65410">
      <w:pPr>
        <w:spacing w:before="240" w:after="120" w:line="360" w:lineRule="auto"/>
        <w:ind w:left="720" w:hanging="720"/>
        <w:rPr>
          <w:rFonts w:ascii="Arial" w:hAnsi="Arial"/>
          <w:rtl/>
        </w:rPr>
      </w:pPr>
      <w:r>
        <w:rPr>
          <w:rFonts w:ascii="Arial" w:hAnsi="Arial" w:hint="cs"/>
          <w:rtl/>
        </w:rPr>
        <w:t>8.</w:t>
      </w:r>
      <w:r>
        <w:rPr>
          <w:rFonts w:ascii="Arial" w:hAnsi="Arial" w:hint="cs"/>
          <w:rtl/>
        </w:rPr>
        <w:tab/>
        <w:t>כנגד הנאשם תלוי ועומד עונש מאסר מותנה בין חודשים בגין עבירת ההפרעה לשוטר במילוי תפקידו. עונש זה נגזר ב</w:t>
      </w:r>
      <w:hyperlink r:id="rId9" w:history="1">
        <w:r w:rsidR="00FD3584" w:rsidRPr="00FD3584">
          <w:rPr>
            <w:rFonts w:ascii="Arial" w:hAnsi="Arial"/>
            <w:color w:val="0000FF"/>
            <w:u w:val="single"/>
            <w:rtl/>
          </w:rPr>
          <w:t>ת"פ 33791-12-13</w:t>
        </w:r>
      </w:hyperlink>
      <w:r>
        <w:rPr>
          <w:rFonts w:ascii="Arial" w:hAnsi="Arial" w:hint="cs"/>
          <w:rtl/>
        </w:rPr>
        <w:t>.</w:t>
      </w:r>
    </w:p>
    <w:p w14:paraId="13D58B22" w14:textId="77777777" w:rsidR="00B65410" w:rsidRDefault="00B65410" w:rsidP="00B65410">
      <w:pPr>
        <w:spacing w:before="120" w:line="360" w:lineRule="auto"/>
        <w:ind w:left="720" w:hanging="720"/>
        <w:rPr>
          <w:rFonts w:ascii="Arial" w:hAnsi="Arial"/>
          <w:rtl/>
        </w:rPr>
      </w:pPr>
      <w:r>
        <w:rPr>
          <w:rFonts w:ascii="Arial" w:hAnsi="Arial" w:hint="cs"/>
          <w:rtl/>
        </w:rPr>
        <w:t>9.</w:t>
      </w:r>
      <w:r>
        <w:rPr>
          <w:rFonts w:ascii="Arial" w:hAnsi="Arial" w:hint="cs"/>
          <w:rtl/>
        </w:rPr>
        <w:tab/>
        <w:t xml:space="preserve">לחובתו של הנאשם שהינו יליד 1984 הרשעות רבות. הרשעתו הראשונה הינה בשנת 2002. האחרונה משנת 2014. </w:t>
      </w:r>
    </w:p>
    <w:p w14:paraId="0247643B" w14:textId="77777777" w:rsidR="00B65410" w:rsidRDefault="00B65410" w:rsidP="00B65410">
      <w:pPr>
        <w:spacing w:before="120" w:line="360" w:lineRule="auto"/>
        <w:ind w:left="720"/>
        <w:rPr>
          <w:rFonts w:ascii="Arial" w:hAnsi="Arial"/>
          <w:rtl/>
        </w:rPr>
      </w:pPr>
      <w:r>
        <w:rPr>
          <w:rFonts w:ascii="Arial" w:hAnsi="Arial" w:hint="cs"/>
          <w:rtl/>
        </w:rPr>
        <w:t xml:space="preserve">ההרשעות כוללות עבירות רכוש, סמים לרבות סחר בסמים, תעבורה, אלימות, סחיטה בכוח ובאיומים ועוד.  </w:t>
      </w:r>
    </w:p>
    <w:p w14:paraId="07DCECDA" w14:textId="77777777" w:rsidR="00B65410" w:rsidRDefault="00B65410" w:rsidP="00B65410">
      <w:pPr>
        <w:spacing w:before="120" w:line="360" w:lineRule="auto"/>
        <w:ind w:left="720"/>
        <w:rPr>
          <w:rFonts w:ascii="Arial" w:hAnsi="Arial"/>
          <w:rtl/>
        </w:rPr>
      </w:pPr>
      <w:r>
        <w:rPr>
          <w:rFonts w:ascii="Arial" w:hAnsi="Arial" w:hint="cs"/>
          <w:rtl/>
        </w:rPr>
        <w:t>הנאשם ריצה עונשי מאסר.</w:t>
      </w:r>
    </w:p>
    <w:p w14:paraId="41770A44" w14:textId="77777777" w:rsidR="00B65410" w:rsidRDefault="00B65410" w:rsidP="00B65410">
      <w:pPr>
        <w:spacing w:before="240" w:after="120" w:line="360" w:lineRule="auto"/>
        <w:ind w:left="720" w:hanging="720"/>
        <w:rPr>
          <w:rFonts w:ascii="Arial" w:hAnsi="Arial"/>
          <w:rtl/>
        </w:rPr>
      </w:pPr>
      <w:r>
        <w:rPr>
          <w:rFonts w:ascii="Arial" w:hAnsi="Arial" w:hint="cs"/>
          <w:rtl/>
        </w:rPr>
        <w:t>10.</w:t>
      </w:r>
      <w:r>
        <w:rPr>
          <w:rFonts w:ascii="Arial" w:hAnsi="Arial" w:hint="cs"/>
          <w:rtl/>
        </w:rPr>
        <w:tab/>
        <w:t>הנאשם נעצר ביום 8.9.14 והיה עצור עד יום 25.11.14 מועד בו הועבר לקהילה טיפולית "אלפטאם" בטייבה.</w:t>
      </w:r>
    </w:p>
    <w:p w14:paraId="0ED19D7A" w14:textId="77777777" w:rsidR="00B65410" w:rsidRDefault="00B65410" w:rsidP="00B65410">
      <w:pPr>
        <w:spacing w:before="240" w:after="120" w:line="360" w:lineRule="auto"/>
        <w:ind w:left="720" w:hanging="720"/>
        <w:rPr>
          <w:rFonts w:ascii="Arial" w:hAnsi="Arial"/>
          <w:rtl/>
        </w:rPr>
      </w:pPr>
      <w:r>
        <w:rPr>
          <w:rFonts w:ascii="Arial" w:hAnsi="Arial"/>
          <w:rtl/>
        </w:rPr>
        <w:tab/>
      </w:r>
      <w:r>
        <w:rPr>
          <w:rFonts w:ascii="Arial" w:hAnsi="Arial" w:hint="cs"/>
          <w:rtl/>
        </w:rPr>
        <w:t>הנאשם עבר בהצלחה הליך טיפולי שנמשך שנה שיתף פעולה עם מטפליו ואף היווה דוגמה למטופלים האחרים.</w:t>
      </w:r>
    </w:p>
    <w:p w14:paraId="1A930027" w14:textId="77777777" w:rsidR="00B65410" w:rsidRDefault="00B65410" w:rsidP="00B65410">
      <w:pPr>
        <w:spacing w:before="240" w:after="120" w:line="360" w:lineRule="auto"/>
        <w:ind w:left="720" w:hanging="720"/>
        <w:rPr>
          <w:rFonts w:ascii="Arial" w:hAnsi="Arial"/>
          <w:rtl/>
        </w:rPr>
      </w:pPr>
      <w:r>
        <w:rPr>
          <w:rFonts w:ascii="Arial" w:hAnsi="Arial" w:hint="cs"/>
          <w:rtl/>
        </w:rPr>
        <w:t>11.</w:t>
      </w:r>
      <w:r>
        <w:rPr>
          <w:rFonts w:ascii="Arial" w:hAnsi="Arial" w:hint="cs"/>
          <w:rtl/>
        </w:rPr>
        <w:tab/>
        <w:t xml:space="preserve">לאחר סיום הטפול בקהילה עבר הנאשם להתגורר בבית הוריו בא-טור בירושלים שם מתגוררים שני ילדיו הקטנים שנמסרו למשמורתו לאחר גירושיו מאשתו. </w:t>
      </w:r>
    </w:p>
    <w:p w14:paraId="14799FCD" w14:textId="77777777" w:rsidR="00B65410" w:rsidRDefault="00B65410" w:rsidP="00B65410">
      <w:pPr>
        <w:spacing w:before="240" w:after="120" w:line="360" w:lineRule="auto"/>
        <w:ind w:left="720" w:hanging="720"/>
        <w:rPr>
          <w:rFonts w:ascii="Arial" w:hAnsi="Arial"/>
          <w:rtl/>
        </w:rPr>
      </w:pPr>
      <w:r>
        <w:rPr>
          <w:rFonts w:ascii="Arial" w:hAnsi="Arial"/>
          <w:rtl/>
        </w:rPr>
        <w:tab/>
      </w:r>
      <w:r>
        <w:rPr>
          <w:rFonts w:ascii="Arial" w:hAnsi="Arial" w:hint="cs"/>
          <w:rtl/>
        </w:rPr>
        <w:t>הנאשם ממשיך להיות מטופל על ידי היחידה העירונית לטפול במכורים.</w:t>
      </w:r>
    </w:p>
    <w:p w14:paraId="18F447D4" w14:textId="77777777" w:rsidR="00B65410" w:rsidRDefault="00B65410" w:rsidP="00B65410">
      <w:pPr>
        <w:spacing w:before="240" w:after="120" w:line="360" w:lineRule="auto"/>
        <w:ind w:left="720"/>
        <w:rPr>
          <w:rFonts w:ascii="Arial" w:hAnsi="Arial"/>
          <w:rtl/>
        </w:rPr>
      </w:pPr>
      <w:r>
        <w:rPr>
          <w:rFonts w:ascii="Arial" w:hAnsi="Arial" w:hint="cs"/>
          <w:rtl/>
        </w:rPr>
        <w:lastRenderedPageBreak/>
        <w:t xml:space="preserve">הנאשם החל לעבוד לפני מספר חודשים כעוזר גנן. מעבידו ציין כי הוא מבצע את עבודתו בצורה טובה. </w:t>
      </w:r>
    </w:p>
    <w:p w14:paraId="6E744703" w14:textId="77777777" w:rsidR="00B65410" w:rsidRDefault="00B65410" w:rsidP="00B65410">
      <w:pPr>
        <w:spacing w:before="240" w:after="120" w:line="360" w:lineRule="auto"/>
        <w:ind w:left="720" w:hanging="720"/>
        <w:rPr>
          <w:rFonts w:ascii="Arial" w:hAnsi="Arial"/>
          <w:rtl/>
        </w:rPr>
      </w:pPr>
      <w:r>
        <w:rPr>
          <w:rFonts w:ascii="Arial" w:hAnsi="Arial" w:hint="cs"/>
          <w:rtl/>
        </w:rPr>
        <w:t>12.</w:t>
      </w:r>
      <w:r>
        <w:rPr>
          <w:rFonts w:ascii="Arial" w:hAnsi="Arial" w:hint="cs"/>
          <w:rtl/>
        </w:rPr>
        <w:tab/>
        <w:t>בתסקיר המסכם שניתן ביום 4.7.16 נאמר כי הנאשם מגיע לפגישות טיפוליות באופן רצוף, משתף פעולה בטיפול הפרטני, מגלה פתיחות ויכולת להסתכלות פנימית ומתן אמון בגורמי הטיפול.</w:t>
      </w:r>
    </w:p>
    <w:p w14:paraId="7DD5245D" w14:textId="77777777" w:rsidR="00B65410" w:rsidRDefault="00B65410" w:rsidP="00B65410">
      <w:pPr>
        <w:spacing w:before="240" w:after="120" w:line="360" w:lineRule="auto"/>
        <w:ind w:left="720" w:hanging="720"/>
        <w:rPr>
          <w:rFonts w:ascii="Arial" w:hAnsi="Arial"/>
          <w:rtl/>
        </w:rPr>
      </w:pPr>
      <w:r>
        <w:rPr>
          <w:rFonts w:ascii="Arial" w:hAnsi="Arial"/>
          <w:rtl/>
        </w:rPr>
        <w:tab/>
      </w:r>
      <w:r>
        <w:rPr>
          <w:rFonts w:ascii="Arial" w:hAnsi="Arial" w:hint="cs"/>
          <w:rtl/>
        </w:rPr>
        <w:t xml:space="preserve">השירות התרשם כי הנאשם בעל רצון לשמר את השינוי החיובי שחל בו ולתפקד באופן יציב. בתסקיר נאמר עוד כי הנאשם עובד לפרנסתו ומגלה דאגה ומחויבות לילדיו. </w:t>
      </w:r>
    </w:p>
    <w:p w14:paraId="74E101BD" w14:textId="77777777" w:rsidR="00B65410" w:rsidRDefault="00B65410" w:rsidP="00B65410">
      <w:pPr>
        <w:spacing w:before="240" w:after="120" w:line="360" w:lineRule="auto"/>
        <w:ind w:left="720" w:hanging="720"/>
        <w:rPr>
          <w:rFonts w:ascii="Arial" w:hAnsi="Arial"/>
          <w:rtl/>
        </w:rPr>
      </w:pPr>
      <w:r>
        <w:rPr>
          <w:rFonts w:ascii="Arial" w:hAnsi="Arial" w:hint="cs"/>
          <w:rtl/>
        </w:rPr>
        <w:t>13.</w:t>
      </w:r>
      <w:r>
        <w:rPr>
          <w:rFonts w:ascii="Arial" w:hAnsi="Arial" w:hint="cs"/>
          <w:rtl/>
        </w:rPr>
        <w:tab/>
        <w:t>שרות המבחן המליץ לאפשר לנאשם להמשיך את הטיפול אותו הוא עובר במסגרת יחידת של"מ ולשמר את השינוי החיובי אותו החל בשנתיים האחרונות.</w:t>
      </w:r>
    </w:p>
    <w:p w14:paraId="770C9689" w14:textId="77777777" w:rsidR="00B65410" w:rsidRDefault="00B65410" w:rsidP="00B65410">
      <w:pPr>
        <w:spacing w:after="120" w:line="360" w:lineRule="auto"/>
        <w:ind w:left="720"/>
        <w:jc w:val="both"/>
        <w:rPr>
          <w:rFonts w:ascii="Arial" w:hAnsi="Arial"/>
          <w:rtl/>
        </w:rPr>
      </w:pPr>
      <w:r>
        <w:rPr>
          <w:rFonts w:ascii="Arial" w:hAnsi="Arial" w:hint="cs"/>
          <w:rtl/>
        </w:rPr>
        <w:t>השירות מבקש שלא לגזור על הנאשם מאסר בפועל לתת בעניינו צו מבחן וכן עונש צופה פני עתיד.</w:t>
      </w:r>
    </w:p>
    <w:p w14:paraId="38F7EEBF" w14:textId="77777777" w:rsidR="00B65410" w:rsidRDefault="00B65410" w:rsidP="00B65410">
      <w:pPr>
        <w:spacing w:after="120" w:line="360" w:lineRule="auto"/>
        <w:ind w:left="720" w:hanging="720"/>
        <w:jc w:val="both"/>
        <w:rPr>
          <w:rFonts w:ascii="Arial" w:hAnsi="Arial"/>
          <w:rtl/>
        </w:rPr>
      </w:pPr>
      <w:r>
        <w:rPr>
          <w:rFonts w:ascii="Arial" w:hAnsi="Arial" w:hint="cs"/>
          <w:rtl/>
        </w:rPr>
        <w:t>14.</w:t>
      </w:r>
      <w:r>
        <w:rPr>
          <w:rFonts w:ascii="Arial" w:hAnsi="Arial" w:hint="cs"/>
          <w:rtl/>
        </w:rPr>
        <w:tab/>
        <w:t>ב"כ הנאשם מבקש לאמץ את המלצות שירות המבחן ומציין כי ילדיו הקטינים ננטשו ע"י האם ומטופלים היום ע"י הנאשם.</w:t>
      </w:r>
    </w:p>
    <w:p w14:paraId="1A8EDB4C" w14:textId="77777777" w:rsidR="00B65410" w:rsidRDefault="00B65410" w:rsidP="00B65410">
      <w:pPr>
        <w:spacing w:before="240" w:after="120" w:line="360" w:lineRule="auto"/>
        <w:ind w:firstLine="720"/>
        <w:jc w:val="both"/>
        <w:rPr>
          <w:rFonts w:ascii="Arial" w:hAnsi="Arial"/>
          <w:rtl/>
        </w:rPr>
      </w:pPr>
      <w:r>
        <w:rPr>
          <w:rFonts w:ascii="Arial" w:hAnsi="Arial" w:hint="cs"/>
          <w:rtl/>
        </w:rPr>
        <w:t xml:space="preserve">כמו כן מציין הסניגור כי הנאשם עובד ושינה לחלוטין את דרך התנהגותו. </w:t>
      </w:r>
    </w:p>
    <w:p w14:paraId="757FB824" w14:textId="77777777" w:rsidR="00B65410" w:rsidRDefault="00B65410" w:rsidP="00B65410">
      <w:pPr>
        <w:spacing w:before="240" w:after="120" w:line="360" w:lineRule="auto"/>
        <w:ind w:left="720" w:hanging="720"/>
        <w:jc w:val="both"/>
        <w:rPr>
          <w:rFonts w:ascii="Arial" w:hAnsi="Arial"/>
          <w:rtl/>
        </w:rPr>
      </w:pPr>
      <w:r>
        <w:rPr>
          <w:rFonts w:ascii="Arial" w:hAnsi="Arial" w:hint="cs"/>
          <w:rtl/>
        </w:rPr>
        <w:t>15.</w:t>
      </w:r>
      <w:r>
        <w:rPr>
          <w:rFonts w:ascii="Arial" w:hAnsi="Arial" w:hint="cs"/>
          <w:rtl/>
        </w:rPr>
        <w:tab/>
        <w:t>התביעה מתנגדת לקבלת המלצות שירות המבחן. התביעה סבורה כי אין להאמין לנאשם כי היה מכור לסמים ויש לראות בו כאדם שעסק בסמים בלי קשר ל התמכרות לסם.</w:t>
      </w:r>
    </w:p>
    <w:p w14:paraId="3FC82C7F" w14:textId="77777777" w:rsidR="00B65410" w:rsidRDefault="00B65410" w:rsidP="00B65410">
      <w:pPr>
        <w:spacing w:before="240" w:after="120" w:line="360" w:lineRule="auto"/>
        <w:ind w:left="720" w:hanging="720"/>
        <w:jc w:val="both"/>
        <w:rPr>
          <w:rFonts w:ascii="Arial" w:hAnsi="Arial"/>
          <w:rtl/>
        </w:rPr>
      </w:pPr>
      <w:r>
        <w:rPr>
          <w:rFonts w:ascii="Arial" w:hAnsi="Arial" w:hint="cs"/>
          <w:rtl/>
        </w:rPr>
        <w:t>16.</w:t>
      </w:r>
      <w:r>
        <w:rPr>
          <w:rFonts w:ascii="Arial" w:hAnsi="Arial" w:hint="cs"/>
          <w:rtl/>
        </w:rPr>
        <w:tab/>
        <w:t>התביעה מבקשת לקבוע מתחם ענישה שנע בין 24 ל- 48 חודשי מאסר בגין עבירת הסמים, זאת נוכח סוג הסם וכמותו.</w:t>
      </w:r>
    </w:p>
    <w:p w14:paraId="7D5FE1DE" w14:textId="77777777" w:rsidR="00B65410" w:rsidRDefault="00B65410" w:rsidP="00B65410">
      <w:pPr>
        <w:spacing w:before="240" w:after="120" w:line="360" w:lineRule="auto"/>
        <w:ind w:left="720"/>
        <w:jc w:val="both"/>
        <w:rPr>
          <w:rFonts w:ascii="Arial" w:hAnsi="Arial"/>
          <w:rtl/>
        </w:rPr>
      </w:pPr>
      <w:r>
        <w:rPr>
          <w:rFonts w:ascii="Arial" w:hAnsi="Arial" w:hint="cs"/>
          <w:rtl/>
        </w:rPr>
        <w:t>התביעה מוכנה להסתפק ברף התחתון של המתחם נוכח ההליך שעבר הנאשם והאמור בתסקיר שירות המבחן.</w:t>
      </w:r>
    </w:p>
    <w:p w14:paraId="62690AC4" w14:textId="77777777" w:rsidR="00B65410" w:rsidRDefault="00B65410" w:rsidP="00B65410">
      <w:pPr>
        <w:spacing w:before="240" w:after="120" w:line="360" w:lineRule="auto"/>
        <w:ind w:left="720" w:hanging="720"/>
        <w:jc w:val="both"/>
        <w:rPr>
          <w:rFonts w:ascii="Arial" w:hAnsi="Arial"/>
          <w:rtl/>
        </w:rPr>
      </w:pPr>
      <w:r>
        <w:rPr>
          <w:rFonts w:ascii="Arial" w:hAnsi="Arial" w:hint="cs"/>
          <w:rtl/>
        </w:rPr>
        <w:t>17.</w:t>
      </w:r>
      <w:r>
        <w:rPr>
          <w:rFonts w:ascii="Arial" w:hAnsi="Arial" w:hint="cs"/>
          <w:rtl/>
        </w:rPr>
        <w:tab/>
        <w:t xml:space="preserve">עברו של הנאשם הינו מכביד, עבירת הסם שביצע הינה, כפי שכבר ציינתי, חמורה. השאלה המתעוררת הינה, למרות כל האמור לעיל, האם יש מקום במקרה זה להעדיף את האינטרס השיקומי כאמור בסעיף </w:t>
      </w:r>
      <w:hyperlink r:id="rId10" w:history="1">
        <w:r w:rsidR="00104A2A" w:rsidRPr="00104A2A">
          <w:rPr>
            <w:rFonts w:ascii="Arial" w:hAnsi="Arial"/>
            <w:color w:val="0000FF"/>
            <w:u w:val="single"/>
            <w:rtl/>
          </w:rPr>
          <w:t>40 ד</w:t>
        </w:r>
      </w:hyperlink>
      <w:r>
        <w:rPr>
          <w:rFonts w:ascii="Arial" w:hAnsi="Arial" w:hint="cs"/>
          <w:rtl/>
        </w:rPr>
        <w:t xml:space="preserve"> ל</w:t>
      </w:r>
      <w:hyperlink r:id="rId11" w:history="1">
        <w:r w:rsidR="00FD3584" w:rsidRPr="00FD3584">
          <w:rPr>
            <w:rFonts w:ascii="Arial" w:hAnsi="Arial"/>
            <w:color w:val="0000FF"/>
            <w:u w:val="single"/>
            <w:rtl/>
          </w:rPr>
          <w:t>חוק העונשין</w:t>
        </w:r>
      </w:hyperlink>
      <w:r>
        <w:rPr>
          <w:rFonts w:ascii="Arial" w:hAnsi="Arial" w:hint="cs"/>
          <w:rtl/>
        </w:rPr>
        <w:t>.</w:t>
      </w:r>
    </w:p>
    <w:p w14:paraId="72CEEAA0" w14:textId="77777777" w:rsidR="00B65410" w:rsidRDefault="00B65410" w:rsidP="00B65410">
      <w:pPr>
        <w:spacing w:before="240" w:after="120" w:line="360" w:lineRule="auto"/>
        <w:jc w:val="both"/>
        <w:rPr>
          <w:rFonts w:ascii="Arial" w:hAnsi="Arial"/>
          <w:rtl/>
        </w:rPr>
      </w:pPr>
      <w:r>
        <w:rPr>
          <w:rFonts w:ascii="Arial" w:hAnsi="Arial" w:hint="cs"/>
          <w:rtl/>
        </w:rPr>
        <w:t>18.</w:t>
      </w:r>
      <w:r>
        <w:rPr>
          <w:rFonts w:ascii="Arial" w:hAnsi="Arial" w:hint="cs"/>
          <w:rtl/>
        </w:rPr>
        <w:tab/>
        <w:t>איני מקבל את עמדת התביעה  לפיה הנאשם לא היה מכור לסמים.</w:t>
      </w:r>
    </w:p>
    <w:p w14:paraId="070BEBC6" w14:textId="77777777" w:rsidR="00B65410" w:rsidRDefault="00B65410" w:rsidP="00B65410">
      <w:pPr>
        <w:spacing w:before="240" w:after="120" w:line="360" w:lineRule="auto"/>
        <w:ind w:left="720"/>
        <w:jc w:val="both"/>
        <w:rPr>
          <w:rFonts w:ascii="Arial" w:hAnsi="Arial"/>
          <w:rtl/>
        </w:rPr>
      </w:pPr>
      <w:r>
        <w:rPr>
          <w:rFonts w:ascii="Arial" w:hAnsi="Arial" w:hint="cs"/>
          <w:rtl/>
        </w:rPr>
        <w:t xml:space="preserve">גורמים טיפוליים מטפלים בנאשם מזה כשנתיים קשה להאמין שאותם גורמים לא היו מבחינים במתחזה במשך תקופה כה ארוכה. </w:t>
      </w:r>
    </w:p>
    <w:p w14:paraId="6F60B0EA" w14:textId="77777777" w:rsidR="00B65410" w:rsidRDefault="00B65410" w:rsidP="00B65410">
      <w:pPr>
        <w:spacing w:before="240" w:after="120" w:line="360" w:lineRule="auto"/>
        <w:ind w:left="720" w:hanging="720"/>
        <w:jc w:val="both"/>
        <w:rPr>
          <w:rFonts w:ascii="Arial" w:hAnsi="Arial"/>
          <w:rtl/>
        </w:rPr>
      </w:pPr>
      <w:r>
        <w:rPr>
          <w:rFonts w:ascii="Arial" w:hAnsi="Arial" w:hint="cs"/>
          <w:rtl/>
        </w:rPr>
        <w:t>19.</w:t>
      </w:r>
      <w:r>
        <w:rPr>
          <w:rFonts w:ascii="Arial" w:hAnsi="Arial" w:hint="cs"/>
          <w:rtl/>
        </w:rPr>
        <w:tab/>
        <w:t>אין גם הגיון בבקשת התביעה להקל בעונשו של הנאשם נוכח ההליך הטיפולי שעבר אם אכן מדובר במתחזה.</w:t>
      </w:r>
    </w:p>
    <w:p w14:paraId="6B7004BB" w14:textId="77777777" w:rsidR="00B65410" w:rsidRDefault="00B65410" w:rsidP="00B65410">
      <w:pPr>
        <w:spacing w:before="240" w:after="120" w:line="360" w:lineRule="auto"/>
        <w:ind w:left="720" w:hanging="720"/>
        <w:jc w:val="both"/>
        <w:rPr>
          <w:rFonts w:ascii="Arial" w:hAnsi="Arial"/>
          <w:rtl/>
        </w:rPr>
      </w:pPr>
      <w:r>
        <w:rPr>
          <w:rFonts w:ascii="Arial" w:hAnsi="Arial" w:hint="cs"/>
          <w:rtl/>
        </w:rPr>
        <w:t>20.</w:t>
      </w:r>
      <w:r>
        <w:rPr>
          <w:rFonts w:ascii="Arial" w:hAnsi="Arial" w:hint="cs"/>
          <w:rtl/>
        </w:rPr>
        <w:tab/>
        <w:t>הנאשם עבר לראשונה בחייו הליך גמילה משמעותי. כל הגורמים שטפלו בו התרשמו כי עשה שינוי של ממש בדרך התנהגותו וכי מתפקד בצורה ראויה גם לאחר סיום הטיפול בקהילה הסגורה.</w:t>
      </w:r>
    </w:p>
    <w:p w14:paraId="4372605C" w14:textId="77777777" w:rsidR="00B65410" w:rsidRDefault="00B65410" w:rsidP="00B65410">
      <w:pPr>
        <w:spacing w:before="120" w:line="360" w:lineRule="auto"/>
        <w:ind w:left="720" w:hanging="720"/>
        <w:jc w:val="both"/>
        <w:rPr>
          <w:rFonts w:ascii="Arial" w:hAnsi="Arial"/>
          <w:rtl/>
        </w:rPr>
      </w:pPr>
      <w:r>
        <w:rPr>
          <w:rFonts w:ascii="Arial" w:hAnsi="Arial" w:hint="cs"/>
          <w:rtl/>
        </w:rPr>
        <w:t>21.</w:t>
      </w:r>
      <w:r>
        <w:rPr>
          <w:rFonts w:ascii="Arial" w:hAnsi="Arial" w:hint="cs"/>
          <w:rtl/>
        </w:rPr>
        <w:tab/>
        <w:t>בתי המשפט נותנים משקל של ממש להליך שיקומי מוצלח שעובר נאשם ב</w:t>
      </w:r>
      <w:hyperlink r:id="rId12" w:history="1">
        <w:r w:rsidR="00FD3584" w:rsidRPr="00FD3584">
          <w:rPr>
            <w:rFonts w:ascii="Arial" w:hAnsi="Arial"/>
            <w:color w:val="0000FF"/>
            <w:u w:val="single"/>
            <w:rtl/>
          </w:rPr>
          <w:t>ע"פ 8092/04</w:t>
        </w:r>
      </w:hyperlink>
      <w:r>
        <w:rPr>
          <w:rFonts w:ascii="Arial" w:hAnsi="Arial" w:hint="cs"/>
          <w:rtl/>
        </w:rPr>
        <w:t xml:space="preserve"> </w:t>
      </w:r>
      <w:r w:rsidRPr="0076437A">
        <w:rPr>
          <w:rFonts w:ascii="Arial" w:hAnsi="Arial" w:hint="cs"/>
          <w:b/>
          <w:bCs/>
          <w:rtl/>
        </w:rPr>
        <w:t>ישראל חביב נ. מדינת ישראל</w:t>
      </w:r>
      <w:r>
        <w:rPr>
          <w:rFonts w:ascii="Arial" w:hAnsi="Arial" w:hint="cs"/>
          <w:rtl/>
        </w:rPr>
        <w:t xml:space="preserve"> ביטל בית המשפט העליון עונש מאסר שנגזר על הנאשם בציינו כי </w:t>
      </w:r>
      <w:r w:rsidRPr="00134D5F">
        <w:rPr>
          <w:rFonts w:ascii="Arial" w:hAnsi="Arial" w:hint="cs"/>
          <w:b/>
          <w:bCs/>
          <w:rtl/>
        </w:rPr>
        <w:t>"נראה כי מטרת השיקום הגשימה את עצמה, המערער סיים ההליך השיקומי... הישג שיקומי זה הוא נדיר... על שום נדירותו וייחודו בולט הצורך ליתן לו משקל נכבד במסגרת שיקולי הענישה...".</w:t>
      </w:r>
      <w:r>
        <w:rPr>
          <w:rFonts w:ascii="Arial" w:hAnsi="Arial" w:hint="cs"/>
          <w:rtl/>
        </w:rPr>
        <w:t xml:space="preserve">                             </w:t>
      </w:r>
    </w:p>
    <w:p w14:paraId="15E78EF4" w14:textId="77777777" w:rsidR="00B65410" w:rsidRDefault="00B65410" w:rsidP="00B65410">
      <w:pPr>
        <w:spacing w:before="120" w:line="360" w:lineRule="auto"/>
        <w:ind w:left="720"/>
        <w:jc w:val="both"/>
        <w:rPr>
          <w:rFonts w:ascii="Arial" w:hAnsi="Arial"/>
          <w:rtl/>
        </w:rPr>
      </w:pPr>
      <w:r>
        <w:rPr>
          <w:rFonts w:ascii="Arial" w:hAnsi="Arial" w:hint="cs"/>
          <w:rtl/>
        </w:rPr>
        <w:t>ב</w:t>
      </w:r>
      <w:hyperlink r:id="rId13" w:history="1">
        <w:r w:rsidR="00FD3584" w:rsidRPr="00FD3584">
          <w:rPr>
            <w:rFonts w:ascii="Arial" w:hAnsi="Arial"/>
            <w:color w:val="0000FF"/>
            <w:u w:val="single"/>
            <w:rtl/>
          </w:rPr>
          <w:t>עפ"ג 4187-04-15</w:t>
        </w:r>
      </w:hyperlink>
      <w:r>
        <w:rPr>
          <w:rFonts w:ascii="Arial" w:hAnsi="Arial" w:hint="cs"/>
          <w:rtl/>
        </w:rPr>
        <w:t xml:space="preserve"> </w:t>
      </w:r>
      <w:r w:rsidRPr="00134D5F">
        <w:rPr>
          <w:rFonts w:ascii="Arial" w:hAnsi="Arial" w:hint="cs"/>
          <w:b/>
          <w:bCs/>
          <w:rtl/>
        </w:rPr>
        <w:t>מיכאלוב נ. מדינת ישראל</w:t>
      </w:r>
      <w:r>
        <w:rPr>
          <w:rFonts w:ascii="Arial" w:hAnsi="Arial" w:hint="cs"/>
          <w:rtl/>
        </w:rPr>
        <w:t xml:space="preserve"> ביטל בית המשפט המחוזי עונש מאסר לריצוי בעבודות שירות.</w:t>
      </w:r>
    </w:p>
    <w:p w14:paraId="6F63DED6" w14:textId="77777777" w:rsidR="00B65410" w:rsidRPr="00134D5F" w:rsidRDefault="00B65410" w:rsidP="00B65410">
      <w:pPr>
        <w:spacing w:before="120" w:line="360" w:lineRule="auto"/>
        <w:ind w:left="720"/>
        <w:jc w:val="both"/>
        <w:rPr>
          <w:rFonts w:ascii="Arial" w:hAnsi="Arial"/>
          <w:rtl/>
        </w:rPr>
      </w:pPr>
      <w:r>
        <w:rPr>
          <w:rFonts w:ascii="Arial" w:hAnsi="Arial" w:hint="cs"/>
          <w:rtl/>
        </w:rPr>
        <w:t xml:space="preserve">בעניינו של נאשם שהורשע בעבירות סמים חמורות בציינו </w:t>
      </w:r>
      <w:r w:rsidRPr="0076437A">
        <w:rPr>
          <w:rFonts w:ascii="Arial" w:hAnsi="Arial" w:hint="cs"/>
          <w:b/>
          <w:bCs/>
          <w:rtl/>
        </w:rPr>
        <w:t>"...בנוסף לשיקולים האחרים, עומד השיקול החשוב והמהותי של שיקומו של הנאשם. בהתקיים נסיבות מיוחדות ובכוונת ייתכן ששיקול זה יגבר על יתר השיקולים, ושיקול זה יקבע באותו מקרה מסוים את מידת עונשו של הנאשם וצורתו...".</w:t>
      </w:r>
    </w:p>
    <w:p w14:paraId="65689A6C" w14:textId="77777777" w:rsidR="00B65410" w:rsidRDefault="00B65410" w:rsidP="00B65410">
      <w:pPr>
        <w:spacing w:before="240" w:after="120" w:line="360" w:lineRule="auto"/>
        <w:ind w:left="720" w:hanging="720"/>
        <w:jc w:val="both"/>
        <w:rPr>
          <w:rFonts w:ascii="Arial" w:hAnsi="Arial"/>
          <w:rtl/>
        </w:rPr>
      </w:pPr>
      <w:r>
        <w:rPr>
          <w:rFonts w:ascii="Arial" w:hAnsi="Arial" w:hint="cs"/>
          <w:rtl/>
        </w:rPr>
        <w:t>22.</w:t>
      </w:r>
      <w:r>
        <w:rPr>
          <w:rFonts w:ascii="Arial" w:hAnsi="Arial" w:hint="cs"/>
          <w:rtl/>
        </w:rPr>
        <w:tab/>
        <w:t>במקרה זה, לאחר עיון במכלול חוות הדעת שהוגשו בעניינו של הנאשם שוכנעתי כי קיים סיכוי טוב כי הנאשם לא יחזור לבצע עבירות פליליות בעתיד.</w:t>
      </w:r>
    </w:p>
    <w:p w14:paraId="78F9039D" w14:textId="77777777" w:rsidR="00B65410" w:rsidRDefault="00B65410" w:rsidP="00B65410">
      <w:pPr>
        <w:spacing w:before="240" w:after="120" w:line="360" w:lineRule="auto"/>
        <w:ind w:left="720"/>
        <w:jc w:val="both"/>
        <w:rPr>
          <w:rFonts w:ascii="Arial" w:hAnsi="Arial"/>
          <w:rtl/>
        </w:rPr>
      </w:pPr>
      <w:r>
        <w:rPr>
          <w:rFonts w:ascii="Arial" w:hAnsi="Arial" w:hint="cs"/>
          <w:rtl/>
        </w:rPr>
        <w:t xml:space="preserve">נוכח ההליך השיקומי הראשון והמוצלח שעבר הנאשם שוכנעתי כי יש מקום לגזור את עונשו תוך העדפת שיקולי שיקום כמפורט בסעיף </w:t>
      </w:r>
      <w:hyperlink r:id="rId14" w:history="1">
        <w:r w:rsidR="00104A2A" w:rsidRPr="00104A2A">
          <w:rPr>
            <w:rFonts w:ascii="Arial" w:hAnsi="Arial"/>
            <w:color w:val="0000FF"/>
            <w:u w:val="single"/>
            <w:rtl/>
          </w:rPr>
          <w:t>40 ד</w:t>
        </w:r>
      </w:hyperlink>
      <w:r>
        <w:rPr>
          <w:rFonts w:ascii="Arial" w:hAnsi="Arial" w:hint="cs"/>
          <w:rtl/>
        </w:rPr>
        <w:t xml:space="preserve"> ל</w:t>
      </w:r>
      <w:hyperlink r:id="rId15" w:history="1">
        <w:r w:rsidR="00FD3584" w:rsidRPr="00FD3584">
          <w:rPr>
            <w:rFonts w:ascii="Arial" w:hAnsi="Arial"/>
            <w:color w:val="0000FF"/>
            <w:u w:val="single"/>
            <w:rtl/>
          </w:rPr>
          <w:t>חוק העונשין</w:t>
        </w:r>
      </w:hyperlink>
      <w:r>
        <w:rPr>
          <w:rFonts w:ascii="Arial" w:hAnsi="Arial" w:hint="cs"/>
          <w:rtl/>
        </w:rPr>
        <w:t>.</w:t>
      </w:r>
    </w:p>
    <w:p w14:paraId="040C8AD6" w14:textId="77777777" w:rsidR="00B65410" w:rsidRDefault="00B65410" w:rsidP="00B65410">
      <w:pPr>
        <w:spacing w:after="120" w:line="360" w:lineRule="auto"/>
        <w:jc w:val="both"/>
        <w:rPr>
          <w:rFonts w:ascii="Arial" w:hAnsi="Arial"/>
          <w:rtl/>
        </w:rPr>
      </w:pPr>
    </w:p>
    <w:p w14:paraId="7036DD53" w14:textId="77777777" w:rsidR="00B65410" w:rsidRDefault="00B65410" w:rsidP="00B65410">
      <w:pPr>
        <w:spacing w:after="120" w:line="360" w:lineRule="auto"/>
        <w:ind w:left="720" w:hanging="720"/>
        <w:jc w:val="both"/>
        <w:rPr>
          <w:rFonts w:ascii="Arial" w:hAnsi="Arial"/>
          <w:rtl/>
        </w:rPr>
      </w:pPr>
      <w:r>
        <w:rPr>
          <w:rFonts w:ascii="Arial" w:hAnsi="Arial" w:hint="cs"/>
          <w:rtl/>
        </w:rPr>
        <w:t>23.</w:t>
      </w:r>
      <w:r>
        <w:rPr>
          <w:rFonts w:ascii="Arial" w:hAnsi="Arial" w:hint="cs"/>
          <w:rtl/>
        </w:rPr>
        <w:tab/>
        <w:t>לאור כל האמור לעיל אני מחליט להאריך בשנתיים את עונש המאסר המותנה התלוי ועומד כנגד הנאשם ב</w:t>
      </w:r>
      <w:hyperlink r:id="rId16" w:history="1">
        <w:r w:rsidR="00FD3584" w:rsidRPr="00FD3584">
          <w:rPr>
            <w:rFonts w:ascii="Arial" w:hAnsi="Arial"/>
            <w:color w:val="0000FF"/>
            <w:u w:val="single"/>
            <w:rtl/>
          </w:rPr>
          <w:t>ת"פ 3379-12-13</w:t>
        </w:r>
      </w:hyperlink>
      <w:r>
        <w:rPr>
          <w:rFonts w:ascii="Arial" w:hAnsi="Arial" w:hint="cs"/>
          <w:rtl/>
        </w:rPr>
        <w:t>.</w:t>
      </w:r>
    </w:p>
    <w:p w14:paraId="03D5B217" w14:textId="77777777" w:rsidR="00B65410" w:rsidRDefault="00B65410" w:rsidP="00B65410">
      <w:pPr>
        <w:spacing w:after="120" w:line="360" w:lineRule="auto"/>
        <w:ind w:left="720" w:hanging="720"/>
        <w:jc w:val="both"/>
        <w:rPr>
          <w:rFonts w:ascii="Arial" w:hAnsi="Arial"/>
          <w:rtl/>
        </w:rPr>
      </w:pPr>
    </w:p>
    <w:p w14:paraId="381DD66D" w14:textId="77777777" w:rsidR="00B65410" w:rsidRDefault="00B65410" w:rsidP="00B65410">
      <w:pPr>
        <w:spacing w:after="120" w:line="360" w:lineRule="auto"/>
        <w:ind w:left="720" w:hanging="720"/>
        <w:jc w:val="both"/>
        <w:rPr>
          <w:rFonts w:ascii="Arial" w:hAnsi="Arial"/>
          <w:rtl/>
        </w:rPr>
      </w:pPr>
      <w:r>
        <w:rPr>
          <w:rFonts w:ascii="Arial" w:hAnsi="Arial" w:hint="cs"/>
          <w:rtl/>
        </w:rPr>
        <w:t>24.</w:t>
      </w:r>
      <w:r>
        <w:rPr>
          <w:rFonts w:ascii="Arial" w:hAnsi="Arial" w:hint="cs"/>
          <w:rtl/>
        </w:rPr>
        <w:tab/>
        <w:t>אני נותן בענינו של הנאשם צו מבחן למשך 18 חודשים.</w:t>
      </w:r>
    </w:p>
    <w:p w14:paraId="6BB7E4AB" w14:textId="77777777" w:rsidR="00B65410" w:rsidRDefault="00B65410" w:rsidP="00B65410">
      <w:pPr>
        <w:spacing w:after="120" w:line="360" w:lineRule="auto"/>
        <w:ind w:left="720"/>
        <w:jc w:val="both"/>
        <w:rPr>
          <w:rFonts w:ascii="Arial" w:hAnsi="Arial"/>
          <w:rtl/>
        </w:rPr>
      </w:pPr>
      <w:r>
        <w:rPr>
          <w:rFonts w:ascii="Arial" w:hAnsi="Arial" w:hint="cs"/>
          <w:rtl/>
        </w:rPr>
        <w:t>אני מטיל על הנאשם לבצע עבודות של"צ בהיקף של 200 שעות בהתאם לתכנית שגובשה ע"י שירות המבחן.</w:t>
      </w:r>
    </w:p>
    <w:p w14:paraId="08CC627F" w14:textId="77777777" w:rsidR="00B65410" w:rsidRDefault="00B65410" w:rsidP="00B65410">
      <w:pPr>
        <w:spacing w:after="120" w:line="360" w:lineRule="auto"/>
        <w:ind w:left="720"/>
        <w:jc w:val="both"/>
        <w:rPr>
          <w:rFonts w:ascii="Arial" w:hAnsi="Arial"/>
          <w:u w:val="single"/>
          <w:rtl/>
        </w:rPr>
      </w:pPr>
      <w:r>
        <w:rPr>
          <w:rFonts w:ascii="Arial" w:hAnsi="Arial" w:hint="cs"/>
          <w:u w:val="single"/>
          <w:rtl/>
        </w:rPr>
        <w:t>העתק גזר הדין יועבר לשירות המבחן.</w:t>
      </w:r>
    </w:p>
    <w:p w14:paraId="23EB44AE" w14:textId="77777777" w:rsidR="00B65410" w:rsidRDefault="00B65410" w:rsidP="00B65410">
      <w:pPr>
        <w:spacing w:after="120" w:line="360" w:lineRule="auto"/>
        <w:ind w:left="720"/>
        <w:jc w:val="both"/>
        <w:rPr>
          <w:rFonts w:ascii="Arial" w:hAnsi="Arial"/>
          <w:u w:val="single"/>
          <w:rtl/>
        </w:rPr>
      </w:pPr>
    </w:p>
    <w:p w14:paraId="13B696F0" w14:textId="77777777" w:rsidR="00B65410" w:rsidRDefault="00B65410" w:rsidP="00B65410">
      <w:pPr>
        <w:spacing w:after="120" w:line="360" w:lineRule="auto"/>
        <w:ind w:left="720" w:hanging="720"/>
        <w:jc w:val="both"/>
        <w:rPr>
          <w:rFonts w:ascii="Arial" w:hAnsi="Arial"/>
          <w:rtl/>
        </w:rPr>
      </w:pPr>
      <w:r>
        <w:rPr>
          <w:rFonts w:ascii="Arial" w:hAnsi="Arial" w:hint="cs"/>
          <w:rtl/>
        </w:rPr>
        <w:t>25.</w:t>
      </w:r>
      <w:r>
        <w:rPr>
          <w:rFonts w:ascii="Arial" w:hAnsi="Arial" w:hint="cs"/>
          <w:rtl/>
        </w:rPr>
        <w:tab/>
        <w:t xml:space="preserve">אני גוזר על הנאשם 14 חודשי מאסר על תנאי למשך 3 שנים והתנאי  הוא כי הנאשם לא יעבור עבירה מסוג פשע לפי </w:t>
      </w:r>
      <w:hyperlink r:id="rId17" w:history="1">
        <w:r w:rsidR="00FD3584" w:rsidRPr="00FD3584">
          <w:rPr>
            <w:rFonts w:ascii="Arial" w:hAnsi="Arial"/>
            <w:color w:val="0000FF"/>
            <w:u w:val="single"/>
            <w:rtl/>
          </w:rPr>
          <w:t>פקודת הסמים המסוכנים</w:t>
        </w:r>
      </w:hyperlink>
      <w:r>
        <w:rPr>
          <w:rFonts w:ascii="Arial" w:hAnsi="Arial" w:hint="cs"/>
          <w:rtl/>
        </w:rPr>
        <w:t xml:space="preserve">. אני גוזר על הנאשם 5 חודשי מאסר על תנאי למשך 3 שנים והתנאי הוא כי הנאשם לא יעבור עבירה מסוג עוון לפי </w:t>
      </w:r>
      <w:hyperlink r:id="rId18" w:history="1">
        <w:r w:rsidR="00FD3584" w:rsidRPr="00FD3584">
          <w:rPr>
            <w:rFonts w:ascii="Arial" w:hAnsi="Arial"/>
            <w:color w:val="0000FF"/>
            <w:u w:val="single"/>
            <w:rtl/>
          </w:rPr>
          <w:t>פקודת הסמים המסוכנים</w:t>
        </w:r>
      </w:hyperlink>
      <w:r>
        <w:rPr>
          <w:rFonts w:ascii="Arial" w:hAnsi="Arial" w:hint="cs"/>
          <w:rtl/>
        </w:rPr>
        <w:t xml:space="preserve">. </w:t>
      </w:r>
    </w:p>
    <w:p w14:paraId="5EC932DA" w14:textId="77777777" w:rsidR="00B65410" w:rsidRDefault="00B65410" w:rsidP="00B65410">
      <w:pPr>
        <w:spacing w:after="120" w:line="360" w:lineRule="auto"/>
        <w:ind w:left="720" w:hanging="720"/>
        <w:jc w:val="both"/>
        <w:rPr>
          <w:rFonts w:ascii="Arial" w:hAnsi="Arial"/>
          <w:rtl/>
        </w:rPr>
      </w:pPr>
    </w:p>
    <w:p w14:paraId="67B0C1D7" w14:textId="77777777" w:rsidR="00B65410" w:rsidRPr="00DF3E71" w:rsidRDefault="00B65410" w:rsidP="00B65410">
      <w:pPr>
        <w:spacing w:after="120" w:line="360" w:lineRule="auto"/>
        <w:ind w:left="720" w:hanging="720"/>
        <w:jc w:val="both"/>
        <w:rPr>
          <w:rFonts w:ascii="Arial" w:hAnsi="Arial"/>
          <w:rtl/>
        </w:rPr>
      </w:pPr>
      <w:r>
        <w:rPr>
          <w:rFonts w:ascii="Arial" w:hAnsi="Arial" w:hint="cs"/>
          <w:rtl/>
        </w:rPr>
        <w:t>26.</w:t>
      </w:r>
      <w:r>
        <w:rPr>
          <w:rFonts w:ascii="Arial" w:hAnsi="Arial" w:hint="cs"/>
          <w:rtl/>
        </w:rPr>
        <w:tab/>
        <w:t>הכסף שנתפס ברשות הנאשם יחולט והסמים יושמדו .</w:t>
      </w:r>
    </w:p>
    <w:p w14:paraId="03093D7C" w14:textId="77777777" w:rsidR="00B65410" w:rsidRDefault="00B65410" w:rsidP="00B65410">
      <w:pPr>
        <w:spacing w:after="120" w:line="360" w:lineRule="auto"/>
        <w:jc w:val="both"/>
        <w:rPr>
          <w:rFonts w:ascii="Arial" w:hAnsi="Arial"/>
          <w:rtl/>
        </w:rPr>
      </w:pPr>
    </w:p>
    <w:p w14:paraId="14887280" w14:textId="77777777" w:rsidR="00B65410" w:rsidRPr="00134D5F" w:rsidRDefault="00B65410" w:rsidP="00B65410">
      <w:pPr>
        <w:overflowPunct w:val="0"/>
        <w:autoSpaceDE w:val="0"/>
        <w:autoSpaceDN w:val="0"/>
        <w:adjustRightInd w:val="0"/>
        <w:spacing w:line="360" w:lineRule="auto"/>
        <w:rPr>
          <w:b/>
          <w:bCs/>
        </w:rPr>
      </w:pPr>
      <w:r w:rsidRPr="00134D5F">
        <w:rPr>
          <w:rFonts w:hint="eastAsia"/>
          <w:b/>
          <w:bCs/>
          <w:rtl/>
        </w:rPr>
        <w:t>נמסר</w:t>
      </w:r>
      <w:r w:rsidRPr="00134D5F">
        <w:rPr>
          <w:b/>
          <w:bCs/>
          <w:rtl/>
        </w:rPr>
        <w:t xml:space="preserve"> על הזכות להגיש ערעור לביהמ"</w:t>
      </w:r>
      <w:r w:rsidRPr="00134D5F">
        <w:rPr>
          <w:rFonts w:hint="eastAsia"/>
          <w:b/>
          <w:bCs/>
          <w:rtl/>
        </w:rPr>
        <w:t>ש</w:t>
      </w:r>
      <w:r w:rsidRPr="00134D5F">
        <w:rPr>
          <w:b/>
          <w:bCs/>
          <w:rtl/>
        </w:rPr>
        <w:t xml:space="preserve"> המחוזי בתוך 45 </w:t>
      </w:r>
      <w:r w:rsidRPr="00134D5F">
        <w:rPr>
          <w:rFonts w:hint="eastAsia"/>
          <w:b/>
          <w:bCs/>
          <w:rtl/>
        </w:rPr>
        <w:t>יום</w:t>
      </w:r>
      <w:r w:rsidRPr="00134D5F">
        <w:rPr>
          <w:b/>
          <w:bCs/>
          <w:rtl/>
        </w:rPr>
        <w:t xml:space="preserve"> מהיום.</w:t>
      </w:r>
    </w:p>
    <w:p w14:paraId="519D51AC" w14:textId="77777777" w:rsidR="00B65410" w:rsidRPr="00FD3584" w:rsidRDefault="00FD3584" w:rsidP="00B65410">
      <w:pPr>
        <w:spacing w:line="360" w:lineRule="auto"/>
        <w:rPr>
          <w:color w:val="FFFFFF"/>
          <w:sz w:val="2"/>
          <w:szCs w:val="2"/>
        </w:rPr>
      </w:pPr>
      <w:r w:rsidRPr="00FD3584">
        <w:rPr>
          <w:color w:val="FFFFFF"/>
          <w:sz w:val="2"/>
          <w:szCs w:val="2"/>
          <w:rtl/>
        </w:rPr>
        <w:t>5129371</w:t>
      </w:r>
    </w:p>
    <w:p w14:paraId="1B5314AB" w14:textId="77777777" w:rsidR="00B65410" w:rsidRDefault="00FD3584" w:rsidP="00B65410">
      <w:pPr>
        <w:spacing w:after="120" w:line="360" w:lineRule="auto"/>
        <w:rPr>
          <w:rFonts w:cs="FrankRuehl"/>
          <w:sz w:val="28"/>
          <w:szCs w:val="28"/>
          <w:rtl/>
        </w:rPr>
      </w:pPr>
      <w:r w:rsidRPr="00FD3584">
        <w:rPr>
          <w:rFonts w:ascii="Arial" w:hAnsi="Arial"/>
          <w:color w:val="FFFFFF"/>
          <w:sz w:val="2"/>
          <w:szCs w:val="2"/>
          <w:rtl/>
        </w:rPr>
        <w:t>54678313</w:t>
      </w:r>
      <w:r>
        <w:rPr>
          <w:rFonts w:ascii="Arial" w:hAnsi="Arial"/>
          <w:rtl/>
        </w:rPr>
        <w:t xml:space="preserve">ניתן היום,  י"ד תמוז תשע"ו, 20 יולי 2016, במעמד הצדדים. </w:t>
      </w:r>
    </w:p>
    <w:p w14:paraId="5D4CAE26" w14:textId="77777777" w:rsidR="00B65410" w:rsidRDefault="00B65410" w:rsidP="00B65410">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1C1D353" w14:textId="77777777" w:rsidR="00B65410" w:rsidRDefault="00B65410" w:rsidP="00B65410">
      <w:pPr>
        <w:spacing w:after="120" w:line="360" w:lineRule="auto"/>
        <w:jc w:val="center"/>
        <w:rPr>
          <w:rFonts w:ascii="Arial" w:hAnsi="Arial" w:cs="FrankRuehl"/>
          <w:sz w:val="28"/>
          <w:szCs w:val="28"/>
          <w:rtl/>
        </w:rPr>
      </w:pPr>
    </w:p>
    <w:p w14:paraId="63D50A17" w14:textId="77777777" w:rsidR="00B65410" w:rsidRDefault="00B65410" w:rsidP="00B65410">
      <w:pPr>
        <w:spacing w:after="120" w:line="360" w:lineRule="auto"/>
        <w:rPr>
          <w:rFonts w:cs="FrankRuehl"/>
          <w:sz w:val="28"/>
          <w:szCs w:val="28"/>
          <w:rtl/>
        </w:rPr>
      </w:pPr>
    </w:p>
    <w:p w14:paraId="7EF1069E" w14:textId="77777777" w:rsidR="00B65410" w:rsidRDefault="00B65410" w:rsidP="00B65410">
      <w:pPr>
        <w:pStyle w:val="a3"/>
        <w:spacing w:after="120" w:line="360" w:lineRule="auto"/>
        <w:jc w:val="center"/>
        <w:rPr>
          <w:rtl/>
        </w:rPr>
      </w:pPr>
    </w:p>
    <w:p w14:paraId="7F97DBAC" w14:textId="77777777" w:rsidR="00FD3584" w:rsidRPr="00FD3584" w:rsidRDefault="00FD3584" w:rsidP="00FD3584">
      <w:pPr>
        <w:keepNext/>
        <w:rPr>
          <w:rFonts w:ascii="David" w:hAnsi="David"/>
          <w:color w:val="000000"/>
          <w:sz w:val="22"/>
          <w:szCs w:val="22"/>
          <w:rtl/>
        </w:rPr>
      </w:pPr>
    </w:p>
    <w:p w14:paraId="7FD3547C" w14:textId="77777777" w:rsidR="00FD3584" w:rsidRPr="00FD3584" w:rsidRDefault="00FD3584" w:rsidP="00FD3584">
      <w:pPr>
        <w:keepNext/>
        <w:rPr>
          <w:rFonts w:ascii="David" w:hAnsi="David"/>
          <w:color w:val="000000"/>
          <w:sz w:val="22"/>
          <w:szCs w:val="22"/>
          <w:rtl/>
        </w:rPr>
      </w:pPr>
      <w:r w:rsidRPr="00FD3584">
        <w:rPr>
          <w:rFonts w:ascii="David" w:hAnsi="David"/>
          <w:color w:val="000000"/>
          <w:sz w:val="22"/>
          <w:szCs w:val="22"/>
          <w:rtl/>
        </w:rPr>
        <w:t>דניאל בארי 54678313</w:t>
      </w:r>
    </w:p>
    <w:p w14:paraId="695D14C0" w14:textId="77777777" w:rsidR="00FD3584" w:rsidRDefault="00FD3584" w:rsidP="00FD3584">
      <w:r w:rsidRPr="00FD3584">
        <w:rPr>
          <w:color w:val="000000"/>
          <w:rtl/>
        </w:rPr>
        <w:t>נוסח מסמך זה כפוף לשינויי ניסוח ועריכה</w:t>
      </w:r>
    </w:p>
    <w:p w14:paraId="32F205C2" w14:textId="77777777" w:rsidR="00FD3584" w:rsidRDefault="00FD3584" w:rsidP="00FD3584">
      <w:pPr>
        <w:rPr>
          <w:rtl/>
        </w:rPr>
      </w:pPr>
    </w:p>
    <w:p w14:paraId="09D3AE8F" w14:textId="77777777" w:rsidR="00FD3584" w:rsidRDefault="00FD3584" w:rsidP="00FD3584">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E72AC7">
        <w:rPr>
          <w:rFonts w:hint="cs"/>
          <w:color w:val="0000FF"/>
          <w:u w:val="single"/>
          <w:rtl/>
        </w:rPr>
        <w:t xml:space="preserve"> </w:t>
      </w:r>
    </w:p>
    <w:p w14:paraId="18DC5794" w14:textId="77777777" w:rsidR="00B1215F" w:rsidRPr="00FD3584" w:rsidRDefault="00B1215F" w:rsidP="00FD3584">
      <w:pPr>
        <w:jc w:val="center"/>
        <w:rPr>
          <w:color w:val="0000FF"/>
          <w:u w:val="single"/>
        </w:rPr>
      </w:pPr>
    </w:p>
    <w:sectPr w:rsidR="00B1215F" w:rsidRPr="00FD3584" w:rsidSect="00FD3584">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AA233" w14:textId="77777777" w:rsidR="00A256F9" w:rsidRDefault="00A256F9">
      <w:r>
        <w:separator/>
      </w:r>
    </w:p>
  </w:endnote>
  <w:endnote w:type="continuationSeparator" w:id="0">
    <w:p w14:paraId="43008392" w14:textId="77777777" w:rsidR="00A256F9" w:rsidRDefault="00A2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6D859" w14:textId="77777777" w:rsidR="00C7003B" w:rsidRDefault="00C7003B" w:rsidP="00FD358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B69F7C" w14:textId="77777777" w:rsidR="00C7003B" w:rsidRPr="00FD3584" w:rsidRDefault="00C7003B" w:rsidP="00FD3584">
    <w:pPr>
      <w:pStyle w:val="a4"/>
      <w:pBdr>
        <w:top w:val="single" w:sz="4" w:space="1" w:color="auto"/>
        <w:between w:val="single" w:sz="4" w:space="0" w:color="auto"/>
      </w:pBdr>
      <w:spacing w:after="60"/>
      <w:jc w:val="center"/>
      <w:rPr>
        <w:rFonts w:ascii="FrankRuehl" w:hAnsi="FrankRuehl" w:cs="FrankRuehl"/>
        <w:color w:val="000000"/>
      </w:rPr>
    </w:pPr>
    <w:r w:rsidRPr="00FD35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181A" w14:textId="77777777" w:rsidR="00C7003B" w:rsidRDefault="00C7003B" w:rsidP="00FD358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437D">
      <w:rPr>
        <w:rFonts w:ascii="FrankRuehl" w:hAnsi="FrankRuehl" w:cs="FrankRuehl"/>
        <w:noProof/>
        <w:rtl/>
      </w:rPr>
      <w:t>1</w:t>
    </w:r>
    <w:r>
      <w:rPr>
        <w:rFonts w:ascii="FrankRuehl" w:hAnsi="FrankRuehl" w:cs="FrankRuehl"/>
        <w:rtl/>
      </w:rPr>
      <w:fldChar w:fldCharType="end"/>
    </w:r>
  </w:p>
  <w:p w14:paraId="05D08D04" w14:textId="77777777" w:rsidR="00C7003B" w:rsidRPr="00FD3584" w:rsidRDefault="00C7003B" w:rsidP="00FD3584">
    <w:pPr>
      <w:pStyle w:val="a4"/>
      <w:pBdr>
        <w:top w:val="single" w:sz="4" w:space="1" w:color="auto"/>
        <w:between w:val="single" w:sz="4" w:space="0" w:color="auto"/>
      </w:pBdr>
      <w:spacing w:after="60"/>
      <w:jc w:val="center"/>
      <w:rPr>
        <w:rFonts w:ascii="FrankRuehl" w:hAnsi="FrankRuehl" w:cs="FrankRuehl"/>
        <w:color w:val="000000"/>
      </w:rPr>
    </w:pPr>
    <w:r w:rsidRPr="00FD3584">
      <w:rPr>
        <w:rFonts w:ascii="FrankRuehl" w:hAnsi="FrankRuehl" w:cs="FrankRuehl"/>
        <w:color w:val="000000"/>
      </w:rPr>
      <w:pict w14:anchorId="4A0E7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07E3D" w14:textId="77777777" w:rsidR="00A256F9" w:rsidRDefault="00A256F9">
      <w:r>
        <w:separator/>
      </w:r>
    </w:p>
  </w:footnote>
  <w:footnote w:type="continuationSeparator" w:id="0">
    <w:p w14:paraId="7CC6386C" w14:textId="77777777" w:rsidR="00A256F9" w:rsidRDefault="00A2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E4F8E" w14:textId="77777777" w:rsidR="00C7003B" w:rsidRPr="00FD3584" w:rsidRDefault="00C7003B" w:rsidP="00FD35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30091-09-14</w:t>
    </w:r>
    <w:r>
      <w:rPr>
        <w:rFonts w:ascii="David" w:hAnsi="David"/>
        <w:color w:val="000000"/>
        <w:sz w:val="22"/>
        <w:szCs w:val="22"/>
        <w:rtl/>
      </w:rPr>
      <w:tab/>
      <w:t xml:space="preserve"> פרקליטות מחוז תל אביב פלילי נ' מחמד ג'לאג'ל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A37BF" w14:textId="77777777" w:rsidR="00C7003B" w:rsidRPr="00FD3584" w:rsidRDefault="00C7003B" w:rsidP="00FD35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30091-09-14</w:t>
    </w:r>
    <w:r>
      <w:rPr>
        <w:rFonts w:ascii="David" w:hAnsi="David"/>
        <w:color w:val="000000"/>
        <w:sz w:val="22"/>
        <w:szCs w:val="22"/>
        <w:rtl/>
      </w:rPr>
      <w:tab/>
      <w:t xml:space="preserve"> פרקליטות מחוז תל אביב פלילי נ' מחמד ג'לאג'ל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5410"/>
    <w:rsid w:val="00104A2A"/>
    <w:rsid w:val="00170497"/>
    <w:rsid w:val="00174FB2"/>
    <w:rsid w:val="003C72C1"/>
    <w:rsid w:val="004D7E86"/>
    <w:rsid w:val="008D3A9E"/>
    <w:rsid w:val="00A256F9"/>
    <w:rsid w:val="00B1215F"/>
    <w:rsid w:val="00B65410"/>
    <w:rsid w:val="00C7003B"/>
    <w:rsid w:val="00CC1A12"/>
    <w:rsid w:val="00CE1FC5"/>
    <w:rsid w:val="00E1437D"/>
    <w:rsid w:val="00E72AC7"/>
    <w:rsid w:val="00FD3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69CA74"/>
  <w15:chartTrackingRefBased/>
  <w15:docId w15:val="{E666A757-4C65-4959-A78A-96A4D307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541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65410"/>
    <w:pPr>
      <w:tabs>
        <w:tab w:val="center" w:pos="4153"/>
        <w:tab w:val="right" w:pos="8306"/>
      </w:tabs>
    </w:pPr>
  </w:style>
  <w:style w:type="paragraph" w:styleId="a4">
    <w:name w:val="footer"/>
    <w:basedOn w:val="a"/>
    <w:rsid w:val="00B65410"/>
    <w:pPr>
      <w:tabs>
        <w:tab w:val="center" w:pos="4153"/>
        <w:tab w:val="right" w:pos="8306"/>
      </w:tabs>
    </w:pPr>
  </w:style>
  <w:style w:type="character" w:styleId="a5">
    <w:name w:val="page number"/>
    <w:basedOn w:val="a0"/>
    <w:rsid w:val="00B65410"/>
  </w:style>
  <w:style w:type="character" w:styleId="Hyperlink">
    <w:name w:val="Hyperlink"/>
    <w:rsid w:val="00FD3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171839"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40d" TargetMode="External"/><Relationship Id="rId12" Type="http://schemas.openxmlformats.org/officeDocument/2006/relationships/hyperlink" Target="http://www.nevo.co.il/case/6120591"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049405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70301/40d"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10529403" TargetMode="External"/><Relationship Id="rId14" Type="http://schemas.openxmlformats.org/officeDocument/2006/relationships/hyperlink" Target="http://www.nevo.co.il/law/70301/40d"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5263</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6303</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3407997</vt:i4>
      </vt:variant>
      <vt:variant>
        <vt:i4>30</vt:i4>
      </vt:variant>
      <vt:variant>
        <vt:i4>0</vt:i4>
      </vt:variant>
      <vt:variant>
        <vt:i4>5</vt:i4>
      </vt:variant>
      <vt:variant>
        <vt:lpwstr>http://www.nevo.co.il/case/10494052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3211387</vt:i4>
      </vt:variant>
      <vt:variant>
        <vt:i4>21</vt:i4>
      </vt:variant>
      <vt:variant>
        <vt:i4>0</vt:i4>
      </vt:variant>
      <vt:variant>
        <vt:i4>5</vt:i4>
      </vt:variant>
      <vt:variant>
        <vt:lpwstr>http://www.nevo.co.il/case/20171839</vt:lpwstr>
      </vt:variant>
      <vt:variant>
        <vt:lpwstr/>
      </vt:variant>
      <vt:variant>
        <vt:i4>3145852</vt:i4>
      </vt:variant>
      <vt:variant>
        <vt:i4>18</vt:i4>
      </vt:variant>
      <vt:variant>
        <vt:i4>0</vt:i4>
      </vt:variant>
      <vt:variant>
        <vt:i4>5</vt:i4>
      </vt:variant>
      <vt:variant>
        <vt:lpwstr>http://www.nevo.co.il/case/6120591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3997810</vt:i4>
      </vt:variant>
      <vt:variant>
        <vt:i4>9</vt:i4>
      </vt:variant>
      <vt:variant>
        <vt:i4>0</vt:i4>
      </vt:variant>
      <vt:variant>
        <vt:i4>5</vt:i4>
      </vt:variant>
      <vt:variant>
        <vt:lpwstr>http://www.nevo.co.il/case/10529403</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30091</vt:lpwstr>
  </property>
  <property fmtid="{D5CDD505-2E9C-101B-9397-08002B2CF9AE}" pid="6" name="NEWPARTB">
    <vt:lpwstr>09</vt:lpwstr>
  </property>
  <property fmtid="{D5CDD505-2E9C-101B-9397-08002B2CF9AE}" pid="7" name="NEWPARTC">
    <vt:lpwstr>14</vt:lpwstr>
  </property>
  <property fmtid="{D5CDD505-2E9C-101B-9397-08002B2CF9AE}" pid="8" name="APPELLANT">
    <vt:lpwstr>פרקליטות מחוז תל אביב פלילי</vt:lpwstr>
  </property>
  <property fmtid="{D5CDD505-2E9C-101B-9397-08002B2CF9AE}" pid="9" name="APPELLEE">
    <vt:lpwstr>מחמד ג'לאג'ל</vt:lpwstr>
  </property>
  <property fmtid="{D5CDD505-2E9C-101B-9397-08002B2CF9AE}" pid="10" name="LAWYER">
    <vt:lpwstr>פלילי;טיטלבאום;יוסי סקה</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20160720</vt:lpwstr>
  </property>
  <property fmtid="{D5CDD505-2E9C-101B-9397-08002B2CF9AE}" pid="14" name="TYPE_N_DATE">
    <vt:lpwstr>38020160720</vt:lpwstr>
  </property>
  <property fmtid="{D5CDD505-2E9C-101B-9397-08002B2CF9AE}" pid="15" name="CASESLISTTMP1">
    <vt:lpwstr>10529403;6120591;20171839;10494052</vt:lpwstr>
  </property>
  <property fmtid="{D5CDD505-2E9C-101B-9397-08002B2CF9AE}" pid="16" name="WORDNUMPAGES">
    <vt:lpwstr>5</vt:lpwstr>
  </property>
  <property fmtid="{D5CDD505-2E9C-101B-9397-08002B2CF9AE}" pid="17" name="TYPE_ABS_DATE">
    <vt:lpwstr>380020160720</vt:lpwstr>
  </property>
  <property fmtid="{D5CDD505-2E9C-101B-9397-08002B2CF9AE}" pid="18" name="ISABSTRACT">
    <vt:lpwstr>Y</vt:lpwstr>
  </property>
  <property fmtid="{D5CDD505-2E9C-101B-9397-08002B2CF9AE}" pid="19" name="LAWLISTTMP1">
    <vt:lpwstr>70301/040d:2</vt:lpwstr>
  </property>
  <property fmtid="{D5CDD505-2E9C-101B-9397-08002B2CF9AE}" pid="20" name="LAWLISTTMP2">
    <vt:lpwstr>4216:2</vt:lpwstr>
  </property>
</Properties>
</file>