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33404D" w:rsidRPr="004C0CA3" w14:paraId="43D25558" w14:textId="77777777">
        <w:trPr>
          <w:trHeight w:hRule="exact" w:val="418"/>
          <w:jc w:val="center"/>
        </w:trPr>
        <w:tc>
          <w:tcPr>
            <w:tcW w:w="8720" w:type="dxa"/>
            <w:gridSpan w:val="3"/>
          </w:tcPr>
          <w:p w14:paraId="6722F9B4" w14:textId="77777777" w:rsidR="0033404D" w:rsidRPr="004C0CA3" w:rsidRDefault="004C0CA3">
            <w:pPr>
              <w:pStyle w:val="a5"/>
              <w:tabs>
                <w:tab w:val="clear" w:pos="8306"/>
              </w:tabs>
              <w:jc w:val="center"/>
              <w:rPr>
                <w:rFonts w:ascii="Tahoma" w:hAnsi="Tahoma" w:cs="Tahoma"/>
                <w:b/>
                <w:bCs/>
                <w:color w:val="000080"/>
                <w:sz w:val="20"/>
                <w:szCs w:val="20"/>
                <w:rtl/>
              </w:rPr>
            </w:pPr>
            <w:bookmarkStart w:id="0" w:name="LastJudge"/>
            <w:r w:rsidRPr="004C0CA3">
              <w:rPr>
                <w:rFonts w:ascii="Tahoma" w:hAnsi="Tahoma" w:cs="Tahoma"/>
                <w:b/>
                <w:bCs/>
                <w:color w:val="000080"/>
                <w:sz w:val="20"/>
                <w:szCs w:val="20"/>
                <w:rtl/>
              </w:rPr>
              <w:t>בית משפט השלום בנתניה</w:t>
            </w:r>
          </w:p>
        </w:tc>
      </w:tr>
      <w:tr w:rsidR="0033404D" w:rsidRPr="004C0CA3" w14:paraId="2515E468" w14:textId="77777777">
        <w:trPr>
          <w:trHeight w:val="337"/>
          <w:jc w:val="center"/>
        </w:trPr>
        <w:tc>
          <w:tcPr>
            <w:tcW w:w="3973" w:type="dxa"/>
          </w:tcPr>
          <w:p w14:paraId="7720DA78" w14:textId="77777777" w:rsidR="0033404D" w:rsidRPr="004C0CA3" w:rsidRDefault="004C0CA3">
            <w:pPr>
              <w:rPr>
                <w:b/>
                <w:bCs/>
                <w:sz w:val="26"/>
                <w:szCs w:val="26"/>
                <w:rtl/>
              </w:rPr>
            </w:pPr>
            <w:r w:rsidRPr="004C0CA3">
              <w:rPr>
                <w:b/>
                <w:bCs/>
                <w:sz w:val="26"/>
                <w:szCs w:val="26"/>
                <w:rtl/>
              </w:rPr>
              <w:t>ת"פ</w:t>
            </w:r>
            <w:r w:rsidRPr="004C0CA3">
              <w:rPr>
                <w:rFonts w:hint="cs"/>
                <w:b/>
                <w:bCs/>
                <w:sz w:val="26"/>
                <w:szCs w:val="26"/>
                <w:rtl/>
              </w:rPr>
              <w:t xml:space="preserve"> </w:t>
            </w:r>
            <w:r w:rsidRPr="004C0CA3">
              <w:rPr>
                <w:b/>
                <w:bCs/>
                <w:sz w:val="26"/>
                <w:szCs w:val="26"/>
                <w:rtl/>
              </w:rPr>
              <w:t>31236-09-14</w:t>
            </w:r>
            <w:r w:rsidRPr="004C0CA3">
              <w:rPr>
                <w:rFonts w:hint="cs"/>
                <w:b/>
                <w:bCs/>
                <w:sz w:val="26"/>
                <w:szCs w:val="26"/>
                <w:rtl/>
              </w:rPr>
              <w:t xml:space="preserve"> </w:t>
            </w:r>
            <w:r w:rsidRPr="004C0CA3">
              <w:rPr>
                <w:b/>
                <w:bCs/>
                <w:sz w:val="26"/>
                <w:szCs w:val="26"/>
                <w:rtl/>
              </w:rPr>
              <w:t>מדינת ישראל נ' רקיבי</w:t>
            </w:r>
          </w:p>
          <w:p w14:paraId="426A3510" w14:textId="77777777" w:rsidR="0033404D" w:rsidRPr="004C0CA3" w:rsidRDefault="0033404D">
            <w:pPr>
              <w:rPr>
                <w:b/>
                <w:bCs/>
                <w:sz w:val="26"/>
                <w:szCs w:val="26"/>
                <w:rtl/>
              </w:rPr>
            </w:pPr>
          </w:p>
        </w:tc>
        <w:tc>
          <w:tcPr>
            <w:tcW w:w="1068" w:type="dxa"/>
          </w:tcPr>
          <w:p w14:paraId="7F82903C" w14:textId="77777777" w:rsidR="0033404D" w:rsidRPr="004C0CA3" w:rsidRDefault="0033404D">
            <w:pPr>
              <w:pStyle w:val="a5"/>
              <w:jc w:val="right"/>
              <w:rPr>
                <w:b/>
                <w:bCs/>
                <w:sz w:val="26"/>
                <w:szCs w:val="26"/>
                <w:rtl/>
              </w:rPr>
            </w:pPr>
          </w:p>
        </w:tc>
        <w:tc>
          <w:tcPr>
            <w:tcW w:w="3679" w:type="dxa"/>
          </w:tcPr>
          <w:p w14:paraId="4EE43D71" w14:textId="77777777" w:rsidR="0033404D" w:rsidRPr="004C0CA3" w:rsidRDefault="004C0CA3">
            <w:pPr>
              <w:pStyle w:val="a5"/>
              <w:tabs>
                <w:tab w:val="clear" w:pos="4153"/>
              </w:tabs>
              <w:jc w:val="right"/>
              <w:rPr>
                <w:b/>
                <w:bCs/>
                <w:sz w:val="26"/>
                <w:szCs w:val="26"/>
                <w:rtl/>
              </w:rPr>
            </w:pPr>
            <w:r w:rsidRPr="004C0CA3">
              <w:rPr>
                <w:b/>
                <w:bCs/>
                <w:sz w:val="26"/>
                <w:szCs w:val="26"/>
                <w:rtl/>
              </w:rPr>
              <w:t>24 דצמבר 2015</w:t>
            </w:r>
          </w:p>
        </w:tc>
      </w:tr>
    </w:tbl>
    <w:p w14:paraId="53E820C7" w14:textId="77777777" w:rsidR="0033404D" w:rsidRPr="004C0CA3" w:rsidRDefault="0033404D">
      <w:pPr>
        <w:pStyle w:val="a5"/>
        <w:jc w:val="center"/>
        <w:rPr>
          <w:rFonts w:ascii="Tahoma" w:hAnsi="Tahoma" w:cs="Tahoma"/>
          <w:b/>
          <w:bCs/>
          <w:color w:val="000080"/>
          <w:sz w:val="20"/>
          <w:szCs w:val="20"/>
          <w:rtl/>
        </w:rPr>
      </w:pPr>
    </w:p>
    <w:p w14:paraId="0B3E5893" w14:textId="77777777" w:rsidR="0033404D" w:rsidRPr="004C0CA3" w:rsidRDefault="0033404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3404D" w:rsidRPr="004C0CA3" w14:paraId="35614A00" w14:textId="77777777">
        <w:trPr>
          <w:gridAfter w:val="1"/>
          <w:wAfter w:w="55" w:type="dxa"/>
        </w:trPr>
        <w:tc>
          <w:tcPr>
            <w:tcW w:w="8719" w:type="dxa"/>
            <w:gridSpan w:val="2"/>
            <w:shd w:val="clear" w:color="auto" w:fill="auto"/>
          </w:tcPr>
          <w:p w14:paraId="71D8B08D" w14:textId="77777777" w:rsidR="0033404D" w:rsidRPr="004C0CA3" w:rsidRDefault="004C0CA3">
            <w:pPr>
              <w:rPr>
                <w:rFonts w:ascii="Arial" w:eastAsia="Times New Roman" w:hAnsi="Arial"/>
                <w:sz w:val="26"/>
                <w:szCs w:val="26"/>
                <w:highlight w:val="yellow"/>
              </w:rPr>
            </w:pPr>
            <w:r w:rsidRPr="004C0CA3">
              <w:rPr>
                <w:rFonts w:ascii="Times New Roman" w:eastAsia="Times New Roman" w:hAnsi="Times New Roman" w:hint="cs"/>
                <w:b/>
                <w:bCs/>
                <w:sz w:val="26"/>
                <w:szCs w:val="26"/>
                <w:rtl/>
              </w:rPr>
              <w:t xml:space="preserve">בפני </w:t>
            </w:r>
            <w:r w:rsidRPr="004C0CA3">
              <w:rPr>
                <w:rFonts w:ascii="Arial" w:eastAsia="Times New Roman" w:hAnsi="Arial" w:hint="cs"/>
                <w:b/>
                <w:bCs/>
                <w:sz w:val="26"/>
                <w:szCs w:val="26"/>
                <w:rtl/>
              </w:rPr>
              <w:t xml:space="preserve">כב' השופטת הבכירה </w:t>
            </w:r>
            <w:r w:rsidRPr="004C0CA3">
              <w:rPr>
                <w:rFonts w:ascii="Arial" w:eastAsia="Times New Roman" w:hAnsi="Arial"/>
                <w:b/>
                <w:bCs/>
                <w:sz w:val="26"/>
                <w:szCs w:val="26"/>
                <w:rtl/>
              </w:rPr>
              <w:t>גלית ציגלר</w:t>
            </w:r>
          </w:p>
          <w:p w14:paraId="20FA176C" w14:textId="77777777" w:rsidR="0033404D" w:rsidRPr="004C0CA3" w:rsidRDefault="0033404D">
            <w:pPr>
              <w:spacing w:line="360" w:lineRule="auto"/>
              <w:jc w:val="both"/>
              <w:rPr>
                <w:rFonts w:ascii="Arial" w:eastAsia="Times New Roman" w:hAnsi="Arial" w:cs="Times New Roman"/>
                <w:rtl/>
              </w:rPr>
            </w:pPr>
          </w:p>
        </w:tc>
      </w:tr>
      <w:tr w:rsidR="0033404D" w:rsidRPr="004C0CA3" w14:paraId="5B2F017B" w14:textId="77777777">
        <w:tc>
          <w:tcPr>
            <w:tcW w:w="2880" w:type="dxa"/>
            <w:shd w:val="clear" w:color="auto" w:fill="auto"/>
          </w:tcPr>
          <w:p w14:paraId="7060AB94" w14:textId="77777777" w:rsidR="0033404D" w:rsidRPr="004C0CA3" w:rsidRDefault="004C0CA3">
            <w:pPr>
              <w:ind w:left="26"/>
              <w:rPr>
                <w:rFonts w:ascii="Times New Roman" w:eastAsia="Times New Roman" w:hAnsi="Times New Roman"/>
                <w:b/>
                <w:bCs/>
                <w:sz w:val="26"/>
                <w:szCs w:val="26"/>
                <w:rtl/>
              </w:rPr>
            </w:pPr>
            <w:bookmarkStart w:id="1" w:name="FirstAppellant"/>
            <w:r w:rsidRPr="004C0CA3">
              <w:rPr>
                <w:rFonts w:ascii="Times New Roman" w:eastAsia="Times New Roman" w:hAnsi="Times New Roman" w:hint="cs"/>
                <w:b/>
                <w:bCs/>
                <w:sz w:val="26"/>
                <w:szCs w:val="26"/>
                <w:rtl/>
              </w:rPr>
              <w:t>ה</w:t>
            </w:r>
            <w:r w:rsidRPr="004C0CA3">
              <w:rPr>
                <w:rFonts w:ascii="Times New Roman" w:eastAsia="Times New Roman" w:hAnsi="Times New Roman" w:hint="cs"/>
                <w:rtl/>
              </w:rPr>
              <w:t>מאשימה</w:t>
            </w:r>
          </w:p>
        </w:tc>
        <w:tc>
          <w:tcPr>
            <w:tcW w:w="5922" w:type="dxa"/>
            <w:gridSpan w:val="2"/>
            <w:shd w:val="clear" w:color="auto" w:fill="auto"/>
          </w:tcPr>
          <w:p w14:paraId="47A334D7" w14:textId="77777777" w:rsidR="0033404D" w:rsidRPr="004C0CA3" w:rsidRDefault="004C0CA3">
            <w:pPr>
              <w:rPr>
                <w:rFonts w:ascii="Times New Roman" w:eastAsia="Times New Roman" w:hAnsi="Times New Roman"/>
                <w:b/>
                <w:bCs/>
                <w:sz w:val="26"/>
                <w:szCs w:val="26"/>
                <w:rtl/>
              </w:rPr>
            </w:pPr>
            <w:r w:rsidRPr="004C0CA3">
              <w:rPr>
                <w:rFonts w:ascii="Times New Roman" w:eastAsia="Times New Roman" w:hAnsi="Times New Roman" w:hint="cs"/>
                <w:b/>
                <w:bCs/>
                <w:sz w:val="26"/>
                <w:szCs w:val="26"/>
                <w:rtl/>
              </w:rPr>
              <w:t xml:space="preserve"> </w:t>
            </w:r>
            <w:r w:rsidRPr="004C0CA3">
              <w:rPr>
                <w:rFonts w:ascii="Times New Roman" w:eastAsia="Times New Roman" w:hAnsi="Times New Roman" w:hint="cs"/>
                <w:rtl/>
              </w:rPr>
              <w:t>מדינת ישראל</w:t>
            </w:r>
          </w:p>
        </w:tc>
      </w:tr>
      <w:bookmarkEnd w:id="1"/>
      <w:tr w:rsidR="0033404D" w:rsidRPr="004C0CA3" w14:paraId="5AA10618" w14:textId="77777777">
        <w:tc>
          <w:tcPr>
            <w:tcW w:w="8802" w:type="dxa"/>
            <w:gridSpan w:val="3"/>
            <w:shd w:val="clear" w:color="auto" w:fill="auto"/>
          </w:tcPr>
          <w:p w14:paraId="3558C2AC" w14:textId="77777777" w:rsidR="0033404D" w:rsidRPr="004C0CA3" w:rsidRDefault="0033404D">
            <w:pPr>
              <w:jc w:val="both"/>
              <w:rPr>
                <w:rFonts w:ascii="Arial" w:eastAsia="Times New Roman" w:hAnsi="Arial"/>
                <w:b/>
                <w:bCs/>
                <w:sz w:val="26"/>
                <w:szCs w:val="26"/>
                <w:rtl/>
              </w:rPr>
            </w:pPr>
          </w:p>
          <w:p w14:paraId="2931050C" w14:textId="77777777" w:rsidR="0033404D" w:rsidRPr="004C0CA3" w:rsidRDefault="004C0CA3">
            <w:pPr>
              <w:jc w:val="center"/>
              <w:rPr>
                <w:rFonts w:ascii="Arial" w:eastAsia="Times New Roman" w:hAnsi="Arial"/>
                <w:b/>
                <w:bCs/>
                <w:sz w:val="26"/>
                <w:szCs w:val="26"/>
                <w:rtl/>
              </w:rPr>
            </w:pPr>
            <w:r w:rsidRPr="004C0CA3">
              <w:rPr>
                <w:rFonts w:ascii="Arial" w:eastAsia="Times New Roman" w:hAnsi="Arial"/>
                <w:b/>
                <w:bCs/>
                <w:sz w:val="26"/>
                <w:szCs w:val="26"/>
                <w:rtl/>
              </w:rPr>
              <w:t>נגד</w:t>
            </w:r>
          </w:p>
          <w:p w14:paraId="589B588D" w14:textId="77777777" w:rsidR="0033404D" w:rsidRPr="004C0CA3" w:rsidRDefault="0033404D">
            <w:pPr>
              <w:jc w:val="center"/>
              <w:rPr>
                <w:rFonts w:ascii="Arial" w:eastAsia="Times New Roman" w:hAnsi="Arial"/>
                <w:b/>
                <w:bCs/>
                <w:sz w:val="26"/>
                <w:szCs w:val="26"/>
              </w:rPr>
            </w:pPr>
          </w:p>
        </w:tc>
      </w:tr>
      <w:tr w:rsidR="0033404D" w:rsidRPr="004C0CA3" w14:paraId="351E0E7E" w14:textId="77777777">
        <w:tc>
          <w:tcPr>
            <w:tcW w:w="2880" w:type="dxa"/>
            <w:shd w:val="clear" w:color="auto" w:fill="auto"/>
          </w:tcPr>
          <w:p w14:paraId="6E739DA2" w14:textId="77777777" w:rsidR="0033404D" w:rsidRPr="004C0CA3" w:rsidRDefault="004C0CA3">
            <w:pPr>
              <w:ind w:left="26"/>
              <w:rPr>
                <w:rFonts w:ascii="Times New Roman" w:eastAsia="Times New Roman" w:hAnsi="Times New Roman"/>
                <w:b/>
                <w:bCs/>
                <w:sz w:val="26"/>
                <w:szCs w:val="26"/>
                <w:rtl/>
              </w:rPr>
            </w:pPr>
            <w:r w:rsidRPr="004C0CA3">
              <w:rPr>
                <w:rFonts w:ascii="Times New Roman" w:eastAsia="Times New Roman" w:hAnsi="Times New Roman" w:hint="cs"/>
                <w:b/>
                <w:bCs/>
                <w:sz w:val="26"/>
                <w:szCs w:val="26"/>
                <w:rtl/>
              </w:rPr>
              <w:t>ה</w:t>
            </w:r>
            <w:r w:rsidRPr="004C0CA3">
              <w:rPr>
                <w:rFonts w:ascii="Times New Roman" w:eastAsia="Times New Roman" w:hAnsi="Times New Roman" w:hint="cs"/>
                <w:rtl/>
              </w:rPr>
              <w:t>נאשם</w:t>
            </w:r>
          </w:p>
        </w:tc>
        <w:tc>
          <w:tcPr>
            <w:tcW w:w="5922" w:type="dxa"/>
            <w:gridSpan w:val="2"/>
            <w:shd w:val="clear" w:color="auto" w:fill="auto"/>
          </w:tcPr>
          <w:p w14:paraId="647344AA" w14:textId="77777777" w:rsidR="0033404D" w:rsidRPr="004C0CA3" w:rsidRDefault="004C0CA3">
            <w:pPr>
              <w:rPr>
                <w:rFonts w:ascii="Times New Roman" w:eastAsia="Times New Roman" w:hAnsi="Times New Roman"/>
                <w:b/>
                <w:bCs/>
                <w:sz w:val="26"/>
                <w:szCs w:val="26"/>
                <w:rtl/>
              </w:rPr>
            </w:pPr>
            <w:r w:rsidRPr="004C0CA3">
              <w:rPr>
                <w:rFonts w:ascii="Times New Roman" w:eastAsia="Times New Roman" w:hAnsi="Times New Roman" w:hint="cs"/>
                <w:rtl/>
              </w:rPr>
              <w:t>סאלם רקיבי</w:t>
            </w:r>
          </w:p>
        </w:tc>
      </w:tr>
    </w:tbl>
    <w:p w14:paraId="5D1EBE5B" w14:textId="77777777" w:rsidR="0033404D" w:rsidRPr="004C0CA3" w:rsidRDefault="004C0CA3">
      <w:pPr>
        <w:spacing w:line="360" w:lineRule="auto"/>
        <w:jc w:val="both"/>
        <w:rPr>
          <w:sz w:val="6"/>
          <w:szCs w:val="6"/>
          <w:rtl/>
        </w:rPr>
      </w:pPr>
      <w:r w:rsidRPr="004C0CA3">
        <w:rPr>
          <w:sz w:val="6"/>
          <w:szCs w:val="6"/>
          <w:rtl/>
        </w:rPr>
        <w:t>&lt;#2#&gt;</w:t>
      </w:r>
    </w:p>
    <w:p w14:paraId="7F7986F1" w14:textId="77777777" w:rsidR="0033404D" w:rsidRPr="004C0CA3" w:rsidRDefault="004C0CA3">
      <w:pPr>
        <w:pStyle w:val="12"/>
        <w:rPr>
          <w:sz w:val="26"/>
          <w:szCs w:val="26"/>
          <w:u w:val="none"/>
          <w:rtl/>
        </w:rPr>
      </w:pPr>
      <w:r w:rsidRPr="004C0CA3">
        <w:rPr>
          <w:rFonts w:hint="cs"/>
          <w:sz w:val="26"/>
          <w:szCs w:val="26"/>
          <w:u w:val="none"/>
          <w:rtl/>
        </w:rPr>
        <w:t>נוכחים:</w:t>
      </w:r>
    </w:p>
    <w:p w14:paraId="743ABC3D" w14:textId="77777777" w:rsidR="0033404D" w:rsidRPr="004C0CA3" w:rsidRDefault="004C0CA3">
      <w:pPr>
        <w:pStyle w:val="12"/>
        <w:rPr>
          <w:b w:val="0"/>
          <w:bCs w:val="0"/>
          <w:sz w:val="26"/>
          <w:szCs w:val="26"/>
          <w:u w:val="none"/>
          <w:rtl/>
        </w:rPr>
      </w:pPr>
      <w:bookmarkStart w:id="2" w:name="FirstLawyer"/>
      <w:r w:rsidRPr="004C0CA3">
        <w:rPr>
          <w:rFonts w:hint="cs"/>
          <w:b w:val="0"/>
          <w:bCs w:val="0"/>
          <w:sz w:val="26"/>
          <w:szCs w:val="26"/>
          <w:u w:val="none"/>
          <w:rtl/>
        </w:rPr>
        <w:t>ב"כ</w:t>
      </w:r>
      <w:bookmarkEnd w:id="2"/>
      <w:r w:rsidRPr="004C0CA3">
        <w:rPr>
          <w:rFonts w:hint="cs"/>
          <w:b w:val="0"/>
          <w:bCs w:val="0"/>
          <w:sz w:val="26"/>
          <w:szCs w:val="26"/>
          <w:u w:val="none"/>
          <w:rtl/>
        </w:rPr>
        <w:t xml:space="preserve"> המאשימה עו"ד קובי בן דוד</w:t>
      </w:r>
    </w:p>
    <w:p w14:paraId="0C54778F" w14:textId="77777777" w:rsidR="0033404D" w:rsidRPr="004C0CA3" w:rsidRDefault="004C0CA3">
      <w:pPr>
        <w:pStyle w:val="12"/>
        <w:rPr>
          <w:b w:val="0"/>
          <w:bCs w:val="0"/>
          <w:sz w:val="26"/>
          <w:szCs w:val="26"/>
          <w:u w:val="none"/>
          <w:rtl/>
        </w:rPr>
      </w:pPr>
      <w:r w:rsidRPr="004C0CA3">
        <w:rPr>
          <w:rFonts w:hint="cs"/>
          <w:b w:val="0"/>
          <w:bCs w:val="0"/>
          <w:sz w:val="26"/>
          <w:szCs w:val="26"/>
          <w:u w:val="none"/>
          <w:rtl/>
        </w:rPr>
        <w:t>הנאשם עצמו ובא כוחו עו"ד יוסי לין</w:t>
      </w:r>
    </w:p>
    <w:p w14:paraId="1F7B651E" w14:textId="77777777" w:rsidR="0033404D" w:rsidRPr="004C0CA3" w:rsidRDefault="0033404D">
      <w:pPr>
        <w:pStyle w:val="12"/>
        <w:rPr>
          <w:b w:val="0"/>
          <w:bCs w:val="0"/>
          <w:u w:val="none"/>
          <w:rtl/>
        </w:rPr>
      </w:pPr>
    </w:p>
    <w:p w14:paraId="5BE30444" w14:textId="77777777" w:rsidR="00EE2D24" w:rsidRDefault="004C0CA3" w:rsidP="00EE2D24">
      <w:pPr>
        <w:pStyle w:val="12"/>
        <w:rPr>
          <w:b w:val="0"/>
          <w:bCs w:val="0"/>
          <w:sz w:val="6"/>
          <w:szCs w:val="6"/>
          <w:u w:val="none"/>
          <w:rtl/>
        </w:rPr>
      </w:pPr>
      <w:r w:rsidRPr="004C0CA3">
        <w:rPr>
          <w:b w:val="0"/>
          <w:bCs w:val="0"/>
          <w:sz w:val="6"/>
          <w:szCs w:val="6"/>
          <w:u w:val="none"/>
          <w:rtl/>
        </w:rPr>
        <w:t>&lt;#3#</w:t>
      </w:r>
      <w:bookmarkStart w:id="3" w:name="LawTable"/>
      <w:bookmarkEnd w:id="3"/>
    </w:p>
    <w:p w14:paraId="2F2792C6" w14:textId="77777777" w:rsidR="00EE2D24" w:rsidRPr="00EE2D24" w:rsidRDefault="00EE2D24" w:rsidP="00EE2D24">
      <w:pPr>
        <w:pStyle w:val="12"/>
        <w:spacing w:after="120" w:line="240" w:lineRule="exact"/>
        <w:ind w:left="283" w:hanging="283"/>
        <w:jc w:val="both"/>
        <w:rPr>
          <w:rFonts w:ascii="FrankRuehl" w:hAnsi="FrankRuehl" w:cs="FrankRuehl"/>
          <w:b w:val="0"/>
          <w:bCs w:val="0"/>
          <w:u w:val="none"/>
          <w:rtl/>
        </w:rPr>
      </w:pPr>
    </w:p>
    <w:p w14:paraId="1C368941" w14:textId="77777777" w:rsidR="00EE2D24" w:rsidRPr="00EE2D24" w:rsidRDefault="00EE2D24" w:rsidP="00EE2D24">
      <w:pPr>
        <w:pStyle w:val="12"/>
        <w:spacing w:after="120" w:line="240" w:lineRule="exact"/>
        <w:ind w:left="283" w:hanging="283"/>
        <w:jc w:val="both"/>
        <w:rPr>
          <w:rFonts w:ascii="FrankRuehl" w:hAnsi="FrankRuehl" w:cs="FrankRuehl"/>
          <w:b w:val="0"/>
          <w:bCs w:val="0"/>
          <w:u w:val="none"/>
          <w:rtl/>
        </w:rPr>
      </w:pPr>
      <w:r w:rsidRPr="00EE2D24">
        <w:rPr>
          <w:rFonts w:ascii="FrankRuehl" w:hAnsi="FrankRuehl" w:cs="FrankRuehl"/>
          <w:b w:val="0"/>
          <w:bCs w:val="0"/>
          <w:u w:val="none"/>
          <w:rtl/>
        </w:rPr>
        <w:t xml:space="preserve">חקיקה שאוזכרה: </w:t>
      </w:r>
    </w:p>
    <w:p w14:paraId="733C357D" w14:textId="77777777" w:rsidR="00EE2D24" w:rsidRPr="00EE2D24" w:rsidRDefault="00EE2D24" w:rsidP="00EE2D24">
      <w:pPr>
        <w:pStyle w:val="12"/>
        <w:spacing w:after="120" w:line="240" w:lineRule="exact"/>
        <w:ind w:left="283" w:hanging="283"/>
        <w:jc w:val="both"/>
        <w:rPr>
          <w:rFonts w:ascii="FrankRuehl" w:hAnsi="FrankRuehl" w:cs="FrankRuehl"/>
          <w:b w:val="0"/>
          <w:bCs w:val="0"/>
          <w:u w:val="none"/>
          <w:rtl/>
        </w:rPr>
      </w:pPr>
      <w:hyperlink r:id="rId7" w:history="1">
        <w:r w:rsidRPr="00EE2D24">
          <w:rPr>
            <w:rFonts w:ascii="FrankRuehl" w:hAnsi="FrankRuehl" w:cs="FrankRuehl"/>
            <w:b w:val="0"/>
            <w:bCs w:val="0"/>
            <w:color w:val="0000FF"/>
            <w:rtl/>
          </w:rPr>
          <w:t>חוק העונשין, תשל"ז-1977</w:t>
        </w:r>
      </w:hyperlink>
      <w:r w:rsidRPr="00EE2D24">
        <w:rPr>
          <w:rFonts w:ascii="FrankRuehl" w:hAnsi="FrankRuehl" w:cs="FrankRuehl"/>
          <w:b w:val="0"/>
          <w:bCs w:val="0"/>
          <w:u w:val="none"/>
          <w:rtl/>
        </w:rPr>
        <w:t xml:space="preserve">: סע'  </w:t>
      </w:r>
      <w:hyperlink r:id="rId8" w:history="1">
        <w:r w:rsidRPr="00EE2D24">
          <w:rPr>
            <w:rFonts w:ascii="FrankRuehl" w:hAnsi="FrankRuehl" w:cs="FrankRuehl"/>
            <w:b w:val="0"/>
            <w:bCs w:val="0"/>
            <w:color w:val="0000FF"/>
            <w:rtl/>
          </w:rPr>
          <w:t>40ט' (א)</w:t>
        </w:r>
      </w:hyperlink>
    </w:p>
    <w:p w14:paraId="67DCE30F" w14:textId="77777777" w:rsidR="00EE2D24" w:rsidRPr="00EE2D24" w:rsidRDefault="00EE2D24" w:rsidP="00EE2D24">
      <w:pPr>
        <w:pStyle w:val="12"/>
        <w:spacing w:after="120" w:line="240" w:lineRule="exact"/>
        <w:ind w:left="283" w:hanging="283"/>
        <w:jc w:val="both"/>
        <w:rPr>
          <w:rFonts w:ascii="FrankRuehl" w:hAnsi="FrankRuehl" w:cs="FrankRuehl"/>
          <w:b w:val="0"/>
          <w:bCs w:val="0"/>
          <w:u w:val="none"/>
          <w:rtl/>
        </w:rPr>
      </w:pPr>
      <w:hyperlink r:id="rId9" w:history="1">
        <w:r w:rsidRPr="00EE2D24">
          <w:rPr>
            <w:rFonts w:ascii="FrankRuehl" w:hAnsi="FrankRuehl" w:cs="FrankRuehl"/>
            <w:b w:val="0"/>
            <w:bCs w:val="0"/>
            <w:color w:val="0000FF"/>
            <w:rtl/>
          </w:rPr>
          <w:t>פקודת הסמים המסוכנים [נוסח חדש], תשל"ג-1973</w:t>
        </w:r>
      </w:hyperlink>
      <w:r w:rsidRPr="00EE2D24">
        <w:rPr>
          <w:rFonts w:ascii="FrankRuehl" w:hAnsi="FrankRuehl" w:cs="FrankRuehl"/>
          <w:b w:val="0"/>
          <w:bCs w:val="0"/>
          <w:u w:val="none"/>
          <w:rtl/>
        </w:rPr>
        <w:t xml:space="preserve">: סע'  </w:t>
      </w:r>
      <w:hyperlink r:id="rId10" w:history="1">
        <w:r w:rsidRPr="00EE2D24">
          <w:rPr>
            <w:rFonts w:ascii="FrankRuehl" w:hAnsi="FrankRuehl" w:cs="FrankRuehl"/>
            <w:b w:val="0"/>
            <w:bCs w:val="0"/>
            <w:color w:val="0000FF"/>
            <w:rtl/>
          </w:rPr>
          <w:t>36א</w:t>
        </w:r>
      </w:hyperlink>
      <w:r w:rsidRPr="00EE2D24">
        <w:rPr>
          <w:rFonts w:ascii="FrankRuehl" w:hAnsi="FrankRuehl" w:cs="FrankRuehl"/>
          <w:b w:val="0"/>
          <w:bCs w:val="0"/>
          <w:u w:val="none"/>
          <w:rtl/>
        </w:rPr>
        <w:t xml:space="preserve">, </w:t>
      </w:r>
      <w:hyperlink r:id="rId11" w:history="1">
        <w:r w:rsidRPr="00EE2D24">
          <w:rPr>
            <w:rFonts w:ascii="FrankRuehl" w:hAnsi="FrankRuehl" w:cs="FrankRuehl"/>
            <w:b w:val="0"/>
            <w:bCs w:val="0"/>
            <w:color w:val="0000FF"/>
            <w:rtl/>
          </w:rPr>
          <w:t>36ב</w:t>
        </w:r>
      </w:hyperlink>
    </w:p>
    <w:p w14:paraId="1FFFB0F6" w14:textId="77777777" w:rsidR="00EE2D24" w:rsidRPr="00EE2D24" w:rsidRDefault="00EE2D24" w:rsidP="00EE2D24">
      <w:pPr>
        <w:pStyle w:val="12"/>
        <w:spacing w:after="120" w:line="240" w:lineRule="exact"/>
        <w:ind w:left="283" w:hanging="283"/>
        <w:jc w:val="both"/>
        <w:rPr>
          <w:rFonts w:ascii="FrankRuehl" w:hAnsi="FrankRuehl" w:cs="FrankRuehl"/>
          <w:b w:val="0"/>
          <w:bCs w:val="0"/>
          <w:u w:val="none"/>
          <w:rtl/>
        </w:rPr>
      </w:pPr>
    </w:p>
    <w:p w14:paraId="2F34802C" w14:textId="77777777" w:rsidR="00EE2D24" w:rsidRPr="00EE2D24" w:rsidRDefault="00EE2D24" w:rsidP="00EE2D24">
      <w:pPr>
        <w:pStyle w:val="12"/>
        <w:rPr>
          <w:b w:val="0"/>
          <w:bCs w:val="0"/>
          <w:sz w:val="6"/>
          <w:szCs w:val="6"/>
          <w:u w:val="none"/>
          <w:rtl/>
        </w:rPr>
      </w:pPr>
      <w:bookmarkStart w:id="4" w:name="LawTable_End"/>
      <w:bookmarkEnd w:id="4"/>
    </w:p>
    <w:p w14:paraId="0C25D14F" w14:textId="77777777" w:rsidR="00EE2D24" w:rsidRPr="00EE2D24" w:rsidRDefault="00EE2D24" w:rsidP="00EE2D24">
      <w:pPr>
        <w:pStyle w:val="12"/>
        <w:rPr>
          <w:b w:val="0"/>
          <w:bCs w:val="0"/>
          <w:sz w:val="6"/>
          <w:szCs w:val="6"/>
          <w:u w:val="none"/>
          <w:rtl/>
        </w:rPr>
      </w:pPr>
    </w:p>
    <w:p w14:paraId="21DB7574" w14:textId="77777777" w:rsidR="00894004" w:rsidRPr="00894004" w:rsidRDefault="004C0CA3" w:rsidP="00EE2D24">
      <w:pPr>
        <w:pStyle w:val="12"/>
        <w:rPr>
          <w:rFonts w:ascii="FrankRuehl" w:hAnsi="FrankRuehl" w:cs="FrankRuehl"/>
          <w:b w:val="0"/>
          <w:bCs w:val="0"/>
          <w:u w:val="none"/>
          <w:rtl/>
        </w:rPr>
      </w:pPr>
      <w:r w:rsidRPr="00EE2D24">
        <w:rPr>
          <w:b w:val="0"/>
          <w:bCs w:val="0"/>
          <w:sz w:val="6"/>
          <w:szCs w:val="6"/>
          <w:u w:val="none"/>
          <w:rtl/>
        </w:rPr>
        <w:t>&gt;</w:t>
      </w:r>
    </w:p>
    <w:p w14:paraId="7B35ADFE" w14:textId="77777777" w:rsidR="00894004" w:rsidRPr="00894004" w:rsidRDefault="00894004">
      <w:pPr>
        <w:pStyle w:val="12"/>
        <w:rPr>
          <w:b w:val="0"/>
          <w:bCs w:val="0"/>
          <w:sz w:val="6"/>
          <w:szCs w:val="6"/>
          <w:u w:val="none"/>
          <w:rtl/>
        </w:rPr>
      </w:pPr>
    </w:p>
    <w:p w14:paraId="5560D4B8" w14:textId="77777777" w:rsidR="00894004" w:rsidRPr="00894004" w:rsidRDefault="00894004">
      <w:pPr>
        <w:pStyle w:val="12"/>
        <w:rPr>
          <w:b w:val="0"/>
          <w:bCs w:val="0"/>
          <w:sz w:val="6"/>
          <w:szCs w:val="6"/>
          <w:u w:val="none"/>
          <w:rtl/>
        </w:rPr>
      </w:pPr>
    </w:p>
    <w:p w14:paraId="7ECD82F6" w14:textId="77777777" w:rsidR="00894004" w:rsidRDefault="00894004" w:rsidP="004C0CA3">
      <w:pPr>
        <w:pStyle w:val="David"/>
        <w:jc w:val="center"/>
        <w:rPr>
          <w:rFonts w:ascii="Arial" w:eastAsia="David" w:hAnsi="Arial" w:hint="cs"/>
          <w:b/>
          <w:bCs/>
          <w:sz w:val="36"/>
          <w:szCs w:val="36"/>
          <w:u w:val="single"/>
          <w:rtl/>
        </w:rPr>
      </w:pPr>
      <w:bookmarkStart w:id="5" w:name="PsakDin"/>
      <w:bookmarkEnd w:id="0"/>
    </w:p>
    <w:p w14:paraId="2D261BB1" w14:textId="77777777" w:rsidR="004C0CA3" w:rsidRPr="004C0CA3" w:rsidRDefault="004C0CA3" w:rsidP="004C0CA3">
      <w:pPr>
        <w:pStyle w:val="David"/>
        <w:jc w:val="center"/>
        <w:rPr>
          <w:rFonts w:ascii="Arial" w:eastAsia="David" w:hAnsi="Arial"/>
          <w:b/>
          <w:bCs/>
          <w:sz w:val="36"/>
          <w:szCs w:val="36"/>
          <w:u w:val="single"/>
          <w:rtl/>
        </w:rPr>
      </w:pPr>
      <w:r w:rsidRPr="004C0CA3">
        <w:rPr>
          <w:rFonts w:ascii="Arial" w:eastAsia="David" w:hAnsi="Arial"/>
          <w:b/>
          <w:bCs/>
          <w:sz w:val="36"/>
          <w:szCs w:val="36"/>
          <w:u w:val="single"/>
          <w:rtl/>
        </w:rPr>
        <w:t>גזר דין</w:t>
      </w:r>
    </w:p>
    <w:bookmarkEnd w:id="5"/>
    <w:p w14:paraId="2A0126C0" w14:textId="77777777" w:rsidR="0033404D" w:rsidRDefault="004C0CA3">
      <w:pPr>
        <w:pStyle w:val="David"/>
        <w:rPr>
          <w:rFonts w:ascii="Arial" w:hAnsi="Arial"/>
          <w:b/>
          <w:bCs/>
          <w:sz w:val="28"/>
          <w:szCs w:val="28"/>
          <w:rtl/>
        </w:rPr>
      </w:pPr>
      <w:r>
        <w:rPr>
          <w:rFonts w:hint="cs"/>
          <w:rtl/>
        </w:rPr>
        <w:t xml:space="preserve"> </w:t>
      </w:r>
    </w:p>
    <w:p w14:paraId="0938583D" w14:textId="77777777" w:rsidR="0033404D" w:rsidRDefault="004C0CA3">
      <w:pPr>
        <w:spacing w:line="360" w:lineRule="auto"/>
        <w:ind w:left="720" w:hanging="720"/>
        <w:jc w:val="both"/>
        <w:rPr>
          <w:rFonts w:ascii="Arial" w:hAnsi="Arial"/>
          <w:sz w:val="28"/>
          <w:szCs w:val="28"/>
          <w:rtl/>
        </w:rPr>
      </w:pPr>
      <w:r>
        <w:rPr>
          <w:rFonts w:ascii="Arial" w:hAnsi="Arial" w:hint="cs"/>
          <w:sz w:val="28"/>
          <w:szCs w:val="28"/>
          <w:rtl/>
        </w:rPr>
        <w:t>1.</w:t>
      </w:r>
      <w:r>
        <w:rPr>
          <w:rFonts w:ascii="Arial" w:hAnsi="Arial" w:hint="cs"/>
          <w:sz w:val="28"/>
          <w:szCs w:val="28"/>
          <w:rtl/>
        </w:rPr>
        <w:tab/>
      </w:r>
      <w:bookmarkStart w:id="6" w:name="ABSTRACT_START"/>
      <w:bookmarkEnd w:id="6"/>
      <w:r>
        <w:rPr>
          <w:rFonts w:ascii="Arial" w:hAnsi="Arial" w:hint="cs"/>
          <w:sz w:val="28"/>
          <w:szCs w:val="28"/>
          <w:rtl/>
        </w:rPr>
        <w:t xml:space="preserve">הנאשם הורשע על פי הודאתו בכתב אישום מתוקן בעבירה של החזקת סם שלא לצריכה עצמית, כאשר ביום 3.9.14 נתפסו ברכבו עטיפות שונות של סם מסוג חשיש: </w:t>
      </w:r>
    </w:p>
    <w:p w14:paraId="519DD062" w14:textId="77777777" w:rsidR="0033404D" w:rsidRDefault="004C0CA3">
      <w:pPr>
        <w:spacing w:line="360" w:lineRule="auto"/>
        <w:ind w:left="720"/>
        <w:rPr>
          <w:rFonts w:ascii="Arial" w:hAnsi="Arial"/>
          <w:sz w:val="28"/>
          <w:szCs w:val="28"/>
          <w:rtl/>
        </w:rPr>
      </w:pPr>
      <w:r>
        <w:rPr>
          <w:rFonts w:ascii="Arial" w:hAnsi="Arial" w:hint="cs"/>
          <w:sz w:val="28"/>
          <w:szCs w:val="28"/>
          <w:rtl/>
        </w:rPr>
        <w:t xml:space="preserve">חבילת חשיש, עטוף בבד, 965.52 גרם; </w:t>
      </w:r>
    </w:p>
    <w:p w14:paraId="2E503098" w14:textId="77777777" w:rsidR="0033404D" w:rsidRDefault="004C0CA3">
      <w:pPr>
        <w:spacing w:line="360" w:lineRule="auto"/>
        <w:ind w:left="720"/>
        <w:rPr>
          <w:rFonts w:ascii="Arial" w:hAnsi="Arial"/>
          <w:sz w:val="28"/>
          <w:szCs w:val="28"/>
          <w:rtl/>
        </w:rPr>
      </w:pPr>
      <w:r>
        <w:rPr>
          <w:rFonts w:ascii="Arial" w:hAnsi="Arial" w:hint="cs"/>
          <w:sz w:val="28"/>
          <w:szCs w:val="28"/>
          <w:rtl/>
        </w:rPr>
        <w:t xml:space="preserve">שקית ובה 2 פלטות במשקל 192.4 גרם נטו כל אחת; </w:t>
      </w:r>
    </w:p>
    <w:p w14:paraId="55650DC3" w14:textId="77777777" w:rsidR="0033404D" w:rsidRDefault="004C0CA3">
      <w:pPr>
        <w:spacing w:line="360" w:lineRule="auto"/>
        <w:ind w:left="720"/>
        <w:rPr>
          <w:rFonts w:ascii="Arial" w:hAnsi="Arial"/>
          <w:sz w:val="28"/>
          <w:szCs w:val="28"/>
          <w:rtl/>
        </w:rPr>
      </w:pPr>
      <w:r>
        <w:rPr>
          <w:rFonts w:ascii="Arial" w:hAnsi="Arial" w:hint="cs"/>
          <w:sz w:val="28"/>
          <w:szCs w:val="28"/>
          <w:rtl/>
        </w:rPr>
        <w:t xml:space="preserve">שקית עם חשיש, עטוף בבד במשקל 951.9 גרם נטו; </w:t>
      </w:r>
    </w:p>
    <w:p w14:paraId="20CDC3D0" w14:textId="77777777" w:rsidR="0033404D" w:rsidRDefault="004C0CA3">
      <w:pPr>
        <w:spacing w:line="360" w:lineRule="auto"/>
        <w:ind w:left="720"/>
        <w:rPr>
          <w:rFonts w:ascii="Arial" w:hAnsi="Arial"/>
          <w:sz w:val="28"/>
          <w:szCs w:val="28"/>
          <w:rtl/>
        </w:rPr>
      </w:pPr>
      <w:r>
        <w:rPr>
          <w:rFonts w:ascii="Arial" w:hAnsi="Arial" w:hint="cs"/>
          <w:sz w:val="28"/>
          <w:szCs w:val="28"/>
          <w:rtl/>
        </w:rPr>
        <w:t>שקית נוספת ובה 2 פלטות של חשיש במשקל 189.87 גרם נטו כל אחת;</w:t>
      </w:r>
    </w:p>
    <w:p w14:paraId="10DDD177" w14:textId="77777777" w:rsidR="0033404D" w:rsidRDefault="004C0CA3">
      <w:pPr>
        <w:spacing w:line="360" w:lineRule="auto"/>
        <w:ind w:left="720"/>
        <w:rPr>
          <w:rFonts w:ascii="Arial" w:hAnsi="Arial"/>
          <w:sz w:val="28"/>
          <w:szCs w:val="28"/>
          <w:rtl/>
        </w:rPr>
      </w:pPr>
      <w:r>
        <w:rPr>
          <w:rFonts w:ascii="Arial" w:hAnsi="Arial" w:hint="cs"/>
          <w:sz w:val="28"/>
          <w:szCs w:val="28"/>
          <w:rtl/>
        </w:rPr>
        <w:t>סך הכל החזיק הנאשם 2,299.69 גרם נטו.</w:t>
      </w:r>
    </w:p>
    <w:p w14:paraId="28B97FF9" w14:textId="77777777" w:rsidR="0033404D" w:rsidRDefault="0033404D">
      <w:pPr>
        <w:spacing w:line="360" w:lineRule="auto"/>
        <w:ind w:left="720"/>
        <w:rPr>
          <w:rFonts w:ascii="Arial" w:hAnsi="Arial"/>
          <w:sz w:val="28"/>
          <w:szCs w:val="28"/>
          <w:rtl/>
        </w:rPr>
      </w:pPr>
      <w:bookmarkStart w:id="7" w:name="ABSTRACT_END"/>
      <w:bookmarkEnd w:id="7"/>
    </w:p>
    <w:p w14:paraId="6F6F40B5" w14:textId="77777777" w:rsidR="0033404D" w:rsidRDefault="004C0CA3">
      <w:pPr>
        <w:spacing w:line="360" w:lineRule="auto"/>
        <w:ind w:left="720" w:hanging="720"/>
        <w:jc w:val="both"/>
        <w:rPr>
          <w:rFonts w:ascii="Times New Roman" w:hAnsi="Times New Roman"/>
          <w:noProof/>
          <w:sz w:val="28"/>
          <w:szCs w:val="28"/>
          <w:rtl/>
        </w:rPr>
      </w:pPr>
      <w:r>
        <w:rPr>
          <w:rFonts w:hint="cs"/>
          <w:noProof/>
          <w:sz w:val="28"/>
          <w:szCs w:val="28"/>
          <w:rtl/>
        </w:rPr>
        <w:t>2.</w:t>
      </w:r>
      <w:r>
        <w:rPr>
          <w:rFonts w:hint="cs"/>
          <w:noProof/>
          <w:sz w:val="28"/>
          <w:szCs w:val="28"/>
          <w:rtl/>
        </w:rPr>
        <w:tab/>
        <w:t xml:space="preserve">הצדדים הציגו הסדר טיעון חלקי, ללא הסכמות עונשיות, כאשר סוכם כי הנאשם ישלח לשירות מבחן לצורך קבלת תסקיר בעניינו, התביעה תטען לעונש </w:t>
      </w:r>
      <w:r>
        <w:rPr>
          <w:rFonts w:hint="cs"/>
          <w:noProof/>
          <w:sz w:val="28"/>
          <w:szCs w:val="28"/>
          <w:rtl/>
        </w:rPr>
        <w:lastRenderedPageBreak/>
        <w:t xml:space="preserve">של מאסר בפועל ולחילוט הרכב שבו נתפסו הסמים, ואילו ההגנה תוכל לטעון באופן חופשי. </w:t>
      </w:r>
    </w:p>
    <w:p w14:paraId="1A124403" w14:textId="77777777" w:rsidR="0033404D" w:rsidRDefault="0033404D">
      <w:pPr>
        <w:spacing w:line="360" w:lineRule="auto"/>
        <w:ind w:left="720" w:hanging="720"/>
        <w:jc w:val="both"/>
        <w:rPr>
          <w:noProof/>
          <w:sz w:val="28"/>
          <w:szCs w:val="28"/>
          <w:rtl/>
        </w:rPr>
      </w:pPr>
    </w:p>
    <w:p w14:paraId="49C7DC10" w14:textId="77777777" w:rsidR="0033404D" w:rsidRDefault="0033404D">
      <w:pPr>
        <w:spacing w:line="360" w:lineRule="auto"/>
        <w:ind w:left="720" w:hanging="720"/>
        <w:jc w:val="both"/>
        <w:rPr>
          <w:noProof/>
          <w:sz w:val="28"/>
          <w:szCs w:val="28"/>
          <w:rtl/>
        </w:rPr>
      </w:pPr>
    </w:p>
    <w:p w14:paraId="13523BC4" w14:textId="77777777" w:rsidR="0033404D" w:rsidRDefault="004C0CA3">
      <w:pPr>
        <w:spacing w:line="360" w:lineRule="auto"/>
        <w:ind w:left="720" w:hanging="720"/>
        <w:jc w:val="both"/>
        <w:rPr>
          <w:b/>
          <w:bCs/>
          <w:noProof/>
          <w:sz w:val="28"/>
          <w:szCs w:val="28"/>
          <w:u w:val="single"/>
          <w:rtl/>
        </w:rPr>
      </w:pPr>
      <w:r>
        <w:rPr>
          <w:rFonts w:hint="cs"/>
          <w:noProof/>
          <w:sz w:val="28"/>
          <w:szCs w:val="28"/>
          <w:rtl/>
        </w:rPr>
        <w:tab/>
      </w:r>
      <w:r>
        <w:rPr>
          <w:rFonts w:hint="cs"/>
          <w:b/>
          <w:bCs/>
          <w:noProof/>
          <w:sz w:val="28"/>
          <w:szCs w:val="28"/>
          <w:u w:val="single"/>
          <w:rtl/>
        </w:rPr>
        <w:t>תסקיר שירות המבחן</w:t>
      </w:r>
    </w:p>
    <w:p w14:paraId="54CB7B89" w14:textId="77777777" w:rsidR="0033404D" w:rsidRDefault="0033404D">
      <w:pPr>
        <w:spacing w:line="360" w:lineRule="auto"/>
        <w:ind w:left="720" w:hanging="720"/>
        <w:jc w:val="both"/>
        <w:rPr>
          <w:b/>
          <w:bCs/>
          <w:noProof/>
          <w:sz w:val="28"/>
          <w:szCs w:val="28"/>
          <w:u w:val="single"/>
          <w:rtl/>
        </w:rPr>
      </w:pPr>
    </w:p>
    <w:p w14:paraId="1D4F0C7D" w14:textId="77777777" w:rsidR="0033404D" w:rsidRDefault="004C0CA3">
      <w:pPr>
        <w:spacing w:line="360" w:lineRule="auto"/>
        <w:ind w:left="720" w:hanging="720"/>
        <w:jc w:val="both"/>
        <w:rPr>
          <w:noProof/>
          <w:sz w:val="28"/>
          <w:szCs w:val="28"/>
          <w:rtl/>
        </w:rPr>
      </w:pPr>
      <w:r>
        <w:rPr>
          <w:rFonts w:hint="cs"/>
          <w:noProof/>
          <w:sz w:val="28"/>
          <w:szCs w:val="28"/>
          <w:rtl/>
        </w:rPr>
        <w:t>3.</w:t>
      </w:r>
      <w:r>
        <w:rPr>
          <w:rFonts w:hint="cs"/>
          <w:noProof/>
          <w:sz w:val="28"/>
          <w:szCs w:val="28"/>
          <w:rtl/>
        </w:rPr>
        <w:tab/>
        <w:t xml:space="preserve">מהתסקיר שהתקבל עולה כי מדובר בנאשם יליד 1970, ללא עבר פלילי, נשוי לשתי נשים ואב ל- 14 ילדים, העובד כיום בעבודות גינון וחקלאות. </w:t>
      </w:r>
    </w:p>
    <w:p w14:paraId="7C9EE974" w14:textId="77777777" w:rsidR="0033404D" w:rsidRDefault="004C0CA3">
      <w:pPr>
        <w:spacing w:line="360" w:lineRule="auto"/>
        <w:ind w:left="720" w:hanging="720"/>
        <w:jc w:val="both"/>
        <w:rPr>
          <w:noProof/>
          <w:sz w:val="28"/>
          <w:szCs w:val="28"/>
          <w:rtl/>
        </w:rPr>
      </w:pPr>
      <w:r>
        <w:rPr>
          <w:rFonts w:hint="cs"/>
          <w:noProof/>
          <w:sz w:val="28"/>
          <w:szCs w:val="28"/>
          <w:rtl/>
        </w:rPr>
        <w:tab/>
        <w:t xml:space="preserve">התסקיר מפרט את הרקע האישי והמשפחתי של הנאשם, אשר בעקבותיו נאלץ לסיים רק שש שנות לימוד. </w:t>
      </w:r>
    </w:p>
    <w:p w14:paraId="776F035E" w14:textId="77777777" w:rsidR="0033404D" w:rsidRDefault="004C0CA3">
      <w:pPr>
        <w:spacing w:line="360" w:lineRule="auto"/>
        <w:ind w:left="720"/>
        <w:jc w:val="both"/>
        <w:rPr>
          <w:sz w:val="28"/>
          <w:szCs w:val="28"/>
          <w:rtl/>
        </w:rPr>
      </w:pPr>
      <w:r>
        <w:rPr>
          <w:rFonts w:hint="cs"/>
          <w:sz w:val="28"/>
          <w:szCs w:val="28"/>
          <w:rtl/>
        </w:rPr>
        <w:t xml:space="preserve">הנאשם סיפר לקצין המבחן כיצד הסתבך בביצוע העבירה, בלא שהיתה לו כוונה ממשית לכך, אך עם זאת הוא המשיך לבצע את העבירה גם כשגילה את תכולת "המטען" שהוא נושא. עם מעצרו ע"י השוטרים הודה הנאשם מיד וסיפר על מה שארע, הוא נעצר ולאחר זמן שוחרר בתנאי מעצר בית, בהם שהה למשך תקופה שבמהלכה הוקלו התנאים מעת לעת. </w:t>
      </w:r>
    </w:p>
    <w:p w14:paraId="78E133A4" w14:textId="77777777" w:rsidR="0033404D" w:rsidRDefault="004C0CA3">
      <w:pPr>
        <w:spacing w:line="360" w:lineRule="auto"/>
        <w:ind w:left="720"/>
        <w:jc w:val="both"/>
        <w:rPr>
          <w:sz w:val="28"/>
          <w:szCs w:val="28"/>
          <w:rtl/>
        </w:rPr>
      </w:pPr>
      <w:r>
        <w:rPr>
          <w:rFonts w:hint="cs"/>
          <w:sz w:val="28"/>
          <w:szCs w:val="28"/>
          <w:rtl/>
        </w:rPr>
        <w:t xml:space="preserve">קצין המבחן התרשם כי מדובר באדם בעל יציבות משפחתית ותעסוקתית, אשר  חש תחושת בושה על מעורבותו בעבירה ועל כך שסיבך בכך את משפחתו, ומצא כי נסיבותיו האישיות, תקופת מעצר הבית והעובדה שלא נפתחו תיקים נוספים מאז אותו אירוע, מהווים גורמי הרתעה. עם זאת ציין, כי אופי העבירה ואישיותו של הנאשם כמפורט בתסקיר, עלולים להוות גורמים מגבירי סיכון להישנות התנהגות דומה בעתיד. </w:t>
      </w:r>
    </w:p>
    <w:p w14:paraId="72871C93" w14:textId="77777777" w:rsidR="0033404D" w:rsidRDefault="004C0CA3">
      <w:pPr>
        <w:spacing w:line="360" w:lineRule="auto"/>
        <w:ind w:left="720"/>
        <w:jc w:val="both"/>
        <w:rPr>
          <w:sz w:val="28"/>
          <w:szCs w:val="28"/>
          <w:rtl/>
        </w:rPr>
      </w:pPr>
      <w:r>
        <w:rPr>
          <w:rFonts w:hint="cs"/>
          <w:sz w:val="28"/>
          <w:szCs w:val="28"/>
          <w:rtl/>
        </w:rPr>
        <w:t>בהתחשב בכלל הנסיבות שפורטו בתסקיר, כמו גם חוסר רצונו של הנאשם להמשיך בתהליך בשירות המבחן, הומלץ להטיל עליו מאסר מותנה וקנס כספי, תוך ציון כי מאסר בפועל עלול לעכב תהליכי שיקומו ולהוביל לרגרסיה בתפקודו.</w:t>
      </w:r>
    </w:p>
    <w:p w14:paraId="4460394D" w14:textId="77777777" w:rsidR="0033404D" w:rsidRDefault="0033404D">
      <w:pPr>
        <w:spacing w:line="360" w:lineRule="auto"/>
        <w:ind w:left="720"/>
        <w:jc w:val="both"/>
        <w:rPr>
          <w:sz w:val="28"/>
          <w:szCs w:val="28"/>
          <w:rtl/>
        </w:rPr>
      </w:pPr>
    </w:p>
    <w:p w14:paraId="3A83093A" w14:textId="77777777" w:rsidR="0033404D" w:rsidRDefault="004C0CA3">
      <w:pPr>
        <w:spacing w:line="360" w:lineRule="auto"/>
        <w:ind w:left="720"/>
        <w:jc w:val="both"/>
        <w:rPr>
          <w:b/>
          <w:bCs/>
          <w:sz w:val="28"/>
          <w:szCs w:val="28"/>
          <w:u w:val="single"/>
          <w:rtl/>
        </w:rPr>
      </w:pPr>
      <w:r>
        <w:rPr>
          <w:rFonts w:hint="cs"/>
          <w:b/>
          <w:bCs/>
          <w:sz w:val="28"/>
          <w:szCs w:val="28"/>
          <w:u w:val="single"/>
          <w:rtl/>
        </w:rPr>
        <w:t>טיעוני הצדדים</w:t>
      </w:r>
    </w:p>
    <w:p w14:paraId="5005D022" w14:textId="77777777" w:rsidR="0033404D" w:rsidRDefault="0033404D">
      <w:pPr>
        <w:spacing w:line="360" w:lineRule="auto"/>
        <w:ind w:left="720" w:hanging="720"/>
        <w:jc w:val="both"/>
        <w:rPr>
          <w:sz w:val="28"/>
          <w:szCs w:val="28"/>
          <w:rtl/>
        </w:rPr>
      </w:pPr>
    </w:p>
    <w:p w14:paraId="0A0E8EEF" w14:textId="77777777" w:rsidR="0033404D" w:rsidRDefault="004C0CA3">
      <w:pPr>
        <w:spacing w:line="360" w:lineRule="auto"/>
        <w:ind w:left="720" w:hanging="720"/>
        <w:jc w:val="both"/>
        <w:rPr>
          <w:sz w:val="28"/>
          <w:szCs w:val="28"/>
          <w:rtl/>
        </w:rPr>
      </w:pPr>
      <w:r>
        <w:rPr>
          <w:rFonts w:hint="cs"/>
          <w:sz w:val="28"/>
          <w:szCs w:val="28"/>
          <w:rtl/>
        </w:rPr>
        <w:t>4.</w:t>
      </w:r>
      <w:r>
        <w:rPr>
          <w:rFonts w:hint="cs"/>
          <w:sz w:val="28"/>
          <w:szCs w:val="28"/>
          <w:rtl/>
        </w:rPr>
        <w:tab/>
        <w:t xml:space="preserve">ב"כ המאשימה טענה כי כמות הסם שהחזיק הנאשם הינה כמות גדולה מאד, אשר היתה מחולקת ומוחזקת בצורות שונות, ולא ניתן להתעלם ממשקל הסם שנתפס ברשותו. </w:t>
      </w:r>
    </w:p>
    <w:p w14:paraId="6B8E0D7C" w14:textId="77777777" w:rsidR="0033404D" w:rsidRDefault="004C0CA3">
      <w:pPr>
        <w:spacing w:line="360" w:lineRule="auto"/>
        <w:ind w:left="720" w:hanging="720"/>
        <w:jc w:val="both"/>
        <w:rPr>
          <w:sz w:val="28"/>
          <w:szCs w:val="28"/>
          <w:rtl/>
        </w:rPr>
      </w:pPr>
      <w:r>
        <w:rPr>
          <w:rFonts w:hint="cs"/>
          <w:sz w:val="28"/>
          <w:szCs w:val="28"/>
          <w:rtl/>
        </w:rPr>
        <w:lastRenderedPageBreak/>
        <w:tab/>
        <w:t xml:space="preserve">עוד טענה, כי המלצת שירות המבחן לעונש הינה המלצה מקלה, הן בפני עצמה והן לאור העובדה שנמצאו אצל הנאשם גורמים מגבירי סיכון לביצוע עבירות, והוא לא הביע נכונות להליך טיפולי. </w:t>
      </w:r>
    </w:p>
    <w:p w14:paraId="43A843C2" w14:textId="77777777" w:rsidR="0033404D" w:rsidRDefault="004C0CA3">
      <w:pPr>
        <w:spacing w:line="360" w:lineRule="auto"/>
        <w:ind w:left="720"/>
        <w:jc w:val="both"/>
        <w:rPr>
          <w:sz w:val="28"/>
          <w:szCs w:val="28"/>
          <w:rtl/>
        </w:rPr>
      </w:pPr>
      <w:r>
        <w:rPr>
          <w:rFonts w:hint="cs"/>
          <w:sz w:val="28"/>
          <w:szCs w:val="28"/>
          <w:rtl/>
        </w:rPr>
        <w:t>לטענת ב"כ המאשימה, מתחם העונש הראוי הינו מאסר שנע בין 12 חודשים ועד 24 חודשי מאסר בפועל, וענישה נלווית בדמות מאסר על תנאי וקנס.</w:t>
      </w:r>
    </w:p>
    <w:p w14:paraId="293C511B" w14:textId="77777777" w:rsidR="0033404D" w:rsidRDefault="004C0CA3">
      <w:pPr>
        <w:spacing w:line="360" w:lineRule="auto"/>
        <w:ind w:left="720" w:hanging="720"/>
        <w:jc w:val="both"/>
        <w:rPr>
          <w:sz w:val="28"/>
          <w:szCs w:val="28"/>
          <w:rtl/>
        </w:rPr>
      </w:pPr>
      <w:r>
        <w:rPr>
          <w:rFonts w:hint="cs"/>
          <w:sz w:val="28"/>
          <w:szCs w:val="28"/>
          <w:rtl/>
        </w:rPr>
        <w:tab/>
        <w:t>ב"כ המאשימה הוסיפה וטענה, כי הנאשם נתפס נוהג ברכב אשר שימש לביצוע העבירה, ועל כן יש לחלט רכב זה. אומנם הרכב רשום ע"ש בנו של הנאשם, אולם בפועל הרכב שייך לו והוא נוהג בו מנהג בעלים, והדבר אף עולה מחקירה שנערכה לו, שבה הודה בבעלותו עליו והסביר כי הרישום ע"ש הבן נועד אך להצגה עובדתית בפני הרשויות (כגון לשכת התעסוקה).</w:t>
      </w:r>
    </w:p>
    <w:p w14:paraId="0A00344E" w14:textId="77777777" w:rsidR="0033404D" w:rsidRDefault="004C0CA3">
      <w:pPr>
        <w:spacing w:line="360" w:lineRule="auto"/>
        <w:ind w:left="720" w:hanging="720"/>
        <w:jc w:val="both"/>
        <w:rPr>
          <w:sz w:val="28"/>
          <w:szCs w:val="28"/>
          <w:rtl/>
        </w:rPr>
      </w:pPr>
      <w:r>
        <w:rPr>
          <w:rFonts w:hint="cs"/>
          <w:sz w:val="28"/>
          <w:szCs w:val="28"/>
          <w:rtl/>
        </w:rPr>
        <w:tab/>
      </w:r>
    </w:p>
    <w:p w14:paraId="44E3505B" w14:textId="77777777" w:rsidR="0033404D" w:rsidRDefault="004C0CA3">
      <w:pPr>
        <w:spacing w:line="360" w:lineRule="auto"/>
        <w:ind w:left="720" w:hanging="720"/>
        <w:jc w:val="both"/>
        <w:rPr>
          <w:sz w:val="28"/>
          <w:szCs w:val="28"/>
          <w:rtl/>
        </w:rPr>
      </w:pPr>
      <w:r>
        <w:rPr>
          <w:rFonts w:hint="cs"/>
          <w:sz w:val="28"/>
          <w:szCs w:val="28"/>
          <w:rtl/>
        </w:rPr>
        <w:t>5.</w:t>
      </w:r>
      <w:r>
        <w:rPr>
          <w:rFonts w:hint="cs"/>
          <w:sz w:val="28"/>
          <w:szCs w:val="28"/>
          <w:rtl/>
        </w:rPr>
        <w:tab/>
        <w:t xml:space="preserve">מנגד טען הסנגור, כי יש לבחון את מתחם הענישה על פי הפרמטרים הקבועים </w:t>
      </w:r>
      <w:hyperlink r:id="rId12" w:history="1">
        <w:r w:rsidR="00894004" w:rsidRPr="00894004">
          <w:rPr>
            <w:rStyle w:val="Hyperlink"/>
            <w:rFonts w:ascii="David" w:hAnsi="David" w:cs="David" w:hint="eastAsia"/>
            <w:sz w:val="28"/>
            <w:szCs w:val="28"/>
            <w:rtl/>
          </w:rPr>
          <w:t>בסעיף</w:t>
        </w:r>
        <w:r w:rsidR="00894004" w:rsidRPr="00894004">
          <w:rPr>
            <w:rStyle w:val="Hyperlink"/>
            <w:rFonts w:ascii="David" w:hAnsi="David" w:cs="David"/>
            <w:sz w:val="28"/>
            <w:szCs w:val="28"/>
            <w:rtl/>
          </w:rPr>
          <w:t xml:space="preserve"> 40ט' (א)</w:t>
        </w:r>
      </w:hyperlink>
      <w:r>
        <w:rPr>
          <w:rFonts w:hint="cs"/>
          <w:sz w:val="28"/>
          <w:szCs w:val="28"/>
          <w:rtl/>
        </w:rPr>
        <w:t xml:space="preserve"> ל</w:t>
      </w:r>
      <w:hyperlink r:id="rId13" w:history="1">
        <w:r w:rsidRPr="004C0CA3">
          <w:rPr>
            <w:color w:val="0000FF"/>
            <w:sz w:val="28"/>
            <w:szCs w:val="28"/>
            <w:u w:val="single"/>
            <w:rtl/>
          </w:rPr>
          <w:t>חוק העונשין</w:t>
        </w:r>
      </w:hyperlink>
      <w:r>
        <w:rPr>
          <w:rFonts w:hint="cs"/>
          <w:sz w:val="28"/>
          <w:szCs w:val="28"/>
          <w:rtl/>
        </w:rPr>
        <w:t xml:space="preserve">, כאשר הנאשם לא תיכנן את ביצוע העבירה, חלקו היה רק בהעברת הסם מאדם אחד לאחר ולא מעבר לכך, ובסופו של דבר הסם נתפס ולא נגרם נזק מביצוע העבירה. </w:t>
      </w:r>
    </w:p>
    <w:p w14:paraId="5F8E797D" w14:textId="77777777" w:rsidR="0033404D" w:rsidRDefault="004C0CA3">
      <w:pPr>
        <w:spacing w:line="360" w:lineRule="auto"/>
        <w:ind w:left="720" w:hanging="720"/>
        <w:jc w:val="both"/>
        <w:rPr>
          <w:sz w:val="28"/>
          <w:szCs w:val="28"/>
          <w:rtl/>
        </w:rPr>
      </w:pPr>
      <w:r>
        <w:rPr>
          <w:rFonts w:hint="cs"/>
          <w:sz w:val="28"/>
          <w:szCs w:val="28"/>
          <w:rtl/>
        </w:rPr>
        <w:tab/>
        <w:t xml:space="preserve">הסנגור ציין את הודית הנאשם, את החרטה שהביע ואת הצער על מעורבות בביצוע העבירה, והפנה גם לעונש שהוטל על מי ששלח את הנאשם – שלטענתו חלקו גדול הרבה יותר, והוא נדון לשישה חודשי מאסר ולהפעלת מאסר ותנה שהיה תלוי כנגדו, והכל בחופף לעונש מאסר אחר שריצה באותה עת </w:t>
      </w:r>
      <w:r>
        <w:rPr>
          <w:rFonts w:hint="cs"/>
          <w:rtl/>
        </w:rPr>
        <w:t>(נ/1)</w:t>
      </w:r>
      <w:r>
        <w:rPr>
          <w:rFonts w:hint="cs"/>
          <w:sz w:val="28"/>
          <w:szCs w:val="28"/>
          <w:rtl/>
        </w:rPr>
        <w:t>.</w:t>
      </w:r>
    </w:p>
    <w:p w14:paraId="77D7A6B8" w14:textId="77777777" w:rsidR="0033404D" w:rsidRDefault="004C0CA3">
      <w:pPr>
        <w:spacing w:line="360" w:lineRule="auto"/>
        <w:ind w:left="720" w:hanging="720"/>
        <w:jc w:val="both"/>
        <w:rPr>
          <w:sz w:val="28"/>
          <w:szCs w:val="28"/>
          <w:rtl/>
        </w:rPr>
      </w:pPr>
      <w:r>
        <w:rPr>
          <w:rFonts w:hint="cs"/>
          <w:sz w:val="28"/>
          <w:szCs w:val="28"/>
          <w:rtl/>
        </w:rPr>
        <w:tab/>
        <w:t>לטענת הסנגור, לא ניתן לגזור על נאשם זה עונש חמור מזה שנגזר על המעורב האחר שבגינו נגרר הנאשם לביצוע העבירה.</w:t>
      </w:r>
    </w:p>
    <w:p w14:paraId="2723D9C8" w14:textId="77777777" w:rsidR="0033404D" w:rsidRDefault="004C0CA3">
      <w:pPr>
        <w:spacing w:line="360" w:lineRule="auto"/>
        <w:ind w:left="720" w:hanging="720"/>
        <w:jc w:val="both"/>
        <w:rPr>
          <w:sz w:val="28"/>
          <w:szCs w:val="28"/>
          <w:rtl/>
        </w:rPr>
      </w:pPr>
      <w:r>
        <w:rPr>
          <w:rFonts w:hint="cs"/>
          <w:sz w:val="28"/>
          <w:szCs w:val="28"/>
          <w:rtl/>
        </w:rPr>
        <w:tab/>
        <w:t>הסנגור הוסיף וטען, כי התסקיר שהתקבל אודות הנאשם הינו תסקיר חיובי, ובהחלט ניתן לראות כי הנאשם אדם נורמטיבי, ללא עבר, אשר היה במעצר ממשי במשך כחודשיים, ואח"כ כששוחרר שמר על כל התנאים שהוטלו עליו ללא דופי, וכיום הוא אף מוכן לפיקוח שירות המבחן אם יהיה בכך צורך.</w:t>
      </w:r>
    </w:p>
    <w:p w14:paraId="256687BA" w14:textId="77777777" w:rsidR="0033404D" w:rsidRDefault="004C0CA3">
      <w:pPr>
        <w:spacing w:line="360" w:lineRule="auto"/>
        <w:ind w:left="720" w:hanging="720"/>
        <w:jc w:val="both"/>
        <w:rPr>
          <w:sz w:val="28"/>
          <w:szCs w:val="28"/>
          <w:rtl/>
        </w:rPr>
      </w:pPr>
      <w:r>
        <w:rPr>
          <w:rFonts w:hint="cs"/>
          <w:sz w:val="28"/>
          <w:szCs w:val="28"/>
          <w:rtl/>
        </w:rPr>
        <w:tab/>
        <w:t>לטענת הסנגור, מתחם העונש הראוי מתחיל במספר חודשי מאסר בפועל אותם ניתן לרצות גם בדרך של עבודות שירות.</w:t>
      </w:r>
    </w:p>
    <w:p w14:paraId="6971BBA4" w14:textId="77777777" w:rsidR="0033404D" w:rsidRDefault="004C0CA3">
      <w:pPr>
        <w:spacing w:line="360" w:lineRule="auto"/>
        <w:ind w:left="720" w:hanging="720"/>
        <w:jc w:val="both"/>
        <w:rPr>
          <w:sz w:val="28"/>
          <w:szCs w:val="28"/>
          <w:rtl/>
        </w:rPr>
      </w:pPr>
      <w:r>
        <w:rPr>
          <w:rFonts w:hint="cs"/>
          <w:sz w:val="28"/>
          <w:szCs w:val="28"/>
          <w:rtl/>
        </w:rPr>
        <w:tab/>
      </w:r>
      <w:r>
        <w:rPr>
          <w:rFonts w:hint="cs"/>
          <w:sz w:val="28"/>
          <w:szCs w:val="28"/>
          <w:u w:val="single"/>
          <w:rtl/>
        </w:rPr>
        <w:t>לעניין החילוט</w:t>
      </w:r>
      <w:r>
        <w:rPr>
          <w:rFonts w:hint="cs"/>
          <w:sz w:val="28"/>
          <w:szCs w:val="28"/>
          <w:rtl/>
        </w:rPr>
        <w:t xml:space="preserve"> טען הסנגור, כי הרכב רשום ע"ש הבן, והנאשם לקח על עצמו את האחריות משום שלא רצה לסבך את בנו. </w:t>
      </w:r>
    </w:p>
    <w:p w14:paraId="4B3870F2" w14:textId="77777777" w:rsidR="0033404D" w:rsidRDefault="004C0CA3">
      <w:pPr>
        <w:spacing w:line="360" w:lineRule="auto"/>
        <w:ind w:left="720" w:hanging="720"/>
        <w:jc w:val="both"/>
        <w:rPr>
          <w:sz w:val="28"/>
          <w:szCs w:val="28"/>
          <w:rtl/>
        </w:rPr>
      </w:pPr>
      <w:r>
        <w:rPr>
          <w:rFonts w:hint="cs"/>
          <w:sz w:val="28"/>
          <w:szCs w:val="28"/>
          <w:rtl/>
        </w:rPr>
        <w:tab/>
        <w:t>בנסיבות אלה עול ההוכחה בדבר הבעלות מוטל על התביעה, ועליה להוכיח כי הרכב אכן שייך לנאשם, וזאת לא נעשה.</w:t>
      </w:r>
    </w:p>
    <w:p w14:paraId="4F51E31B" w14:textId="77777777" w:rsidR="0033404D" w:rsidRDefault="004C0CA3">
      <w:pPr>
        <w:spacing w:line="360" w:lineRule="auto"/>
        <w:ind w:left="720" w:hanging="720"/>
        <w:jc w:val="both"/>
        <w:rPr>
          <w:sz w:val="28"/>
          <w:szCs w:val="28"/>
          <w:rtl/>
        </w:rPr>
      </w:pPr>
      <w:r>
        <w:rPr>
          <w:rFonts w:hint="cs"/>
          <w:sz w:val="28"/>
          <w:szCs w:val="28"/>
          <w:rtl/>
        </w:rPr>
        <w:tab/>
        <w:t>עוד טען הסנגור כי נוכח טיב העבירה, לא ראוי לחלט את הרכב וניתן להסתפק בעונש של קנס.</w:t>
      </w:r>
    </w:p>
    <w:p w14:paraId="138271EE" w14:textId="77777777" w:rsidR="0033404D" w:rsidRDefault="0033404D">
      <w:pPr>
        <w:spacing w:line="360" w:lineRule="auto"/>
        <w:ind w:left="720" w:hanging="720"/>
        <w:jc w:val="both"/>
        <w:rPr>
          <w:sz w:val="28"/>
          <w:szCs w:val="28"/>
          <w:rtl/>
        </w:rPr>
      </w:pPr>
    </w:p>
    <w:p w14:paraId="0E597940" w14:textId="77777777" w:rsidR="0033404D" w:rsidRDefault="004C0CA3">
      <w:pPr>
        <w:spacing w:line="360" w:lineRule="auto"/>
        <w:ind w:left="720" w:hanging="720"/>
        <w:jc w:val="both"/>
        <w:rPr>
          <w:b/>
          <w:bCs/>
          <w:sz w:val="28"/>
          <w:szCs w:val="28"/>
          <w:u w:val="single"/>
          <w:rtl/>
        </w:rPr>
      </w:pPr>
      <w:r>
        <w:rPr>
          <w:rFonts w:hint="cs"/>
          <w:sz w:val="28"/>
          <w:szCs w:val="28"/>
          <w:rtl/>
        </w:rPr>
        <w:tab/>
      </w:r>
      <w:r>
        <w:rPr>
          <w:rFonts w:hint="cs"/>
          <w:b/>
          <w:bCs/>
          <w:sz w:val="28"/>
          <w:szCs w:val="28"/>
          <w:u w:val="single"/>
          <w:rtl/>
        </w:rPr>
        <w:t>מתחם העונש ההולם לעבירה</w:t>
      </w:r>
    </w:p>
    <w:p w14:paraId="198D5229" w14:textId="77777777" w:rsidR="0033404D" w:rsidRDefault="0033404D">
      <w:pPr>
        <w:spacing w:line="360" w:lineRule="auto"/>
        <w:ind w:left="720" w:hanging="720"/>
        <w:jc w:val="both"/>
        <w:rPr>
          <w:sz w:val="28"/>
          <w:szCs w:val="28"/>
          <w:rtl/>
        </w:rPr>
      </w:pPr>
    </w:p>
    <w:p w14:paraId="5D95B46D" w14:textId="77777777" w:rsidR="0033404D" w:rsidRDefault="004C0CA3">
      <w:pPr>
        <w:pStyle w:val="a"/>
        <w:numPr>
          <w:ilvl w:val="0"/>
          <w:numId w:val="0"/>
        </w:numPr>
        <w:tabs>
          <w:tab w:val="left" w:pos="720"/>
        </w:tabs>
        <w:spacing w:after="0"/>
        <w:ind w:left="720" w:hanging="720"/>
        <w:jc w:val="both"/>
        <w:rPr>
          <w:sz w:val="28"/>
          <w:szCs w:val="28"/>
          <w:rtl/>
        </w:rPr>
      </w:pPr>
      <w:r>
        <w:rPr>
          <w:rFonts w:hint="cs"/>
          <w:sz w:val="28"/>
          <w:szCs w:val="28"/>
          <w:rtl/>
        </w:rPr>
        <w:t>6.</w:t>
      </w:r>
      <w:r>
        <w:rPr>
          <w:rFonts w:hint="cs"/>
          <w:sz w:val="28"/>
          <w:szCs w:val="28"/>
          <w:rtl/>
        </w:rPr>
        <w:tab/>
        <w:t xml:space="preserve">הנאשם הודה בעבירה של החזקת סם, שיש בה משום פגיעה בערך של הגנה על שלום הציבור מפני פגיעתם הקשה של סמים מסוכנים, והנסיבות אינן קלות, לאור כמות הסם שנתפסה, חלוקתה לעטיפות שונות ומשקלה הכולל - </w:t>
      </w:r>
      <w:r>
        <w:rPr>
          <w:rFonts w:ascii="Arial" w:hAnsi="Arial" w:hint="cs"/>
          <w:sz w:val="28"/>
          <w:szCs w:val="28"/>
          <w:rtl/>
        </w:rPr>
        <w:t xml:space="preserve">2,299.69 גרם </w:t>
      </w:r>
      <w:r>
        <w:rPr>
          <w:rFonts w:hint="cs"/>
          <w:sz w:val="28"/>
          <w:szCs w:val="28"/>
          <w:rtl/>
        </w:rPr>
        <w:t>נטו.</w:t>
      </w:r>
    </w:p>
    <w:p w14:paraId="5337A904" w14:textId="77777777" w:rsidR="0033404D" w:rsidRDefault="004C0CA3">
      <w:pPr>
        <w:pStyle w:val="a"/>
        <w:numPr>
          <w:ilvl w:val="0"/>
          <w:numId w:val="0"/>
        </w:numPr>
        <w:tabs>
          <w:tab w:val="left" w:pos="720"/>
        </w:tabs>
        <w:spacing w:after="0"/>
        <w:ind w:left="720"/>
        <w:jc w:val="both"/>
        <w:rPr>
          <w:sz w:val="28"/>
          <w:szCs w:val="28"/>
          <w:rtl/>
        </w:rPr>
      </w:pPr>
      <w:r>
        <w:rPr>
          <w:rFonts w:hint="cs"/>
          <w:sz w:val="28"/>
          <w:szCs w:val="28"/>
          <w:rtl/>
        </w:rPr>
        <w:t>בחינת מדיניות הענישה הנוהגת מעלה, כי במקרים דומים הוטלו על נאשמים עונשים במתחם שנע בין מספר חודשי מאסר בודדים שניתן לרצות בעבודות שירות ועד תקופות מאסר ממושכות יותר, כמפורט להלן:</w:t>
      </w:r>
    </w:p>
    <w:p w14:paraId="195BDC1E" w14:textId="77777777" w:rsidR="0033404D" w:rsidRDefault="0033404D">
      <w:pPr>
        <w:pStyle w:val="a"/>
        <w:numPr>
          <w:ilvl w:val="0"/>
          <w:numId w:val="0"/>
        </w:numPr>
        <w:tabs>
          <w:tab w:val="left" w:pos="720"/>
        </w:tabs>
        <w:spacing w:after="0"/>
        <w:ind w:left="720"/>
        <w:jc w:val="both"/>
        <w:rPr>
          <w:sz w:val="28"/>
          <w:szCs w:val="28"/>
          <w:rtl/>
        </w:rPr>
      </w:pPr>
    </w:p>
    <w:p w14:paraId="74182052" w14:textId="77777777" w:rsidR="0033404D" w:rsidRDefault="004C0CA3">
      <w:pPr>
        <w:pStyle w:val="a"/>
        <w:numPr>
          <w:ilvl w:val="0"/>
          <w:numId w:val="0"/>
        </w:numPr>
        <w:tabs>
          <w:tab w:val="left" w:pos="720"/>
        </w:tabs>
        <w:spacing w:after="0"/>
        <w:ind w:left="1440" w:hanging="720"/>
        <w:jc w:val="both"/>
        <w:rPr>
          <w:rFonts w:ascii="Calibri" w:hAnsi="Calibri"/>
          <w:sz w:val="28"/>
          <w:szCs w:val="28"/>
          <w:rtl/>
        </w:rPr>
      </w:pPr>
      <w:r>
        <w:rPr>
          <w:rFonts w:hint="cs"/>
          <w:color w:val="auto"/>
          <w:sz w:val="28"/>
          <w:szCs w:val="28"/>
          <w:rtl/>
        </w:rPr>
        <w:t>א.</w:t>
      </w:r>
      <w:r>
        <w:rPr>
          <w:rFonts w:hint="cs"/>
          <w:color w:val="auto"/>
          <w:sz w:val="28"/>
          <w:szCs w:val="28"/>
          <w:rtl/>
        </w:rPr>
        <w:tab/>
      </w:r>
      <w:hyperlink r:id="rId14" w:history="1">
        <w:r w:rsidRPr="004C0CA3">
          <w:rPr>
            <w:rFonts w:ascii="Times New Roman" w:hAnsi="Times New Roman" w:cs="Times New Roman"/>
            <w:color w:val="0000FF"/>
            <w:sz w:val="28"/>
            <w:szCs w:val="28"/>
            <w:u w:val="single"/>
            <w:rtl/>
          </w:rPr>
          <w:t>ת"פ (ראשל"צ) 19158-06-11</w:t>
        </w:r>
      </w:hyperlink>
      <w:r>
        <w:rPr>
          <w:rFonts w:hint="cs"/>
          <w:color w:val="auto"/>
          <w:sz w:val="28"/>
          <w:szCs w:val="28"/>
          <w:rtl/>
        </w:rPr>
        <w:t xml:space="preserve"> מדינת ישראל נ' ברנס (17.9.11), הורשע הנאשם 2 במסגרת הסדר טיעון בביצוע עבירה של החזקת סם מסוכן שלא לצריכה עצמית, כאשר החזיק סם מסוכן מסוג חשיש במשקל של 2,357 גרם, כשהוא מחולק ל-24 פלטות. על הנאשם הוטלו 5 חודשי מאסר בפועל;</w:t>
      </w:r>
    </w:p>
    <w:p w14:paraId="5C9CD72F" w14:textId="77777777" w:rsidR="0033404D" w:rsidRDefault="0033404D">
      <w:pPr>
        <w:pStyle w:val="a"/>
        <w:numPr>
          <w:ilvl w:val="0"/>
          <w:numId w:val="0"/>
        </w:numPr>
        <w:tabs>
          <w:tab w:val="left" w:pos="720"/>
        </w:tabs>
        <w:spacing w:after="0"/>
        <w:ind w:left="1440" w:hanging="720"/>
        <w:jc w:val="both"/>
        <w:rPr>
          <w:rFonts w:ascii="Calibri" w:hAnsi="Calibri"/>
          <w:sz w:val="28"/>
          <w:szCs w:val="28"/>
          <w:rtl/>
        </w:rPr>
      </w:pPr>
    </w:p>
    <w:p w14:paraId="07F80769" w14:textId="77777777" w:rsidR="0033404D" w:rsidRDefault="004C0CA3">
      <w:pPr>
        <w:pStyle w:val="a"/>
        <w:numPr>
          <w:ilvl w:val="0"/>
          <w:numId w:val="0"/>
        </w:numPr>
        <w:tabs>
          <w:tab w:val="left" w:pos="720"/>
        </w:tabs>
        <w:spacing w:after="0"/>
        <w:ind w:left="1440" w:hanging="720"/>
        <w:jc w:val="both"/>
        <w:rPr>
          <w:rStyle w:val="default"/>
          <w:sz w:val="28"/>
          <w:szCs w:val="28"/>
          <w:rtl/>
        </w:rPr>
      </w:pPr>
      <w:r>
        <w:rPr>
          <w:rFonts w:ascii="Calibri" w:hAnsi="Calibri" w:hint="cs"/>
          <w:sz w:val="28"/>
          <w:szCs w:val="28"/>
          <w:rtl/>
        </w:rPr>
        <w:t>ב.</w:t>
      </w:r>
      <w:r>
        <w:rPr>
          <w:rFonts w:ascii="Calibri" w:hAnsi="Calibri" w:hint="cs"/>
          <w:sz w:val="28"/>
          <w:szCs w:val="28"/>
          <w:rtl/>
        </w:rPr>
        <w:tab/>
      </w:r>
      <w:r>
        <w:rPr>
          <w:rFonts w:hint="cs"/>
          <w:sz w:val="28"/>
          <w:szCs w:val="28"/>
        </w:rPr>
        <w:t xml:space="preserve"> </w:t>
      </w:r>
      <w:hyperlink r:id="rId15" w:history="1">
        <w:r w:rsidRPr="004C0CA3">
          <w:rPr>
            <w:rStyle w:val="default"/>
            <w:color w:val="0000FF"/>
            <w:sz w:val="28"/>
            <w:szCs w:val="28"/>
            <w:u w:val="single"/>
            <w:rtl/>
          </w:rPr>
          <w:t>עפ"ג (מח' ת"א) 730-05-10</w:t>
        </w:r>
      </w:hyperlink>
      <w:r>
        <w:rPr>
          <w:rStyle w:val="default"/>
          <w:rFonts w:hint="cs"/>
          <w:sz w:val="28"/>
          <w:szCs w:val="28"/>
          <w:rtl/>
        </w:rPr>
        <w:t xml:space="preserve"> אלוני נ' מדינת ישראל (20.6.11), התקבל ערעורו של נאשם אשר הורשע בהחזקת סמים שלא לצריכה עצמית, לאחר שנמצא במונית שבחזקתו 20 סוליות חשיש במשקל נטו של 1,885 גרם.</w:t>
      </w:r>
    </w:p>
    <w:p w14:paraId="5140F8BF" w14:textId="77777777" w:rsidR="0033404D" w:rsidRDefault="004C0CA3">
      <w:pPr>
        <w:pStyle w:val="a"/>
        <w:numPr>
          <w:ilvl w:val="0"/>
          <w:numId w:val="0"/>
        </w:numPr>
        <w:tabs>
          <w:tab w:val="left" w:pos="720"/>
        </w:tabs>
        <w:spacing w:after="0"/>
        <w:ind w:left="1440" w:hanging="720"/>
        <w:jc w:val="both"/>
        <w:rPr>
          <w:rStyle w:val="default"/>
          <w:sz w:val="28"/>
          <w:szCs w:val="28"/>
          <w:rtl/>
        </w:rPr>
      </w:pPr>
      <w:r>
        <w:rPr>
          <w:rStyle w:val="default"/>
          <w:sz w:val="28"/>
          <w:szCs w:val="28"/>
          <w:rtl/>
        </w:rPr>
        <w:tab/>
      </w:r>
      <w:r>
        <w:rPr>
          <w:rStyle w:val="default"/>
          <w:rFonts w:hint="cs"/>
          <w:sz w:val="28"/>
          <w:szCs w:val="28"/>
          <w:rtl/>
        </w:rPr>
        <w:t xml:space="preserve">בית המשפט השלום הטיל על הנאשם 9 חודשי מאסר. הנאשם נעדר עבר פלילי ובעל נסיבות חיים מיוחדות.  בית המשפט המחוזי קיבל  את הערעור והעמיד את עונשו של הנאשם על 6 חודשי עבודות שירות; </w:t>
      </w:r>
    </w:p>
    <w:p w14:paraId="44939AAB" w14:textId="77777777" w:rsidR="0033404D" w:rsidRDefault="0033404D">
      <w:pPr>
        <w:pStyle w:val="a"/>
        <w:numPr>
          <w:ilvl w:val="0"/>
          <w:numId w:val="0"/>
        </w:numPr>
        <w:tabs>
          <w:tab w:val="left" w:pos="720"/>
        </w:tabs>
        <w:spacing w:after="0"/>
        <w:ind w:left="1440" w:hanging="720"/>
        <w:jc w:val="both"/>
        <w:rPr>
          <w:rStyle w:val="default"/>
          <w:sz w:val="28"/>
        </w:rPr>
      </w:pPr>
    </w:p>
    <w:p w14:paraId="6DA15F72" w14:textId="77777777" w:rsidR="0033404D" w:rsidRDefault="004C0CA3">
      <w:pPr>
        <w:pStyle w:val="a"/>
        <w:numPr>
          <w:ilvl w:val="0"/>
          <w:numId w:val="0"/>
        </w:numPr>
        <w:tabs>
          <w:tab w:val="left" w:pos="720"/>
        </w:tabs>
        <w:spacing w:after="0"/>
        <w:ind w:left="1440" w:hanging="720"/>
        <w:jc w:val="both"/>
        <w:rPr>
          <w:rtl/>
        </w:rPr>
      </w:pPr>
      <w:r>
        <w:rPr>
          <w:rStyle w:val="default"/>
          <w:rFonts w:hint="cs"/>
          <w:sz w:val="28"/>
          <w:szCs w:val="28"/>
          <w:rtl/>
        </w:rPr>
        <w:t>ג.</w:t>
      </w:r>
      <w:r>
        <w:rPr>
          <w:rStyle w:val="default"/>
          <w:rFonts w:hint="cs"/>
          <w:sz w:val="28"/>
          <w:szCs w:val="28"/>
          <w:rtl/>
        </w:rPr>
        <w:tab/>
      </w:r>
      <w:hyperlink r:id="rId16" w:history="1">
        <w:r w:rsidRPr="004C0CA3">
          <w:rPr>
            <w:color w:val="0000FF"/>
            <w:sz w:val="28"/>
            <w:szCs w:val="28"/>
            <w:u w:val="single"/>
            <w:rtl/>
          </w:rPr>
          <w:t>ת"פ 33804-01-12</w:t>
        </w:r>
      </w:hyperlink>
      <w:r>
        <w:rPr>
          <w:rFonts w:hint="cs"/>
          <w:sz w:val="28"/>
          <w:szCs w:val="28"/>
          <w:rtl/>
        </w:rPr>
        <w:t xml:space="preserve"> מ"י נ' עזרן ואח' (13.11.12) בית המשפט קבע מתחם עונש בגין עבירה בודדת של החזקת סם מסוכן שלא לצריכה עצמית הנע בין 9-18 חודשי מאסר בפועל. במקרה זה דובר בנאשם שהורשע בתשעה אישומים בגין עבירות סמים, ובהם אישום בגין עבירה של החזקת סם מסוכן שלא לצריכה עצמית, שכולל 11 פלטות של חשיש במשקל 500 גרם נטו.</w:t>
      </w:r>
    </w:p>
    <w:p w14:paraId="62D783A2" w14:textId="77777777" w:rsidR="0033404D" w:rsidRDefault="0033404D">
      <w:pPr>
        <w:pStyle w:val="a"/>
        <w:numPr>
          <w:ilvl w:val="0"/>
          <w:numId w:val="0"/>
        </w:numPr>
        <w:tabs>
          <w:tab w:val="left" w:pos="720"/>
        </w:tabs>
        <w:spacing w:after="0"/>
        <w:ind w:left="1440" w:hanging="720"/>
        <w:jc w:val="both"/>
        <w:rPr>
          <w:sz w:val="28"/>
          <w:szCs w:val="28"/>
          <w:rtl/>
        </w:rPr>
      </w:pPr>
    </w:p>
    <w:p w14:paraId="00E1DB5C" w14:textId="77777777" w:rsidR="0033404D" w:rsidRDefault="004C0CA3">
      <w:pPr>
        <w:pStyle w:val="a"/>
        <w:numPr>
          <w:ilvl w:val="0"/>
          <w:numId w:val="0"/>
        </w:numPr>
        <w:tabs>
          <w:tab w:val="left" w:pos="720"/>
        </w:tabs>
        <w:spacing w:after="0"/>
        <w:ind w:left="1440" w:hanging="720"/>
        <w:jc w:val="both"/>
        <w:rPr>
          <w:sz w:val="28"/>
          <w:szCs w:val="28"/>
          <w:rtl/>
        </w:rPr>
      </w:pPr>
      <w:r>
        <w:rPr>
          <w:rFonts w:hint="cs"/>
          <w:sz w:val="28"/>
          <w:szCs w:val="28"/>
          <w:rtl/>
        </w:rPr>
        <w:t>ד.</w:t>
      </w:r>
      <w:r>
        <w:rPr>
          <w:rFonts w:hint="cs"/>
          <w:sz w:val="28"/>
          <w:szCs w:val="28"/>
          <w:rtl/>
        </w:rPr>
        <w:tab/>
      </w:r>
      <w:hyperlink r:id="rId17" w:history="1">
        <w:r w:rsidRPr="004C0CA3">
          <w:rPr>
            <w:color w:val="0000FF"/>
            <w:sz w:val="28"/>
            <w:szCs w:val="28"/>
            <w:u w:val="single"/>
            <w:rtl/>
          </w:rPr>
          <w:t>ת"פ 18510-10-14</w:t>
        </w:r>
      </w:hyperlink>
      <w:r>
        <w:rPr>
          <w:rFonts w:hint="cs"/>
          <w:sz w:val="28"/>
          <w:szCs w:val="28"/>
          <w:rtl/>
        </w:rPr>
        <w:t xml:space="preserve"> מ"י נ' אחמד (3.3.15) בית המשפט המחוזי קבע מתחם עונש לעבירה של החזקת סם שלא לצריכה עצמית שנע בין מאסר בעבודות שירות ועד שנת מאסר בפועל. במקרה זה דובר על נאשם שהורשע בעבירות של החזקת נשק והחזקת סם שלא לצריכה עצמית – מסוג חשיש, במשקל 475 גרם כשהוא מחולק ל-5 פלטות, וכן כמות נוספת במשקל 77 גרם. </w:t>
      </w:r>
    </w:p>
    <w:p w14:paraId="73A91569" w14:textId="77777777" w:rsidR="0033404D" w:rsidRDefault="0033404D">
      <w:pPr>
        <w:pStyle w:val="a"/>
        <w:numPr>
          <w:ilvl w:val="0"/>
          <w:numId w:val="0"/>
        </w:numPr>
        <w:tabs>
          <w:tab w:val="left" w:pos="720"/>
        </w:tabs>
        <w:spacing w:after="0"/>
        <w:ind w:left="1440" w:hanging="720"/>
        <w:jc w:val="both"/>
        <w:rPr>
          <w:sz w:val="28"/>
          <w:szCs w:val="28"/>
          <w:rtl/>
        </w:rPr>
      </w:pPr>
    </w:p>
    <w:p w14:paraId="38A757CE" w14:textId="77777777" w:rsidR="0033404D" w:rsidRDefault="004C0CA3">
      <w:pPr>
        <w:pStyle w:val="a"/>
        <w:numPr>
          <w:ilvl w:val="0"/>
          <w:numId w:val="0"/>
        </w:numPr>
        <w:tabs>
          <w:tab w:val="left" w:pos="720"/>
        </w:tabs>
        <w:spacing w:after="0"/>
        <w:ind w:left="1440" w:hanging="720"/>
        <w:jc w:val="both"/>
        <w:rPr>
          <w:sz w:val="28"/>
          <w:szCs w:val="28"/>
          <w:rtl/>
        </w:rPr>
      </w:pPr>
      <w:r>
        <w:rPr>
          <w:rFonts w:hint="cs"/>
          <w:sz w:val="28"/>
          <w:szCs w:val="28"/>
          <w:rtl/>
        </w:rPr>
        <w:t>ה.</w:t>
      </w:r>
      <w:r>
        <w:rPr>
          <w:rFonts w:hint="cs"/>
          <w:sz w:val="28"/>
          <w:szCs w:val="28"/>
          <w:rtl/>
        </w:rPr>
        <w:tab/>
        <w:t xml:space="preserve">עפ"ג 46575-03-15 מ"י נ' זרביסקי (1.6.15) בית המשפט המחוזי קבע מתחם עונש לעבירה של החזקת סם שלא לצריכה עצמית שנע בין 6 עד 12 חודשי מאסר. במקרה זה דובר על נאשם שהורשע ב-3 אישומים בגין עבירות סמים, ובהם אישום בגין עבירה של החזקת כלים להכנת סם והחזקת סם שלא לצריכה עצמית, שכולל מספר קופסאות של קנאבוס במשקל 310 גרם ו- 2 שקיות של הרואין במשקל 1,127 גרם. </w:t>
      </w:r>
    </w:p>
    <w:p w14:paraId="06E04631" w14:textId="77777777" w:rsidR="0033404D" w:rsidRDefault="0033404D">
      <w:pPr>
        <w:pStyle w:val="a"/>
        <w:numPr>
          <w:ilvl w:val="0"/>
          <w:numId w:val="0"/>
        </w:numPr>
        <w:tabs>
          <w:tab w:val="left" w:pos="720"/>
        </w:tabs>
        <w:spacing w:after="0"/>
        <w:ind w:left="720"/>
        <w:jc w:val="both"/>
        <w:rPr>
          <w:sz w:val="28"/>
          <w:szCs w:val="28"/>
          <w:rtl/>
        </w:rPr>
      </w:pPr>
    </w:p>
    <w:p w14:paraId="64F17CCC" w14:textId="77777777" w:rsidR="0033404D" w:rsidRDefault="004C0CA3">
      <w:pPr>
        <w:pStyle w:val="a"/>
        <w:numPr>
          <w:ilvl w:val="0"/>
          <w:numId w:val="0"/>
        </w:numPr>
        <w:tabs>
          <w:tab w:val="left" w:pos="720"/>
        </w:tabs>
        <w:spacing w:after="0"/>
        <w:ind w:left="720"/>
        <w:jc w:val="both"/>
        <w:rPr>
          <w:sz w:val="28"/>
          <w:szCs w:val="28"/>
          <w:rtl/>
        </w:rPr>
      </w:pPr>
      <w:r>
        <w:rPr>
          <w:rFonts w:hint="cs"/>
          <w:sz w:val="28"/>
          <w:szCs w:val="28"/>
          <w:rtl/>
        </w:rPr>
        <w:t>סקירת הפסיקה כאמור מלמדת על ענישה מגוונת, ולטעמי כאשר מדובר בסם מסוג חשיש, שנתפס באריזות שונות, מתחם העונש ההולם יהיה בין תקופת מאסר של 6 חודשים ועד מאסר בפועל לתקופה של 15 חודשים.</w:t>
      </w:r>
    </w:p>
    <w:p w14:paraId="1F4D8464" w14:textId="77777777" w:rsidR="0033404D" w:rsidRDefault="0033404D">
      <w:pPr>
        <w:pStyle w:val="a"/>
        <w:numPr>
          <w:ilvl w:val="0"/>
          <w:numId w:val="0"/>
        </w:numPr>
        <w:tabs>
          <w:tab w:val="left" w:pos="720"/>
        </w:tabs>
        <w:spacing w:after="0"/>
        <w:ind w:left="720"/>
        <w:jc w:val="both"/>
        <w:rPr>
          <w:sz w:val="28"/>
          <w:szCs w:val="28"/>
          <w:rtl/>
        </w:rPr>
      </w:pPr>
    </w:p>
    <w:p w14:paraId="7BDCA17A" w14:textId="77777777" w:rsidR="0033404D" w:rsidRDefault="004C0CA3">
      <w:pPr>
        <w:spacing w:line="360" w:lineRule="auto"/>
        <w:ind w:left="720" w:hanging="720"/>
        <w:jc w:val="both"/>
        <w:rPr>
          <w:sz w:val="28"/>
          <w:szCs w:val="28"/>
          <w:rtl/>
        </w:rPr>
      </w:pPr>
      <w:r>
        <w:rPr>
          <w:rFonts w:hint="cs"/>
          <w:sz w:val="28"/>
          <w:szCs w:val="28"/>
          <w:rtl/>
        </w:rPr>
        <w:t>7.</w:t>
      </w:r>
      <w:r>
        <w:rPr>
          <w:rFonts w:hint="cs"/>
          <w:sz w:val="28"/>
          <w:szCs w:val="28"/>
          <w:rtl/>
        </w:rPr>
        <w:tab/>
        <w:t xml:space="preserve">אין ספק שמדובר בעבירה לא קלה, ולא ניתן להקל ראש במי שנושא עימו למעלה משני ק"ג של סמים, כשהם מחולקים לחבילות, גם אם מדובר בסם מסוג חשיש. </w:t>
      </w:r>
    </w:p>
    <w:p w14:paraId="5A2BCB84" w14:textId="77777777" w:rsidR="0033404D" w:rsidRDefault="004C0CA3">
      <w:pPr>
        <w:spacing w:line="360" w:lineRule="auto"/>
        <w:ind w:left="720" w:hanging="720"/>
        <w:jc w:val="both"/>
        <w:rPr>
          <w:sz w:val="28"/>
          <w:szCs w:val="28"/>
          <w:rtl/>
        </w:rPr>
      </w:pPr>
      <w:r>
        <w:rPr>
          <w:rFonts w:hint="cs"/>
          <w:sz w:val="28"/>
          <w:szCs w:val="28"/>
          <w:rtl/>
        </w:rPr>
        <w:tab/>
        <w:t>גם לגירסת הנאשם כשנודע לו על "המשימה" שהוא מבצע, הוא לא חדל מכך, ואלמלא נתפס ע"י השוטרים היה הסם ממשיך להתגלגל, ואין לדעת איזה שימוש היה נעשה בו ועל ידי מי.</w:t>
      </w:r>
    </w:p>
    <w:p w14:paraId="5D2B6D14" w14:textId="77777777" w:rsidR="0033404D" w:rsidRDefault="004C0CA3">
      <w:pPr>
        <w:spacing w:line="360" w:lineRule="auto"/>
        <w:ind w:left="720" w:hanging="720"/>
        <w:jc w:val="both"/>
        <w:rPr>
          <w:sz w:val="28"/>
          <w:szCs w:val="28"/>
          <w:rtl/>
        </w:rPr>
      </w:pPr>
      <w:r>
        <w:rPr>
          <w:rFonts w:hint="cs"/>
          <w:sz w:val="28"/>
          <w:szCs w:val="28"/>
          <w:rtl/>
        </w:rPr>
        <w:tab/>
        <w:t xml:space="preserve">לטעמי, עבירות הסמים הן עבירות חמורות אשר לא ניתן לראותן כזניחות או קלות ערך, והענישה הנדרשת צריכה להיות בהתאם. </w:t>
      </w:r>
    </w:p>
    <w:p w14:paraId="66048835" w14:textId="77777777" w:rsidR="0033404D" w:rsidRDefault="004C0CA3">
      <w:pPr>
        <w:spacing w:line="360" w:lineRule="auto"/>
        <w:ind w:left="720" w:hanging="720"/>
        <w:jc w:val="both"/>
        <w:rPr>
          <w:sz w:val="28"/>
          <w:szCs w:val="28"/>
          <w:rtl/>
        </w:rPr>
      </w:pPr>
      <w:r>
        <w:rPr>
          <w:rFonts w:hint="cs"/>
          <w:sz w:val="28"/>
          <w:szCs w:val="28"/>
          <w:rtl/>
        </w:rPr>
        <w:tab/>
      </w:r>
    </w:p>
    <w:p w14:paraId="56EA4154" w14:textId="77777777" w:rsidR="0033404D" w:rsidRDefault="004C0CA3">
      <w:pPr>
        <w:spacing w:line="360" w:lineRule="auto"/>
        <w:ind w:left="720" w:hanging="720"/>
        <w:jc w:val="both"/>
        <w:rPr>
          <w:sz w:val="28"/>
          <w:szCs w:val="28"/>
          <w:rtl/>
        </w:rPr>
      </w:pPr>
      <w:r>
        <w:rPr>
          <w:rFonts w:hint="cs"/>
          <w:sz w:val="28"/>
          <w:szCs w:val="28"/>
          <w:rtl/>
        </w:rPr>
        <w:t>8.</w:t>
      </w:r>
      <w:r>
        <w:rPr>
          <w:rFonts w:hint="cs"/>
          <w:sz w:val="28"/>
          <w:szCs w:val="28"/>
          <w:rtl/>
        </w:rPr>
        <w:tab/>
        <w:t>לצד חומרת המעשים, אין להתעלם מהנסיבות הפועלות לזכותו של הנאשם.</w:t>
      </w:r>
    </w:p>
    <w:p w14:paraId="73D918D1" w14:textId="77777777" w:rsidR="0033404D" w:rsidRDefault="004C0CA3">
      <w:pPr>
        <w:spacing w:line="360" w:lineRule="auto"/>
        <w:ind w:left="720" w:hanging="720"/>
        <w:jc w:val="both"/>
        <w:rPr>
          <w:sz w:val="28"/>
          <w:szCs w:val="28"/>
          <w:rtl/>
        </w:rPr>
      </w:pPr>
      <w:r>
        <w:rPr>
          <w:rFonts w:hint="cs"/>
          <w:sz w:val="28"/>
          <w:szCs w:val="28"/>
          <w:rtl/>
        </w:rPr>
        <w:tab/>
        <w:t>לנאשם אין עבר פלילי וזוהי הסתבכותו הראשונה עם החוק. הנאשם הודה מיד ולקח אחריות על המעשה, ובכך חסך זמן ציבורי יקר מכל המעורבים בהליך.</w:t>
      </w:r>
    </w:p>
    <w:p w14:paraId="6A99F9F1" w14:textId="77777777" w:rsidR="0033404D" w:rsidRDefault="004C0CA3">
      <w:pPr>
        <w:spacing w:line="360" w:lineRule="auto"/>
        <w:ind w:left="720" w:hanging="720"/>
        <w:jc w:val="both"/>
        <w:rPr>
          <w:sz w:val="28"/>
          <w:szCs w:val="28"/>
          <w:rtl/>
        </w:rPr>
      </w:pPr>
      <w:r>
        <w:rPr>
          <w:rFonts w:hint="cs"/>
          <w:sz w:val="28"/>
          <w:szCs w:val="28"/>
          <w:rtl/>
        </w:rPr>
        <w:tab/>
        <w:t xml:space="preserve">הנאשם הביע צער וחרטה על מעורבותו, ויש להניח כי הבין את הפסול שבמעשיו, כאשר אין ספק שגם תקופת המעצר הממשית בה שהה, במשך כחודשיים חידדה הבנה זו. </w:t>
      </w:r>
    </w:p>
    <w:p w14:paraId="301681AC" w14:textId="77777777" w:rsidR="0033404D" w:rsidRDefault="004C0CA3">
      <w:pPr>
        <w:spacing w:line="360" w:lineRule="auto"/>
        <w:ind w:left="720" w:hanging="720"/>
        <w:jc w:val="both"/>
        <w:rPr>
          <w:sz w:val="28"/>
          <w:szCs w:val="28"/>
          <w:rtl/>
        </w:rPr>
      </w:pPr>
      <w:r>
        <w:rPr>
          <w:rFonts w:hint="cs"/>
          <w:sz w:val="28"/>
          <w:szCs w:val="28"/>
          <w:rtl/>
        </w:rPr>
        <w:tab/>
        <w:t>גם תסקיר שירות המבחן הוא בעיקרו תסקיר חיובי, הממליץ על ענישה מקלה על מנת לתמוך בהליך השיקום שעובר הנאשם.</w:t>
      </w:r>
    </w:p>
    <w:p w14:paraId="6A796545" w14:textId="77777777" w:rsidR="0033404D" w:rsidRDefault="0033404D">
      <w:pPr>
        <w:spacing w:line="360" w:lineRule="auto"/>
        <w:ind w:left="720" w:hanging="720"/>
        <w:jc w:val="both"/>
        <w:rPr>
          <w:sz w:val="28"/>
          <w:szCs w:val="28"/>
          <w:rtl/>
        </w:rPr>
      </w:pPr>
    </w:p>
    <w:p w14:paraId="4E2EF456" w14:textId="77777777" w:rsidR="0033404D" w:rsidRDefault="004C0CA3">
      <w:pPr>
        <w:spacing w:line="360" w:lineRule="auto"/>
        <w:ind w:left="720" w:hanging="720"/>
        <w:jc w:val="both"/>
        <w:rPr>
          <w:sz w:val="28"/>
          <w:szCs w:val="28"/>
          <w:rtl/>
        </w:rPr>
      </w:pPr>
      <w:r>
        <w:rPr>
          <w:rFonts w:hint="cs"/>
          <w:sz w:val="28"/>
          <w:szCs w:val="28"/>
          <w:rtl/>
        </w:rPr>
        <w:t>9.</w:t>
      </w:r>
      <w:r>
        <w:rPr>
          <w:rFonts w:hint="cs"/>
          <w:sz w:val="28"/>
          <w:szCs w:val="28"/>
          <w:rtl/>
        </w:rPr>
        <w:tab/>
        <w:t>ראוי להתייחס גם לטענת הסנגור בדבר הענישה שהוטלה על אחמד יאסין, שהינו מי ששלח את הנאשם להעביר את הסמים, והוא נדון לשישה חודשי מאסר בפועל ולהפעלת מאסר מותנה, כשכל התקופה שנגזרה עליו תרוצה בחופף למאסר  שנגזר עליו בתיק אחר.</w:t>
      </w:r>
    </w:p>
    <w:p w14:paraId="7A607323" w14:textId="77777777" w:rsidR="0033404D" w:rsidRDefault="004C0CA3">
      <w:pPr>
        <w:spacing w:line="360" w:lineRule="auto"/>
        <w:ind w:left="720" w:hanging="720"/>
        <w:jc w:val="both"/>
        <w:rPr>
          <w:sz w:val="28"/>
          <w:szCs w:val="28"/>
          <w:rtl/>
        </w:rPr>
      </w:pPr>
      <w:r>
        <w:rPr>
          <w:rFonts w:hint="cs"/>
          <w:sz w:val="28"/>
          <w:szCs w:val="28"/>
          <w:rtl/>
        </w:rPr>
        <w:tab/>
        <w:t xml:space="preserve">ב"כ המאשימה טענה כי מדובר במקרים שונים ובסוג עבירה אחר, כאשר בעניינו של יאסין הגיעו הצדדים להסדר טיעון ולא ניתן להקיש בין העונש שנגזר שם לבין העונש הראוי לנאשם. </w:t>
      </w:r>
    </w:p>
    <w:p w14:paraId="612DF522" w14:textId="77777777" w:rsidR="0033404D" w:rsidRDefault="004C0CA3">
      <w:pPr>
        <w:spacing w:line="360" w:lineRule="auto"/>
        <w:ind w:left="720" w:hanging="720"/>
        <w:jc w:val="both"/>
        <w:rPr>
          <w:sz w:val="28"/>
          <w:szCs w:val="28"/>
          <w:rtl/>
        </w:rPr>
      </w:pPr>
      <w:r>
        <w:rPr>
          <w:rFonts w:hint="cs"/>
          <w:sz w:val="28"/>
          <w:szCs w:val="28"/>
          <w:rtl/>
        </w:rPr>
        <w:tab/>
        <w:t xml:space="preserve">עיון בכתב האישום שקשור ביאסין מעלה כי הוא רצה לרכוש את הסמים מאדם אחר, ולכן סיכם עם הנאשם כי הוא זה שיבצע את </w:t>
      </w:r>
      <w:r>
        <w:rPr>
          <w:rFonts w:hint="cs"/>
          <w:sz w:val="28"/>
          <w:szCs w:val="28"/>
          <w:u w:val="single"/>
          <w:rtl/>
        </w:rPr>
        <w:t>העברת הסמים</w:t>
      </w:r>
      <w:r>
        <w:rPr>
          <w:rFonts w:hint="cs"/>
          <w:sz w:val="28"/>
          <w:szCs w:val="28"/>
          <w:rtl/>
        </w:rPr>
        <w:t xml:space="preserve"> (ויחזיק בהם בפועל) מאותו אדם אליו, כאשר חלקו בסופו של דבר הסתכם בקשירת קשר לביצוע פשע.</w:t>
      </w:r>
    </w:p>
    <w:p w14:paraId="3B21F716" w14:textId="77777777" w:rsidR="0033404D" w:rsidRDefault="004C0CA3">
      <w:pPr>
        <w:spacing w:line="360" w:lineRule="auto"/>
        <w:ind w:left="720"/>
        <w:jc w:val="both"/>
        <w:rPr>
          <w:sz w:val="28"/>
          <w:szCs w:val="28"/>
          <w:rtl/>
        </w:rPr>
      </w:pPr>
      <w:r>
        <w:rPr>
          <w:rFonts w:hint="cs"/>
          <w:sz w:val="28"/>
          <w:szCs w:val="28"/>
          <w:rtl/>
        </w:rPr>
        <w:t>יאסין לא החזיק בסמים ולא העביר אותם, והגם שהוא זה שיזם את שליחתו של הנאשם, אין בכך להפחית מחומרת מעשי הנאשם בעצם החזקת הסם ברשותו בדרך שבה הוכן ונארז ובכך שנרתם לבצע את העבירה ולהמשיך בה, למרות שהיה מודע לאיסור שבמעשה ויכול היה להימנע מביצועו.</w:t>
      </w:r>
    </w:p>
    <w:p w14:paraId="2110E9C0" w14:textId="77777777" w:rsidR="0033404D" w:rsidRDefault="004C0CA3">
      <w:pPr>
        <w:spacing w:line="360" w:lineRule="auto"/>
        <w:ind w:left="720"/>
        <w:jc w:val="both"/>
        <w:rPr>
          <w:sz w:val="28"/>
          <w:szCs w:val="28"/>
          <w:rtl/>
        </w:rPr>
      </w:pPr>
      <w:r>
        <w:rPr>
          <w:rFonts w:hint="cs"/>
          <w:sz w:val="28"/>
          <w:szCs w:val="28"/>
          <w:rtl/>
        </w:rPr>
        <w:t>זאת ועוד, העונש שהוטל על יאסין הינו לטעמי עונש מקל והוא נגזר עליו במסגרת הסדר טיעון, וזאת בשל קושי ראייתי ממשי עליו הצביע ב"כ המאשימה בטיעוניו לעונש שם.</w:t>
      </w:r>
    </w:p>
    <w:p w14:paraId="20E42DAA" w14:textId="77777777" w:rsidR="0033404D" w:rsidRDefault="004C0CA3">
      <w:pPr>
        <w:spacing w:line="360" w:lineRule="auto"/>
        <w:ind w:left="720" w:hanging="720"/>
        <w:jc w:val="both"/>
        <w:rPr>
          <w:sz w:val="28"/>
          <w:szCs w:val="28"/>
          <w:rtl/>
        </w:rPr>
      </w:pPr>
      <w:r>
        <w:rPr>
          <w:rFonts w:hint="cs"/>
          <w:sz w:val="28"/>
          <w:szCs w:val="28"/>
          <w:rtl/>
        </w:rPr>
        <w:tab/>
        <w:t>בנסיבות אלה וכאשר מדובר בקושי ראייתי ועונש שנגזר במסגרת הסדר טיעון, אני סבורה כי אין לגזור גזרה שווה גם לנאשם שבפני, הגם שיהיה לכך משקל מסוים בין יתר שיקולי הענישה.</w:t>
      </w:r>
    </w:p>
    <w:p w14:paraId="6CB88E19" w14:textId="77777777" w:rsidR="0033404D" w:rsidRDefault="004C0CA3">
      <w:pPr>
        <w:spacing w:line="360" w:lineRule="auto"/>
        <w:ind w:left="720" w:hanging="720"/>
        <w:jc w:val="both"/>
        <w:rPr>
          <w:sz w:val="28"/>
          <w:szCs w:val="28"/>
          <w:rtl/>
        </w:rPr>
      </w:pPr>
      <w:r>
        <w:rPr>
          <w:rFonts w:hint="cs"/>
          <w:sz w:val="28"/>
          <w:szCs w:val="28"/>
          <w:rtl/>
        </w:rPr>
        <w:t xml:space="preserve"> </w:t>
      </w:r>
    </w:p>
    <w:p w14:paraId="7F304FE3" w14:textId="77777777" w:rsidR="0033404D" w:rsidRDefault="004C0CA3">
      <w:pPr>
        <w:spacing w:line="360" w:lineRule="auto"/>
        <w:ind w:left="720" w:hanging="720"/>
        <w:jc w:val="both"/>
        <w:rPr>
          <w:b/>
          <w:bCs/>
          <w:sz w:val="28"/>
          <w:szCs w:val="28"/>
          <w:u w:val="single"/>
          <w:rtl/>
        </w:rPr>
      </w:pPr>
      <w:r>
        <w:rPr>
          <w:rFonts w:hint="cs"/>
          <w:sz w:val="28"/>
          <w:szCs w:val="28"/>
          <w:rtl/>
        </w:rPr>
        <w:tab/>
      </w:r>
      <w:r>
        <w:rPr>
          <w:rFonts w:hint="cs"/>
          <w:b/>
          <w:bCs/>
          <w:sz w:val="28"/>
          <w:szCs w:val="28"/>
          <w:u w:val="single"/>
          <w:rtl/>
        </w:rPr>
        <w:t>חילוט הרכב ששימש לביצוע העבירה</w:t>
      </w:r>
    </w:p>
    <w:p w14:paraId="7B75AC93" w14:textId="77777777" w:rsidR="0033404D" w:rsidRDefault="0033404D">
      <w:pPr>
        <w:spacing w:line="360" w:lineRule="auto"/>
        <w:ind w:left="720" w:hanging="720"/>
        <w:jc w:val="both"/>
        <w:rPr>
          <w:b/>
          <w:bCs/>
          <w:sz w:val="28"/>
          <w:szCs w:val="28"/>
          <w:u w:val="single"/>
          <w:rtl/>
        </w:rPr>
      </w:pPr>
    </w:p>
    <w:p w14:paraId="6C6A8001" w14:textId="77777777" w:rsidR="0033404D" w:rsidRDefault="004C0CA3">
      <w:pPr>
        <w:spacing w:line="360" w:lineRule="auto"/>
        <w:ind w:left="720" w:hanging="720"/>
        <w:jc w:val="both"/>
        <w:rPr>
          <w:sz w:val="28"/>
          <w:szCs w:val="28"/>
          <w:rtl/>
        </w:rPr>
      </w:pPr>
      <w:r>
        <w:rPr>
          <w:rFonts w:hint="cs"/>
          <w:sz w:val="28"/>
          <w:szCs w:val="28"/>
          <w:rtl/>
        </w:rPr>
        <w:t>10.</w:t>
      </w:r>
      <w:r>
        <w:rPr>
          <w:rFonts w:hint="cs"/>
          <w:sz w:val="28"/>
          <w:szCs w:val="28"/>
          <w:rtl/>
        </w:rPr>
        <w:tab/>
        <w:t>הנאשם ביצע את העבירה כשהוא נוהג ברכב מסוג סקודה הרשום ע"ש בנו, ששווי כ- 61,000 ₪. המאשימה הודיעה כי היא תבקש לחלט את הרכב בהתאם ל</w:t>
      </w:r>
      <w:hyperlink r:id="rId18" w:history="1">
        <w:r w:rsidRPr="004C0CA3">
          <w:rPr>
            <w:color w:val="0000FF"/>
            <w:sz w:val="28"/>
            <w:szCs w:val="28"/>
            <w:u w:val="single"/>
            <w:rtl/>
          </w:rPr>
          <w:t>פקודת הסמים המסוכנים</w:t>
        </w:r>
      </w:hyperlink>
      <w:r>
        <w:rPr>
          <w:rFonts w:hint="cs"/>
          <w:sz w:val="28"/>
          <w:szCs w:val="28"/>
          <w:rtl/>
        </w:rPr>
        <w:t xml:space="preserve"> </w:t>
      </w:r>
      <w:r>
        <w:rPr>
          <w:rFonts w:hint="cs"/>
          <w:rtl/>
        </w:rPr>
        <w:t>(ראה הודעת המאשימה מיום 16.11.15)</w:t>
      </w:r>
      <w:r>
        <w:rPr>
          <w:rFonts w:hint="cs"/>
          <w:sz w:val="28"/>
          <w:szCs w:val="28"/>
          <w:rtl/>
        </w:rPr>
        <w:t>, והסנגור טען כי  על פי הרישום הפורמלי הרכב שייך לבנו של הנאשם, ולפיכך לא ניתן לחלטו, ולחלופין אין הצדקה לכך בנסיבות ביצוע העבירה.</w:t>
      </w:r>
    </w:p>
    <w:p w14:paraId="4CBDA943" w14:textId="77777777" w:rsidR="0033404D" w:rsidRDefault="0033404D">
      <w:pPr>
        <w:spacing w:line="360" w:lineRule="auto"/>
        <w:ind w:left="720" w:hanging="720"/>
        <w:jc w:val="both"/>
        <w:rPr>
          <w:sz w:val="28"/>
          <w:szCs w:val="28"/>
          <w:rtl/>
        </w:rPr>
      </w:pPr>
    </w:p>
    <w:p w14:paraId="231355C5" w14:textId="77777777" w:rsidR="0033404D" w:rsidRDefault="004C0CA3">
      <w:pPr>
        <w:spacing w:line="360" w:lineRule="auto"/>
        <w:ind w:left="720" w:hanging="720"/>
        <w:jc w:val="both"/>
        <w:rPr>
          <w:sz w:val="28"/>
          <w:szCs w:val="28"/>
          <w:rtl/>
        </w:rPr>
      </w:pPr>
      <w:r>
        <w:rPr>
          <w:rFonts w:hint="cs"/>
          <w:sz w:val="28"/>
          <w:szCs w:val="28"/>
          <w:rtl/>
        </w:rPr>
        <w:t>11.</w:t>
      </w:r>
      <w:r>
        <w:rPr>
          <w:rFonts w:hint="cs"/>
          <w:sz w:val="28"/>
          <w:szCs w:val="28"/>
          <w:rtl/>
        </w:rPr>
        <w:tab/>
      </w:r>
      <w:hyperlink r:id="rId19" w:history="1">
        <w:r w:rsidR="00894004" w:rsidRPr="00894004">
          <w:rPr>
            <w:rStyle w:val="Hyperlink"/>
            <w:rFonts w:hint="eastAsia"/>
            <w:sz w:val="28"/>
            <w:szCs w:val="28"/>
            <w:rtl/>
          </w:rPr>
          <w:t>סעיף</w:t>
        </w:r>
        <w:r w:rsidR="00894004" w:rsidRPr="00894004">
          <w:rPr>
            <w:rStyle w:val="Hyperlink"/>
            <w:sz w:val="28"/>
            <w:szCs w:val="28"/>
            <w:rtl/>
          </w:rPr>
          <w:t xml:space="preserve"> 36א</w:t>
        </w:r>
      </w:hyperlink>
      <w:r>
        <w:rPr>
          <w:rFonts w:hint="cs"/>
          <w:sz w:val="28"/>
          <w:szCs w:val="28"/>
          <w:rtl/>
        </w:rPr>
        <w:t xml:space="preserve"> ל</w:t>
      </w:r>
      <w:hyperlink r:id="rId20" w:history="1">
        <w:r w:rsidRPr="004C0CA3">
          <w:rPr>
            <w:rFonts w:ascii="Times New Roman" w:hAnsi="Times New Roman" w:cs="Times New Roman"/>
            <w:color w:val="0000FF"/>
            <w:sz w:val="28"/>
            <w:szCs w:val="28"/>
            <w:u w:val="single"/>
            <w:rtl/>
          </w:rPr>
          <w:t>פקודת הסמים המסוכנים</w:t>
        </w:r>
      </w:hyperlink>
      <w:r>
        <w:rPr>
          <w:rFonts w:hint="cs"/>
          <w:sz w:val="28"/>
          <w:szCs w:val="28"/>
          <w:rtl/>
        </w:rPr>
        <w:t xml:space="preserve"> מסמיך את בית המשפט להורות על חילוט רכוש, במקום שבו שימש הרכוש או נועד לשמש כאמצעי לביצוע העבירה, כאשר נקבע כי החילוט אינו מוגבל לרכושו של מבצע העבירה, ומכוח הפקודה ניתן לחלט גם רכוש של אדם אחר, ככל שמדובר ברכוש "נגוע" אשר שימש לביצוע העבירה. </w:t>
      </w:r>
    </w:p>
    <w:p w14:paraId="37CE25A8" w14:textId="77777777" w:rsidR="0033404D" w:rsidRDefault="004C0CA3">
      <w:pPr>
        <w:spacing w:line="360" w:lineRule="auto"/>
        <w:ind w:left="720"/>
        <w:jc w:val="both"/>
        <w:rPr>
          <w:sz w:val="28"/>
          <w:szCs w:val="28"/>
          <w:rtl/>
        </w:rPr>
      </w:pPr>
      <w:r>
        <w:rPr>
          <w:rFonts w:hint="cs"/>
          <w:sz w:val="28"/>
          <w:szCs w:val="28"/>
          <w:rtl/>
        </w:rPr>
        <w:t xml:space="preserve">המחוקק קבע טווח רחב של אפשרות חילוט, על מנת להבטיח כי החוטא בעבירות סמים לא ייצא נשכר, וכי גם מי שידע שרכושו שימש כאמצעי לביצוע עבירה עלול לאבד את זכויותיו ברכוש, וזאת כדי להדגיש את חשיבותו הרבה של אינטרס הציבור בניהול מלחמה יעילה בנגע הסמים, שעשוי לגבור על אינטרס הקניין של הפרט </w:t>
      </w:r>
      <w:r>
        <w:rPr>
          <w:rFonts w:hint="cs"/>
          <w:rtl/>
        </w:rPr>
        <w:t>(</w:t>
      </w:r>
      <w:hyperlink r:id="rId21" w:history="1">
        <w:r w:rsidRPr="004C0CA3">
          <w:rPr>
            <w:color w:val="0000FF"/>
            <w:u w:val="single"/>
            <w:rtl/>
          </w:rPr>
          <w:t>ע"א 6702/04</w:t>
        </w:r>
      </w:hyperlink>
      <w:r>
        <w:rPr>
          <w:rFonts w:hint="cs"/>
          <w:rtl/>
        </w:rPr>
        <w:t xml:space="preserve"> מאזן נ' מדינת ישראל (10.11.05)).</w:t>
      </w:r>
      <w:r>
        <w:rPr>
          <w:rFonts w:hint="cs"/>
          <w:sz w:val="28"/>
          <w:szCs w:val="28"/>
          <w:rtl/>
        </w:rPr>
        <w:t xml:space="preserve"> </w:t>
      </w:r>
    </w:p>
    <w:p w14:paraId="7A87759F" w14:textId="77777777" w:rsidR="0033404D" w:rsidRDefault="004C0CA3">
      <w:pPr>
        <w:spacing w:line="360" w:lineRule="auto"/>
        <w:ind w:left="720"/>
        <w:jc w:val="both"/>
        <w:rPr>
          <w:sz w:val="28"/>
          <w:szCs w:val="28"/>
          <w:rtl/>
        </w:rPr>
      </w:pPr>
      <w:r>
        <w:rPr>
          <w:rFonts w:hint="cs"/>
          <w:sz w:val="28"/>
          <w:szCs w:val="28"/>
          <w:rtl/>
        </w:rPr>
        <w:t xml:space="preserve">עם זאת, בית המשפט לא יצווה על חילוט רכוש לפי </w:t>
      </w:r>
      <w:hyperlink r:id="rId22" w:history="1">
        <w:r w:rsidR="00894004" w:rsidRPr="00894004">
          <w:rPr>
            <w:rStyle w:val="Hyperlink"/>
            <w:rFonts w:ascii="David" w:hAnsi="David" w:cs="David" w:hint="eastAsia"/>
            <w:sz w:val="28"/>
            <w:szCs w:val="28"/>
            <w:rtl/>
          </w:rPr>
          <w:t>סעיפים</w:t>
        </w:r>
        <w:r w:rsidR="00894004" w:rsidRPr="00894004">
          <w:rPr>
            <w:rStyle w:val="Hyperlink"/>
            <w:rFonts w:ascii="David" w:hAnsi="David" w:cs="David"/>
            <w:sz w:val="28"/>
            <w:szCs w:val="28"/>
            <w:rtl/>
          </w:rPr>
          <w:t xml:space="preserve"> 36א</w:t>
        </w:r>
      </w:hyperlink>
      <w:r>
        <w:rPr>
          <w:rFonts w:hint="cs"/>
          <w:sz w:val="28"/>
          <w:szCs w:val="28"/>
          <w:rtl/>
        </w:rPr>
        <w:t xml:space="preserve"> או </w:t>
      </w:r>
      <w:hyperlink r:id="rId23" w:history="1">
        <w:r w:rsidR="00894004" w:rsidRPr="00894004">
          <w:rPr>
            <w:rStyle w:val="Hyperlink"/>
            <w:rFonts w:ascii="David" w:hAnsi="David" w:cs="David"/>
            <w:sz w:val="28"/>
            <w:szCs w:val="28"/>
            <w:rtl/>
          </w:rPr>
          <w:t>36ב</w:t>
        </w:r>
      </w:hyperlink>
      <w:r>
        <w:rPr>
          <w:rFonts w:hint="cs"/>
          <w:sz w:val="28"/>
          <w:szCs w:val="28"/>
          <w:rtl/>
        </w:rPr>
        <w:t xml:space="preserve">, אם הוכיח מי שטוען לזכות ברכוש, כי אותו חפץ שימש בעבירה ללא ידיעתו או שלא בהסכמתו, </w:t>
      </w:r>
      <w:r>
        <w:rPr>
          <w:rFonts w:hint="cs"/>
          <w:sz w:val="28"/>
          <w:szCs w:val="28"/>
          <w:u w:val="single"/>
          <w:rtl/>
        </w:rPr>
        <w:t>כאשר נטל השכנוע בעניין זה מוטל על הטוען לזכות ברכוש</w:t>
      </w:r>
      <w:r>
        <w:rPr>
          <w:rFonts w:hint="cs"/>
          <w:sz w:val="28"/>
          <w:szCs w:val="28"/>
          <w:rtl/>
        </w:rPr>
        <w:t xml:space="preserve"> </w:t>
      </w:r>
      <w:r>
        <w:rPr>
          <w:rFonts w:hint="cs"/>
          <w:rtl/>
        </w:rPr>
        <w:t xml:space="preserve">(ראו </w:t>
      </w:r>
      <w:hyperlink r:id="rId24" w:history="1">
        <w:r w:rsidRPr="004C0CA3">
          <w:rPr>
            <w:rFonts w:ascii="Times New Roman" w:hAnsi="Times New Roman" w:cs="Times New Roman"/>
            <w:color w:val="0000FF"/>
            <w:u w:val="single"/>
            <w:rtl/>
          </w:rPr>
          <w:t>ע"פ 7376/02</w:t>
        </w:r>
      </w:hyperlink>
      <w:r>
        <w:rPr>
          <w:rFonts w:hint="cs"/>
          <w:u w:val="single"/>
          <w:rtl/>
        </w:rPr>
        <w:t xml:space="preserve"> ו</w:t>
      </w:r>
      <w:hyperlink r:id="rId25" w:history="1">
        <w:r w:rsidRPr="004C0CA3">
          <w:rPr>
            <w:rFonts w:ascii="Times New Roman" w:hAnsi="Times New Roman" w:cs="Times New Roman"/>
            <w:color w:val="0000FF"/>
            <w:u w:val="single"/>
            <w:rtl/>
          </w:rPr>
          <w:t>ע"א 7338/02 כהן נ' מ"י, פ"ד נד</w:t>
        </w:r>
      </w:hyperlink>
      <w:r>
        <w:rPr>
          <w:rFonts w:hint="cs"/>
          <w:rtl/>
        </w:rPr>
        <w:t xml:space="preserve">(4) 558). </w:t>
      </w:r>
    </w:p>
    <w:p w14:paraId="39B83B90" w14:textId="77777777" w:rsidR="0033404D" w:rsidRDefault="004C0CA3">
      <w:pPr>
        <w:spacing w:line="360" w:lineRule="auto"/>
        <w:ind w:left="720" w:hanging="720"/>
        <w:jc w:val="both"/>
        <w:rPr>
          <w:sz w:val="28"/>
          <w:szCs w:val="28"/>
          <w:rtl/>
        </w:rPr>
      </w:pPr>
      <w:r>
        <w:rPr>
          <w:rFonts w:hint="cs"/>
          <w:sz w:val="28"/>
          <w:szCs w:val="28"/>
          <w:rtl/>
        </w:rPr>
        <w:t xml:space="preserve"> </w:t>
      </w:r>
      <w:r>
        <w:rPr>
          <w:rFonts w:hint="cs"/>
          <w:sz w:val="28"/>
          <w:szCs w:val="28"/>
          <w:rtl/>
        </w:rPr>
        <w:tab/>
      </w:r>
    </w:p>
    <w:p w14:paraId="6BD1E53E" w14:textId="77777777" w:rsidR="0033404D" w:rsidRDefault="004C0CA3">
      <w:pPr>
        <w:spacing w:line="360" w:lineRule="auto"/>
        <w:ind w:left="720" w:hanging="720"/>
        <w:jc w:val="both"/>
        <w:rPr>
          <w:rFonts w:ascii="Arial" w:hAnsi="Arial"/>
          <w:rtl/>
        </w:rPr>
      </w:pPr>
      <w:r>
        <w:rPr>
          <w:rFonts w:hint="cs"/>
          <w:sz w:val="28"/>
          <w:szCs w:val="28"/>
          <w:rtl/>
        </w:rPr>
        <w:t>12.</w:t>
      </w:r>
      <w:r>
        <w:rPr>
          <w:rFonts w:hint="cs"/>
          <w:sz w:val="28"/>
          <w:szCs w:val="28"/>
          <w:rtl/>
        </w:rPr>
        <w:tab/>
        <w:t xml:space="preserve">כאמור, ב"כ הנאשם טען כי הרישום על שם בנו של הנאשם אינו מאפשר את החילוט, אלא שבהקשר זה נקבע בפסיקה, </w:t>
      </w:r>
      <w:r>
        <w:rPr>
          <w:rFonts w:ascii="Arial" w:hAnsi="Arial" w:hint="cs"/>
          <w:sz w:val="28"/>
          <w:szCs w:val="28"/>
          <w:rtl/>
        </w:rPr>
        <w:t xml:space="preserve">כי הרישום במשרד הרישוי הוא אמנם ראיה לכאורה, אך יש לברר למי שייכת  הבעלות הממשית בפועל, כשהרישום במשרד הרישוי אינו חזות הכל </w:t>
      </w:r>
      <w:r>
        <w:rPr>
          <w:rFonts w:ascii="Arial" w:hAnsi="Arial" w:hint="cs"/>
          <w:rtl/>
        </w:rPr>
        <w:t xml:space="preserve">(ראה </w:t>
      </w:r>
      <w:hyperlink r:id="rId26" w:history="1">
        <w:r w:rsidRPr="004C0CA3">
          <w:rPr>
            <w:rFonts w:ascii="Arial" w:hAnsi="Arial"/>
            <w:color w:val="0000FF"/>
            <w:u w:val="single"/>
            <w:rtl/>
          </w:rPr>
          <w:t>ע"פ 6687/93 גומעא מוסא נ' מדינת ישראל פד"י נב</w:t>
        </w:r>
      </w:hyperlink>
      <w:r>
        <w:rPr>
          <w:rFonts w:ascii="Arial" w:hAnsi="Arial" w:hint="cs"/>
          <w:rtl/>
        </w:rPr>
        <w:t xml:space="preserve">' (3) 192 סעיף 14 לפסה"ד;  </w:t>
      </w:r>
      <w:hyperlink r:id="rId27" w:history="1">
        <w:r w:rsidRPr="004C0CA3">
          <w:rPr>
            <w:rFonts w:ascii="Arial" w:hAnsi="Arial" w:cs="Times New Roman"/>
            <w:color w:val="0000FF"/>
            <w:u w:val="single"/>
            <w:rtl/>
          </w:rPr>
          <w:t>רע"פ 5776/05</w:t>
        </w:r>
      </w:hyperlink>
      <w:r>
        <w:rPr>
          <w:rFonts w:ascii="Arial" w:hAnsi="Arial" w:hint="cs"/>
          <w:rtl/>
        </w:rPr>
        <w:t xml:space="preserve"> אודי ראובן נ' מדינת ישראל). </w:t>
      </w:r>
    </w:p>
    <w:p w14:paraId="6E5464DF" w14:textId="77777777" w:rsidR="0033404D" w:rsidRDefault="004C0CA3">
      <w:pPr>
        <w:spacing w:line="360" w:lineRule="auto"/>
        <w:ind w:left="720"/>
        <w:jc w:val="both"/>
        <w:rPr>
          <w:rFonts w:ascii="Times New Roman" w:hAnsi="Times New Roman"/>
          <w:sz w:val="28"/>
          <w:szCs w:val="28"/>
          <w:rtl/>
        </w:rPr>
      </w:pPr>
      <w:r>
        <w:rPr>
          <w:rFonts w:ascii="Arial" w:hAnsi="Arial" w:hint="cs"/>
          <w:sz w:val="28"/>
          <w:szCs w:val="28"/>
          <w:rtl/>
        </w:rPr>
        <w:t xml:space="preserve">בנסיבות אלו, </w:t>
      </w:r>
      <w:r>
        <w:rPr>
          <w:rFonts w:hint="cs"/>
          <w:sz w:val="28"/>
          <w:szCs w:val="28"/>
          <w:rtl/>
        </w:rPr>
        <w:t>אם היה בנו של הנאשם מעוניין להוכיח כי הוא הבעלים האמיתי של הרכב, היה עליו להביא ראיות ממשיות לצורך כך – וזאת לא נעשה, בשעה שהבן כלל לא נטל חלק בהליך, ואף הנאשם לא מסר כל גרסה הקשורה ברכב, ועל כן יבחנו העובדות שהוצגו ע"י הצדדים.</w:t>
      </w:r>
    </w:p>
    <w:p w14:paraId="36AEA7D6" w14:textId="77777777" w:rsidR="0033404D" w:rsidRDefault="004C0CA3">
      <w:pPr>
        <w:spacing w:line="360" w:lineRule="auto"/>
        <w:ind w:left="720"/>
        <w:jc w:val="both"/>
        <w:rPr>
          <w:rFonts w:ascii="Arial" w:hAnsi="Arial"/>
          <w:sz w:val="28"/>
          <w:szCs w:val="28"/>
          <w:rtl/>
        </w:rPr>
      </w:pPr>
      <w:r>
        <w:rPr>
          <w:rFonts w:ascii="Arial" w:hAnsi="Arial" w:hint="cs"/>
          <w:sz w:val="28"/>
          <w:szCs w:val="28"/>
          <w:rtl/>
        </w:rPr>
        <w:t xml:space="preserve">במקרה זה, הנאשם ביצע את העבירה תוך שימוש ברכב, כשהוא נוהג ועושה בו שימוש בלעדי, </w:t>
      </w:r>
      <w:r>
        <w:rPr>
          <w:rFonts w:hint="cs"/>
          <w:sz w:val="28"/>
          <w:szCs w:val="28"/>
          <w:rtl/>
        </w:rPr>
        <w:t>כשברור שאלמלא היה ברשותו רכב, לא היה אותו יאסין פונה אליו כדי שיבצע את העבירה, ומכאן שהרכב היה כלי לביצוע העבירה.</w:t>
      </w:r>
    </w:p>
    <w:p w14:paraId="65699B13" w14:textId="77777777" w:rsidR="0033404D" w:rsidRDefault="004C0CA3">
      <w:pPr>
        <w:spacing w:line="360" w:lineRule="auto"/>
        <w:ind w:left="720"/>
        <w:jc w:val="both"/>
        <w:rPr>
          <w:sz w:val="28"/>
          <w:szCs w:val="28"/>
          <w:rtl/>
        </w:rPr>
      </w:pPr>
      <w:r>
        <w:rPr>
          <w:rFonts w:hint="cs"/>
          <w:sz w:val="28"/>
          <w:szCs w:val="28"/>
          <w:rtl/>
        </w:rPr>
        <w:t xml:space="preserve">המשטרה חקרה את הנאשם בנושא זה, ומתוך החקירה עולה כי הוא נוהג ברכב מנהג בעלים, הוא זה שמשתמש ברכב בדרך שגרה, ומחליט אם לאפשר שימוש לאנשים נוספים. הנאשם הודה כי בנו אינו נוהג ברכב, ואף סיפר כי הביטוח שעשה אינו מכסה את נהיגתו של הבן. </w:t>
      </w:r>
    </w:p>
    <w:p w14:paraId="1F6F1C0B" w14:textId="77777777" w:rsidR="0033404D" w:rsidRDefault="004C0CA3">
      <w:pPr>
        <w:spacing w:line="360" w:lineRule="auto"/>
        <w:ind w:left="720"/>
        <w:jc w:val="both"/>
        <w:rPr>
          <w:sz w:val="28"/>
          <w:szCs w:val="28"/>
          <w:rtl/>
        </w:rPr>
      </w:pPr>
      <w:r>
        <w:rPr>
          <w:rFonts w:hint="cs"/>
          <w:sz w:val="28"/>
          <w:szCs w:val="28"/>
          <w:rtl/>
        </w:rPr>
        <w:t>הנאשם יודע את כל הפרטים אודות המחיר בו נקנה הרכב, מהי עלות הביטוח וכו', ואף ידע להסביר מדוע נרשם הרכב על שם בנו ולא על שמו.</w:t>
      </w:r>
    </w:p>
    <w:p w14:paraId="04939A4E" w14:textId="77777777" w:rsidR="0033404D" w:rsidRDefault="004C0CA3">
      <w:pPr>
        <w:spacing w:line="360" w:lineRule="auto"/>
        <w:ind w:left="720"/>
        <w:jc w:val="both"/>
        <w:rPr>
          <w:sz w:val="28"/>
          <w:szCs w:val="28"/>
          <w:rtl/>
        </w:rPr>
      </w:pPr>
      <w:r>
        <w:rPr>
          <w:rFonts w:hint="cs"/>
          <w:sz w:val="28"/>
          <w:szCs w:val="28"/>
          <w:rtl/>
        </w:rPr>
        <w:t xml:space="preserve">לאור הצטברות כל הנסיבות שציינתי, אני קובעת כי הרכב שייך לנאשם ושימש לביצוע העבירה. </w:t>
      </w:r>
    </w:p>
    <w:p w14:paraId="2D9360AD" w14:textId="77777777" w:rsidR="0033404D" w:rsidRDefault="0033404D">
      <w:pPr>
        <w:spacing w:line="360" w:lineRule="auto"/>
        <w:ind w:left="720"/>
        <w:jc w:val="both"/>
        <w:rPr>
          <w:sz w:val="28"/>
          <w:szCs w:val="28"/>
          <w:rtl/>
        </w:rPr>
      </w:pPr>
    </w:p>
    <w:p w14:paraId="09F0AB7C" w14:textId="77777777" w:rsidR="0033404D" w:rsidRDefault="004C0CA3">
      <w:pPr>
        <w:spacing w:line="360" w:lineRule="auto"/>
        <w:ind w:left="720" w:hanging="720"/>
        <w:jc w:val="both"/>
        <w:rPr>
          <w:sz w:val="28"/>
          <w:szCs w:val="28"/>
          <w:rtl/>
        </w:rPr>
      </w:pPr>
      <w:r>
        <w:rPr>
          <w:rFonts w:hint="cs"/>
          <w:sz w:val="28"/>
          <w:szCs w:val="28"/>
          <w:rtl/>
        </w:rPr>
        <w:t>13.</w:t>
      </w:r>
      <w:r>
        <w:rPr>
          <w:rFonts w:hint="cs"/>
          <w:sz w:val="28"/>
          <w:szCs w:val="28"/>
          <w:rtl/>
        </w:rPr>
        <w:tab/>
        <w:t>לאחר שבחנתי את כלל הנסיבות, אלו המחמירות ואלו הפועלות לזכותו של הנאשם, בהתחשב באמור בתסקיר וביתר הנימוקים שציינתי, אני גוזרת עליו את העונשים הבאים:</w:t>
      </w:r>
    </w:p>
    <w:p w14:paraId="70EF7754" w14:textId="77777777" w:rsidR="0033404D" w:rsidRDefault="0033404D">
      <w:pPr>
        <w:spacing w:line="360" w:lineRule="auto"/>
        <w:ind w:left="720" w:hanging="720"/>
        <w:jc w:val="both"/>
        <w:rPr>
          <w:sz w:val="28"/>
          <w:szCs w:val="28"/>
          <w:rtl/>
        </w:rPr>
      </w:pPr>
    </w:p>
    <w:p w14:paraId="2DC1D611" w14:textId="77777777" w:rsidR="0033404D" w:rsidRDefault="004C0CA3">
      <w:pPr>
        <w:spacing w:line="360" w:lineRule="auto"/>
        <w:ind w:left="1440" w:hanging="720"/>
        <w:jc w:val="both"/>
        <w:rPr>
          <w:sz w:val="28"/>
          <w:szCs w:val="28"/>
          <w:rtl/>
        </w:rPr>
      </w:pPr>
      <w:r>
        <w:rPr>
          <w:rFonts w:hint="cs"/>
          <w:sz w:val="28"/>
          <w:szCs w:val="28"/>
          <w:rtl/>
        </w:rPr>
        <w:t>א.</w:t>
      </w:r>
      <w:r>
        <w:rPr>
          <w:rFonts w:hint="cs"/>
          <w:sz w:val="28"/>
          <w:szCs w:val="28"/>
          <w:rtl/>
        </w:rPr>
        <w:tab/>
        <w:t>8 חודשי מאסר בפועל.</w:t>
      </w:r>
    </w:p>
    <w:p w14:paraId="003E0A18" w14:textId="77777777" w:rsidR="0033404D" w:rsidRDefault="004C0CA3">
      <w:pPr>
        <w:spacing w:line="360" w:lineRule="auto"/>
        <w:ind w:left="1440" w:hanging="720"/>
        <w:jc w:val="both"/>
        <w:rPr>
          <w:sz w:val="28"/>
          <w:szCs w:val="28"/>
          <w:rtl/>
        </w:rPr>
      </w:pPr>
      <w:r>
        <w:rPr>
          <w:rFonts w:hint="cs"/>
          <w:rtl/>
        </w:rPr>
        <w:tab/>
      </w:r>
      <w:r>
        <w:rPr>
          <w:rFonts w:hint="cs"/>
          <w:sz w:val="28"/>
          <w:szCs w:val="28"/>
          <w:rtl/>
        </w:rPr>
        <w:t>מתקופת המאסר יש לנכות את ימי מעצרו: 3.9.15 ועד 29.10.15.</w:t>
      </w:r>
    </w:p>
    <w:p w14:paraId="6715EBDF" w14:textId="77777777" w:rsidR="0033404D" w:rsidRDefault="0033404D">
      <w:pPr>
        <w:spacing w:line="360" w:lineRule="auto"/>
        <w:ind w:left="1440" w:hanging="720"/>
        <w:jc w:val="both"/>
        <w:rPr>
          <w:sz w:val="28"/>
          <w:szCs w:val="28"/>
          <w:rtl/>
        </w:rPr>
      </w:pPr>
    </w:p>
    <w:p w14:paraId="4F06A9D9" w14:textId="77777777" w:rsidR="0033404D" w:rsidRDefault="004C0CA3">
      <w:pPr>
        <w:spacing w:line="360" w:lineRule="auto"/>
        <w:ind w:left="1440" w:hanging="720"/>
        <w:jc w:val="both"/>
        <w:rPr>
          <w:sz w:val="28"/>
          <w:szCs w:val="28"/>
          <w:rtl/>
        </w:rPr>
      </w:pPr>
      <w:r>
        <w:rPr>
          <w:rFonts w:hint="cs"/>
          <w:sz w:val="28"/>
          <w:szCs w:val="28"/>
          <w:rtl/>
        </w:rPr>
        <w:t>ב.</w:t>
      </w:r>
      <w:r>
        <w:rPr>
          <w:rFonts w:hint="cs"/>
          <w:sz w:val="28"/>
          <w:szCs w:val="28"/>
          <w:rtl/>
        </w:rPr>
        <w:tab/>
        <w:t xml:space="preserve">7  חודשי מאסר על תנאי לתקופה של 3 שנים, והתנאי הוא שהנאשם לא יעבור עבירה מסוג פשע על </w:t>
      </w:r>
      <w:hyperlink r:id="rId28" w:history="1">
        <w:r w:rsidRPr="004C0CA3">
          <w:rPr>
            <w:color w:val="0000FF"/>
            <w:sz w:val="28"/>
            <w:szCs w:val="28"/>
            <w:u w:val="single"/>
            <w:rtl/>
          </w:rPr>
          <w:t>פקודת הסמים המסוכנים</w:t>
        </w:r>
      </w:hyperlink>
      <w:r>
        <w:rPr>
          <w:rFonts w:hint="cs"/>
          <w:sz w:val="28"/>
          <w:szCs w:val="28"/>
          <w:rtl/>
        </w:rPr>
        <w:t>.</w:t>
      </w:r>
    </w:p>
    <w:p w14:paraId="4DAEB7E8" w14:textId="77777777" w:rsidR="0033404D" w:rsidRDefault="0033404D">
      <w:pPr>
        <w:spacing w:line="360" w:lineRule="auto"/>
        <w:ind w:left="1440" w:hanging="660"/>
        <w:rPr>
          <w:sz w:val="28"/>
          <w:szCs w:val="28"/>
          <w:rtl/>
        </w:rPr>
      </w:pPr>
    </w:p>
    <w:p w14:paraId="42D22376" w14:textId="77777777" w:rsidR="0033404D" w:rsidRDefault="004C0CA3">
      <w:pPr>
        <w:spacing w:line="360" w:lineRule="auto"/>
        <w:ind w:left="1440" w:hanging="660"/>
        <w:jc w:val="both"/>
        <w:rPr>
          <w:sz w:val="28"/>
          <w:szCs w:val="28"/>
          <w:rtl/>
        </w:rPr>
      </w:pPr>
      <w:r>
        <w:rPr>
          <w:rFonts w:hint="cs"/>
          <w:sz w:val="28"/>
          <w:szCs w:val="28"/>
          <w:rtl/>
        </w:rPr>
        <w:t>ג.</w:t>
      </w:r>
      <w:r>
        <w:rPr>
          <w:rFonts w:hint="cs"/>
          <w:sz w:val="28"/>
          <w:szCs w:val="28"/>
          <w:rtl/>
        </w:rPr>
        <w:tab/>
        <w:t xml:space="preserve">4 חודשי מאסר על תנאי לתקופה של 3 שנים, והתנאי הוא שהנאשם לא יעבור עבירה מסוג עוון על </w:t>
      </w:r>
      <w:hyperlink r:id="rId29" w:history="1">
        <w:r w:rsidRPr="004C0CA3">
          <w:rPr>
            <w:color w:val="0000FF"/>
            <w:sz w:val="28"/>
            <w:szCs w:val="28"/>
            <w:u w:val="single"/>
            <w:rtl/>
          </w:rPr>
          <w:t>פקודת הסמים המסוכנים</w:t>
        </w:r>
      </w:hyperlink>
      <w:r>
        <w:rPr>
          <w:rFonts w:hint="cs"/>
          <w:sz w:val="28"/>
          <w:szCs w:val="28"/>
          <w:rtl/>
        </w:rPr>
        <w:t>.</w:t>
      </w:r>
    </w:p>
    <w:p w14:paraId="12A73A17" w14:textId="77777777" w:rsidR="0033404D" w:rsidRDefault="0033404D">
      <w:pPr>
        <w:spacing w:line="360" w:lineRule="auto"/>
        <w:ind w:left="1440" w:hanging="660"/>
        <w:jc w:val="both"/>
        <w:rPr>
          <w:sz w:val="28"/>
          <w:szCs w:val="28"/>
          <w:rtl/>
        </w:rPr>
      </w:pPr>
    </w:p>
    <w:p w14:paraId="346C3E20" w14:textId="77777777" w:rsidR="0033404D" w:rsidRDefault="004C0CA3">
      <w:pPr>
        <w:spacing w:line="360" w:lineRule="auto"/>
        <w:ind w:left="1440" w:hanging="660"/>
        <w:jc w:val="both"/>
        <w:rPr>
          <w:sz w:val="28"/>
          <w:szCs w:val="28"/>
          <w:rtl/>
        </w:rPr>
      </w:pPr>
      <w:r>
        <w:rPr>
          <w:rFonts w:hint="cs"/>
          <w:sz w:val="28"/>
          <w:szCs w:val="28"/>
          <w:rtl/>
        </w:rPr>
        <w:t>ד.</w:t>
      </w:r>
      <w:r>
        <w:rPr>
          <w:rFonts w:hint="cs"/>
          <w:sz w:val="28"/>
          <w:szCs w:val="28"/>
          <w:rtl/>
        </w:rPr>
        <w:tab/>
        <w:t>קנס בסך 4,000 ₪, 2,000 ₪ יקוזזו מתוך הכספים המופקדים בתיק המ"ת 31254-09-14 והיתרה תשולם ב- 4 תשלומים חודשיים שווים ורצופים, הראשון ביום 1.2.16 ובכל ראשון לכל חודש שלאחריו. לא ישולם הקנס או שיעור ממנו, יעמוד מלוא הסכום לפרעון, והנאשם ירצה 36 ימי מאסר תמורתו.</w:t>
      </w:r>
    </w:p>
    <w:p w14:paraId="37982D30" w14:textId="77777777" w:rsidR="0033404D" w:rsidRDefault="0033404D">
      <w:pPr>
        <w:spacing w:line="360" w:lineRule="auto"/>
        <w:ind w:left="1440" w:hanging="660"/>
        <w:jc w:val="both"/>
        <w:rPr>
          <w:sz w:val="28"/>
          <w:szCs w:val="28"/>
          <w:rtl/>
        </w:rPr>
      </w:pPr>
    </w:p>
    <w:p w14:paraId="640A62ED" w14:textId="77777777" w:rsidR="0033404D" w:rsidRDefault="004C0CA3">
      <w:pPr>
        <w:spacing w:line="360" w:lineRule="auto"/>
        <w:ind w:left="1440" w:hanging="660"/>
        <w:jc w:val="both"/>
        <w:rPr>
          <w:sz w:val="28"/>
          <w:szCs w:val="28"/>
          <w:rtl/>
        </w:rPr>
      </w:pPr>
      <w:r>
        <w:rPr>
          <w:rFonts w:hint="cs"/>
          <w:sz w:val="28"/>
          <w:szCs w:val="28"/>
          <w:rtl/>
        </w:rPr>
        <w:t>ה.</w:t>
      </w:r>
      <w:r>
        <w:rPr>
          <w:rFonts w:hint="cs"/>
          <w:sz w:val="28"/>
          <w:szCs w:val="28"/>
          <w:rtl/>
        </w:rPr>
        <w:tab/>
        <w:t>לנוכח האמור ובהתחשב במעשה בו הורשע הנאשם וזיקתו לרכב נשוא בקשת החילוט – אני מורה על חילוטו של הרכב.</w:t>
      </w:r>
    </w:p>
    <w:p w14:paraId="7D820BCA" w14:textId="77777777" w:rsidR="0033404D" w:rsidRDefault="0033404D">
      <w:pPr>
        <w:spacing w:line="360" w:lineRule="auto"/>
        <w:rPr>
          <w:sz w:val="28"/>
          <w:szCs w:val="28"/>
          <w:rtl/>
        </w:rPr>
      </w:pPr>
    </w:p>
    <w:p w14:paraId="010B4198" w14:textId="77777777" w:rsidR="0033404D" w:rsidRDefault="004C0CA3">
      <w:pPr>
        <w:spacing w:line="360" w:lineRule="auto"/>
        <w:ind w:left="1440" w:hanging="720"/>
        <w:jc w:val="both"/>
        <w:rPr>
          <w:sz w:val="28"/>
          <w:szCs w:val="28"/>
          <w:rtl/>
        </w:rPr>
      </w:pPr>
      <w:r>
        <w:rPr>
          <w:rFonts w:hint="cs"/>
          <w:sz w:val="28"/>
          <w:szCs w:val="28"/>
          <w:rtl/>
        </w:rPr>
        <w:t>ו.</w:t>
      </w:r>
      <w:r>
        <w:rPr>
          <w:rFonts w:hint="cs"/>
          <w:sz w:val="28"/>
          <w:szCs w:val="28"/>
          <w:rtl/>
        </w:rPr>
        <w:tab/>
        <w:t>הסמים יושמדו בחלוף מועד הערעור.</w:t>
      </w:r>
    </w:p>
    <w:p w14:paraId="27E0056A" w14:textId="77777777" w:rsidR="0033404D" w:rsidRDefault="0033404D">
      <w:pPr>
        <w:spacing w:line="360" w:lineRule="auto"/>
        <w:rPr>
          <w:b/>
          <w:bCs/>
          <w:u w:val="single"/>
          <w:rtl/>
        </w:rPr>
      </w:pPr>
    </w:p>
    <w:p w14:paraId="583C78E4" w14:textId="77777777" w:rsidR="0033404D" w:rsidRDefault="0033404D">
      <w:pPr>
        <w:spacing w:line="360" w:lineRule="auto"/>
        <w:rPr>
          <w:b/>
          <w:bCs/>
          <w:u w:val="single"/>
          <w:rtl/>
        </w:rPr>
      </w:pPr>
    </w:p>
    <w:p w14:paraId="22F6AFD0" w14:textId="77777777" w:rsidR="0033404D" w:rsidRDefault="004C0CA3">
      <w:pPr>
        <w:spacing w:line="360" w:lineRule="auto"/>
        <w:rPr>
          <w:b/>
          <w:bCs/>
          <w:sz w:val="28"/>
          <w:szCs w:val="28"/>
          <w:rtl/>
        </w:rPr>
      </w:pPr>
      <w:r>
        <w:rPr>
          <w:rFonts w:hint="cs"/>
          <w:b/>
          <w:bCs/>
          <w:sz w:val="28"/>
          <w:szCs w:val="28"/>
          <w:u w:val="single"/>
          <w:rtl/>
        </w:rPr>
        <w:t>זכות ערעור תוך 45 יום מהיום</w:t>
      </w:r>
      <w:r>
        <w:rPr>
          <w:rFonts w:hint="cs"/>
          <w:b/>
          <w:bCs/>
          <w:sz w:val="28"/>
          <w:szCs w:val="28"/>
          <w:rtl/>
        </w:rPr>
        <w:t>.</w:t>
      </w:r>
    </w:p>
    <w:p w14:paraId="6CC38CC9" w14:textId="77777777" w:rsidR="0033404D" w:rsidRDefault="004C0CA3">
      <w:pPr>
        <w:rPr>
          <w:rtl/>
        </w:rPr>
      </w:pPr>
      <w:r>
        <w:rPr>
          <w:rFonts w:hint="cs"/>
          <w:rtl/>
        </w:rPr>
        <w:tab/>
        <w:t xml:space="preserve"> </w:t>
      </w:r>
    </w:p>
    <w:p w14:paraId="24FCED23" w14:textId="77777777" w:rsidR="0033404D" w:rsidRDefault="004C0CA3">
      <w:pPr>
        <w:rPr>
          <w:rFonts w:ascii="Times New Roman" w:hAnsi="Times New Roman"/>
          <w:sz w:val="6"/>
          <w:szCs w:val="6"/>
          <w:rtl/>
        </w:rPr>
      </w:pPr>
      <w:r>
        <w:rPr>
          <w:rFonts w:ascii="Times New Roman" w:hAnsi="Times New Roman"/>
          <w:sz w:val="6"/>
          <w:szCs w:val="6"/>
          <w:rtl/>
        </w:rPr>
        <w:t>&lt;#4#&gt;</w:t>
      </w:r>
    </w:p>
    <w:p w14:paraId="162223C5" w14:textId="77777777" w:rsidR="0033404D" w:rsidRDefault="0033404D">
      <w:pPr>
        <w:jc w:val="right"/>
        <w:rPr>
          <w:rtl/>
        </w:rPr>
      </w:pPr>
    </w:p>
    <w:p w14:paraId="36C2FE0E" w14:textId="77777777" w:rsidR="0033404D" w:rsidRDefault="004C0CA3">
      <w:pPr>
        <w:spacing w:line="360" w:lineRule="auto"/>
        <w:rPr>
          <w:rtl/>
        </w:rPr>
      </w:pPr>
      <w:r>
        <w:rPr>
          <w:rFonts w:hint="cs"/>
          <w:b/>
          <w:bCs/>
          <w:rtl/>
        </w:rPr>
        <w:t xml:space="preserve">ניתנה והודעה היום </w:t>
      </w:r>
      <w:r>
        <w:rPr>
          <w:rFonts w:hint="cs"/>
          <w:rtl/>
        </w:rPr>
        <w:t>י"ב טבת תשע"ו</w:t>
      </w:r>
      <w:r>
        <w:rPr>
          <w:rFonts w:hint="cs"/>
          <w:b/>
          <w:bCs/>
          <w:rtl/>
        </w:rPr>
        <w:t xml:space="preserve">, </w:t>
      </w:r>
      <w:r>
        <w:rPr>
          <w:rFonts w:hint="cs"/>
          <w:rtl/>
        </w:rPr>
        <w:t>24/12/2015</w:t>
      </w:r>
      <w:r>
        <w:rPr>
          <w:rFonts w:hint="cs"/>
          <w:b/>
          <w:bCs/>
          <w:rtl/>
        </w:rPr>
        <w:t xml:space="preserve"> במעמד הנוכחים.</w:t>
      </w:r>
    </w:p>
    <w:p w14:paraId="71992F7B" w14:textId="77777777" w:rsidR="0033404D" w:rsidRDefault="0033404D">
      <w:pPr>
        <w:jc w:val="center"/>
        <w:rPr>
          <w:rtl/>
        </w:rPr>
      </w:pPr>
    </w:p>
    <w:p w14:paraId="1CBF7E11" w14:textId="77777777" w:rsidR="0033404D" w:rsidRDefault="0033404D">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3404D" w14:paraId="0D4922D9" w14:textId="77777777">
        <w:trPr>
          <w:trHeight w:val="364"/>
          <w:jc w:val="right"/>
        </w:trPr>
        <w:tc>
          <w:tcPr>
            <w:tcW w:w="3708" w:type="dxa"/>
            <w:shd w:val="clear" w:color="auto" w:fill="auto"/>
          </w:tcPr>
          <w:p w14:paraId="795419BB" w14:textId="77777777" w:rsidR="0033404D" w:rsidRDefault="0033404D">
            <w:pPr>
              <w:jc w:val="center"/>
              <w:rPr>
                <w:rFonts w:ascii="Times New Roman" w:eastAsia="Times New Roman" w:hAnsi="Times New Roman" w:cs="Times New Roman"/>
              </w:rPr>
            </w:pPr>
          </w:p>
          <w:p w14:paraId="2A6C06AF" w14:textId="77777777" w:rsidR="0033404D" w:rsidRDefault="0033404D">
            <w:pPr>
              <w:jc w:val="center"/>
              <w:rPr>
                <w:rFonts w:ascii="Times New Roman" w:eastAsia="Times New Roman" w:hAnsi="Times New Roman" w:cs="Times New Roman"/>
                <w:rtl/>
              </w:rPr>
            </w:pPr>
          </w:p>
        </w:tc>
      </w:tr>
      <w:tr w:rsidR="0033404D" w14:paraId="798167B5" w14:textId="77777777">
        <w:trPr>
          <w:trHeight w:val="415"/>
          <w:jc w:val="right"/>
        </w:trPr>
        <w:tc>
          <w:tcPr>
            <w:tcW w:w="3708" w:type="dxa"/>
            <w:shd w:val="clear" w:color="auto" w:fill="auto"/>
          </w:tcPr>
          <w:p w14:paraId="49CA85F2" w14:textId="77777777" w:rsidR="0033404D" w:rsidRDefault="004C0CA3">
            <w:pPr>
              <w:jc w:val="center"/>
              <w:rPr>
                <w:rFonts w:ascii="Times New Roman" w:eastAsia="Times New Roman" w:hAnsi="Times New Roman"/>
                <w:b/>
                <w:bCs/>
                <w:rtl/>
              </w:rPr>
            </w:pPr>
            <w:r>
              <w:rPr>
                <w:rFonts w:ascii="Times New Roman" w:eastAsia="Times New Roman" w:hAnsi="Times New Roman" w:hint="cs"/>
                <w:b/>
                <w:bCs/>
                <w:rtl/>
              </w:rPr>
              <w:t>גלית ציגלר, שופטת בכירה</w:t>
            </w:r>
          </w:p>
        </w:tc>
      </w:tr>
    </w:tbl>
    <w:p w14:paraId="74747FF0" w14:textId="77777777" w:rsidR="0033404D" w:rsidRDefault="0033404D">
      <w:pPr>
        <w:jc w:val="right"/>
        <w:rPr>
          <w:rtl/>
        </w:rPr>
      </w:pPr>
    </w:p>
    <w:p w14:paraId="345D1DB0" w14:textId="77777777" w:rsidR="0033404D" w:rsidRDefault="0033404D">
      <w:pPr>
        <w:jc w:val="center"/>
        <w:rPr>
          <w:rtl/>
        </w:rPr>
      </w:pPr>
    </w:p>
    <w:p w14:paraId="7348BA62" w14:textId="77777777" w:rsidR="0033404D" w:rsidRDefault="0033404D">
      <w:pPr>
        <w:bidi w:val="0"/>
        <w:rPr>
          <w:rFonts w:ascii="Calibri" w:hAnsi="Calibri"/>
        </w:rPr>
      </w:pPr>
    </w:p>
    <w:p w14:paraId="48232C73" w14:textId="77777777" w:rsidR="0033404D" w:rsidRDefault="0033404D">
      <w:pPr>
        <w:spacing w:line="360" w:lineRule="auto"/>
        <w:jc w:val="both"/>
        <w:rPr>
          <w:sz w:val="28"/>
          <w:szCs w:val="28"/>
          <w:rtl/>
        </w:rPr>
      </w:pPr>
    </w:p>
    <w:p w14:paraId="086D1285" w14:textId="77777777" w:rsidR="0033404D" w:rsidRDefault="004C0CA3">
      <w:pPr>
        <w:spacing w:line="360" w:lineRule="auto"/>
        <w:jc w:val="both"/>
        <w:rPr>
          <w:sz w:val="6"/>
          <w:szCs w:val="6"/>
          <w:rtl/>
        </w:rPr>
      </w:pPr>
      <w:r>
        <w:rPr>
          <w:sz w:val="6"/>
          <w:szCs w:val="6"/>
          <w:rtl/>
        </w:rPr>
        <w:t>&lt;#5#&gt;</w:t>
      </w:r>
    </w:p>
    <w:p w14:paraId="5B6C2A84" w14:textId="77777777" w:rsidR="0033404D" w:rsidRDefault="004C0CA3">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FA7FE9D" w14:textId="77777777" w:rsidR="0033404D" w:rsidRDefault="0033404D">
      <w:pPr>
        <w:spacing w:line="360" w:lineRule="auto"/>
        <w:jc w:val="both"/>
        <w:rPr>
          <w:rtl/>
        </w:rPr>
      </w:pPr>
    </w:p>
    <w:p w14:paraId="4ADFC61E" w14:textId="77777777" w:rsidR="0033404D" w:rsidRDefault="004C0CA3">
      <w:pPr>
        <w:spacing w:line="360" w:lineRule="auto"/>
        <w:jc w:val="both"/>
        <w:rPr>
          <w:sz w:val="28"/>
          <w:szCs w:val="28"/>
          <w:rtl/>
        </w:rPr>
      </w:pPr>
      <w:r>
        <w:rPr>
          <w:rFonts w:hint="cs"/>
          <w:sz w:val="28"/>
          <w:szCs w:val="28"/>
          <w:rtl/>
        </w:rPr>
        <w:t>לבקשת הסנגור אני מעכבת את רכיב המאסר שנקבע בגזר הדין, עד ליום 1.2.16.</w:t>
      </w:r>
    </w:p>
    <w:p w14:paraId="05C05B1F" w14:textId="77777777" w:rsidR="0033404D" w:rsidRDefault="004C0CA3">
      <w:pPr>
        <w:spacing w:line="360" w:lineRule="auto"/>
        <w:jc w:val="both"/>
        <w:rPr>
          <w:sz w:val="28"/>
          <w:szCs w:val="28"/>
          <w:rtl/>
        </w:rPr>
      </w:pPr>
      <w:r>
        <w:rPr>
          <w:rFonts w:hint="cs"/>
          <w:sz w:val="28"/>
          <w:szCs w:val="28"/>
          <w:rtl/>
        </w:rPr>
        <w:t>ככל שלא יוגש ערעור על הנאשם להתייצב לתחילת ריצוי מאסרו במזכירות בית המשפט ביום 1.2.16 בשעה 08:30.</w:t>
      </w:r>
    </w:p>
    <w:p w14:paraId="3F746F28" w14:textId="77777777" w:rsidR="0033404D" w:rsidRDefault="004C0CA3">
      <w:pPr>
        <w:spacing w:line="360" w:lineRule="auto"/>
        <w:jc w:val="both"/>
        <w:rPr>
          <w:sz w:val="28"/>
          <w:szCs w:val="28"/>
          <w:rtl/>
        </w:rPr>
      </w:pPr>
      <w:r>
        <w:rPr>
          <w:rFonts w:hint="cs"/>
          <w:sz w:val="28"/>
          <w:szCs w:val="28"/>
          <w:rtl/>
        </w:rPr>
        <w:t>עיכוב הביצוע כפוף להשארת הערבויות האחרות שנחתמו בתיק וכן צו עיכוב יציאה מהארץ, ככל שצו כזה לא הוצא עדיין.</w:t>
      </w:r>
    </w:p>
    <w:p w14:paraId="70D92287" w14:textId="77777777" w:rsidR="0033404D" w:rsidRDefault="004C0CA3">
      <w:pPr>
        <w:spacing w:line="360" w:lineRule="auto"/>
        <w:jc w:val="both"/>
        <w:rPr>
          <w:sz w:val="28"/>
          <w:szCs w:val="28"/>
          <w:rtl/>
        </w:rPr>
      </w:pPr>
      <w:r>
        <w:rPr>
          <w:rFonts w:hint="cs"/>
          <w:sz w:val="28"/>
          <w:szCs w:val="28"/>
          <w:rtl/>
        </w:rPr>
        <w:t>המשטרה תטפל בהוצאת הצו.</w:t>
      </w:r>
    </w:p>
    <w:p w14:paraId="550E7C71" w14:textId="77777777" w:rsidR="0033404D" w:rsidRDefault="0033404D">
      <w:pPr>
        <w:jc w:val="right"/>
        <w:rPr>
          <w:rtl/>
        </w:rPr>
      </w:pPr>
    </w:p>
    <w:p w14:paraId="27C8EE5E" w14:textId="77777777" w:rsidR="0033404D" w:rsidRDefault="004C0CA3">
      <w:pPr>
        <w:jc w:val="center"/>
        <w:rPr>
          <w:rtl/>
        </w:rPr>
      </w:pPr>
      <w:r w:rsidRPr="004C0CA3">
        <w:rPr>
          <w:b/>
          <w:bCs/>
          <w:color w:val="FFFFFF"/>
          <w:sz w:val="2"/>
          <w:szCs w:val="2"/>
          <w:rtl/>
        </w:rPr>
        <w:t>5129371</w:t>
      </w:r>
      <w:r>
        <w:rPr>
          <w:b/>
          <w:bCs/>
          <w:rtl/>
        </w:rPr>
        <w:t xml:space="preserve">ניתנה והודעה היום י"ב טבת תשע"ו, 24/12/2015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3404D" w14:paraId="1750AAB8" w14:textId="77777777">
        <w:trPr>
          <w:trHeight w:val="364"/>
          <w:jc w:val="right"/>
        </w:trPr>
        <w:tc>
          <w:tcPr>
            <w:tcW w:w="3708" w:type="dxa"/>
            <w:shd w:val="clear" w:color="auto" w:fill="auto"/>
          </w:tcPr>
          <w:p w14:paraId="626D5487" w14:textId="77777777" w:rsidR="0033404D" w:rsidRPr="004C0CA3" w:rsidRDefault="004C0CA3">
            <w:pPr>
              <w:jc w:val="center"/>
              <w:rPr>
                <w:rFonts w:ascii="Times New Roman" w:eastAsia="Times New Roman" w:hAnsi="Times New Roman" w:cs="Times New Roman"/>
                <w:color w:val="FFFFFF"/>
                <w:sz w:val="2"/>
                <w:szCs w:val="2"/>
                <w:rtl/>
              </w:rPr>
            </w:pPr>
            <w:r w:rsidRPr="004C0CA3">
              <w:rPr>
                <w:rFonts w:ascii="Times New Roman" w:eastAsia="Times New Roman" w:hAnsi="Times New Roman" w:cs="Times New Roman"/>
                <w:color w:val="FFFFFF"/>
                <w:sz w:val="2"/>
                <w:szCs w:val="2"/>
                <w:rtl/>
              </w:rPr>
              <w:t>54678313</w:t>
            </w:r>
          </w:p>
        </w:tc>
      </w:tr>
      <w:tr w:rsidR="0033404D" w14:paraId="250FE24D" w14:textId="77777777">
        <w:trPr>
          <w:trHeight w:val="415"/>
          <w:jc w:val="right"/>
        </w:trPr>
        <w:tc>
          <w:tcPr>
            <w:tcW w:w="3708" w:type="dxa"/>
            <w:shd w:val="clear" w:color="auto" w:fill="auto"/>
          </w:tcPr>
          <w:p w14:paraId="0CB208FF" w14:textId="77777777" w:rsidR="0033404D" w:rsidRDefault="004C0CA3">
            <w:pPr>
              <w:jc w:val="center"/>
              <w:rPr>
                <w:rFonts w:ascii="Times New Roman" w:eastAsia="Times New Roman" w:hAnsi="Times New Roman"/>
                <w:b/>
                <w:bCs/>
                <w:rtl/>
              </w:rPr>
            </w:pPr>
            <w:r>
              <w:rPr>
                <w:rFonts w:ascii="Times New Roman" w:eastAsia="Times New Roman" w:hAnsi="Times New Roman" w:hint="cs"/>
                <w:b/>
                <w:bCs/>
                <w:rtl/>
              </w:rPr>
              <w:t>גלית ציגלר, שופטת בכירה</w:t>
            </w:r>
          </w:p>
        </w:tc>
      </w:tr>
    </w:tbl>
    <w:p w14:paraId="6D695845" w14:textId="77777777" w:rsidR="0033404D" w:rsidRDefault="0033404D">
      <w:pPr>
        <w:jc w:val="right"/>
        <w:rPr>
          <w:rtl/>
        </w:rPr>
      </w:pPr>
    </w:p>
    <w:p w14:paraId="7D6C4706" w14:textId="77777777" w:rsidR="0033404D" w:rsidRDefault="004C0CA3">
      <w:r>
        <w:rPr>
          <w:rtl/>
        </w:rPr>
        <w:t>הוקלד</w:t>
      </w:r>
      <w:r>
        <w:t xml:space="preserve"> </w:t>
      </w:r>
      <w:r>
        <w:rPr>
          <w:rtl/>
        </w:rPr>
        <w:t>על</w:t>
      </w:r>
      <w:r>
        <w:t xml:space="preserve"> </w:t>
      </w:r>
      <w:r>
        <w:rPr>
          <w:rtl/>
        </w:rPr>
        <w:t>ידי</w:t>
      </w:r>
      <w:r>
        <w:t xml:space="preserve"> </w:t>
      </w:r>
      <w:r>
        <w:rPr>
          <w:rtl/>
        </w:rPr>
        <w:t>אורית</w:t>
      </w:r>
      <w:r>
        <w:t xml:space="preserve"> </w:t>
      </w:r>
      <w:r>
        <w:rPr>
          <w:rtl/>
        </w:rPr>
        <w:t>זיתוני</w:t>
      </w:r>
    </w:p>
    <w:p w14:paraId="3DEDAA0A" w14:textId="77777777" w:rsidR="004C0CA3" w:rsidRPr="004C0CA3" w:rsidRDefault="004C0CA3" w:rsidP="004C0CA3">
      <w:pPr>
        <w:keepNext/>
        <w:rPr>
          <w:color w:val="000000"/>
          <w:sz w:val="22"/>
          <w:szCs w:val="22"/>
          <w:rtl/>
        </w:rPr>
      </w:pPr>
    </w:p>
    <w:p w14:paraId="61A11B05" w14:textId="77777777" w:rsidR="004C0CA3" w:rsidRPr="004C0CA3" w:rsidRDefault="004C0CA3" w:rsidP="004C0CA3">
      <w:pPr>
        <w:keepNext/>
        <w:rPr>
          <w:color w:val="000000"/>
          <w:sz w:val="22"/>
          <w:szCs w:val="22"/>
          <w:rtl/>
        </w:rPr>
      </w:pPr>
      <w:r w:rsidRPr="004C0CA3">
        <w:rPr>
          <w:color w:val="000000"/>
          <w:sz w:val="22"/>
          <w:szCs w:val="22"/>
          <w:rtl/>
        </w:rPr>
        <w:t>גלית ציגלר 54678313</w:t>
      </w:r>
    </w:p>
    <w:p w14:paraId="7C968367" w14:textId="77777777" w:rsidR="004C0CA3" w:rsidRDefault="004C0CA3" w:rsidP="004C0CA3">
      <w:r w:rsidRPr="004C0CA3">
        <w:rPr>
          <w:color w:val="000000"/>
          <w:rtl/>
        </w:rPr>
        <w:t>נוסח מסמך זה כפוף לשינויי ניסוח ועריכה</w:t>
      </w:r>
    </w:p>
    <w:p w14:paraId="353BF889" w14:textId="77777777" w:rsidR="004C0CA3" w:rsidRDefault="004C0CA3" w:rsidP="004C0CA3">
      <w:pPr>
        <w:rPr>
          <w:rtl/>
        </w:rPr>
      </w:pPr>
    </w:p>
    <w:p w14:paraId="58BA6BD2" w14:textId="77777777" w:rsidR="004C0CA3" w:rsidRDefault="004C0CA3" w:rsidP="004C0CA3">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2C73F25" w14:textId="77777777" w:rsidR="0033404D" w:rsidRPr="004C0CA3" w:rsidRDefault="0033404D" w:rsidP="004C0CA3">
      <w:pPr>
        <w:jc w:val="center"/>
        <w:rPr>
          <w:color w:val="0000FF"/>
          <w:u w:val="single"/>
        </w:rPr>
      </w:pPr>
    </w:p>
    <w:sectPr w:rsidR="0033404D" w:rsidRPr="004C0CA3" w:rsidSect="004C0CA3">
      <w:headerReference w:type="even" r:id="rId31"/>
      <w:headerReference w:type="default" r:id="rId32"/>
      <w:footerReference w:type="even" r:id="rId33"/>
      <w:footerReference w:type="default" r:id="rId3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2E341" w14:textId="77777777" w:rsidR="00FC07D1" w:rsidRDefault="00FC07D1">
      <w:r>
        <w:separator/>
      </w:r>
    </w:p>
  </w:endnote>
  <w:endnote w:type="continuationSeparator" w:id="0">
    <w:p w14:paraId="01499998" w14:textId="77777777" w:rsidR="00FC07D1" w:rsidRDefault="00FC0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FFF9B" w14:textId="77777777" w:rsidR="004F61DD" w:rsidRDefault="004F61DD" w:rsidP="004C0CA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1E5DA6BE" w14:textId="77777777" w:rsidR="004F61DD" w:rsidRPr="004C0CA3" w:rsidRDefault="004F61DD" w:rsidP="004C0CA3">
    <w:pPr>
      <w:pStyle w:val="a7"/>
      <w:pBdr>
        <w:top w:val="single" w:sz="4" w:space="1" w:color="auto"/>
        <w:between w:val="single" w:sz="4" w:space="0" w:color="auto"/>
      </w:pBdr>
      <w:spacing w:after="60"/>
      <w:jc w:val="center"/>
      <w:rPr>
        <w:rFonts w:ascii="FrankRuehl" w:hAnsi="FrankRuehl" w:cs="FrankRuehl"/>
        <w:color w:val="000000"/>
      </w:rPr>
    </w:pPr>
    <w:r w:rsidRPr="004C0CA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DD1A7" w14:textId="77777777" w:rsidR="004F61DD" w:rsidRDefault="004F61DD" w:rsidP="004C0CA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6D51">
      <w:rPr>
        <w:rFonts w:ascii="FrankRuehl" w:hAnsi="FrankRuehl" w:cs="FrankRuehl"/>
        <w:noProof/>
        <w:rtl/>
      </w:rPr>
      <w:t>1</w:t>
    </w:r>
    <w:r>
      <w:rPr>
        <w:rFonts w:ascii="FrankRuehl" w:hAnsi="FrankRuehl" w:cs="FrankRuehl"/>
        <w:rtl/>
      </w:rPr>
      <w:fldChar w:fldCharType="end"/>
    </w:r>
  </w:p>
  <w:p w14:paraId="0F20E2F1" w14:textId="77777777" w:rsidR="004F61DD" w:rsidRPr="004C0CA3" w:rsidRDefault="004F61DD" w:rsidP="004C0CA3">
    <w:pPr>
      <w:pStyle w:val="a7"/>
      <w:pBdr>
        <w:top w:val="single" w:sz="4" w:space="1" w:color="auto"/>
        <w:between w:val="single" w:sz="4" w:space="0" w:color="auto"/>
      </w:pBdr>
      <w:spacing w:after="60"/>
      <w:jc w:val="center"/>
      <w:rPr>
        <w:rFonts w:ascii="FrankRuehl" w:hAnsi="FrankRuehl" w:cs="FrankRuehl"/>
        <w:color w:val="000000"/>
      </w:rPr>
    </w:pPr>
    <w:r w:rsidRPr="004C0CA3">
      <w:rPr>
        <w:rFonts w:ascii="FrankRuehl" w:hAnsi="FrankRuehl" w:cs="FrankRuehl"/>
        <w:color w:val="000000"/>
      </w:rPr>
      <w:pict w14:anchorId="6BC66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DD656" w14:textId="77777777" w:rsidR="00FC07D1" w:rsidRDefault="00FC07D1">
      <w:r>
        <w:separator/>
      </w:r>
    </w:p>
  </w:footnote>
  <w:footnote w:type="continuationSeparator" w:id="0">
    <w:p w14:paraId="31477C17" w14:textId="77777777" w:rsidR="00FC07D1" w:rsidRDefault="00FC0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EEB21" w14:textId="77777777" w:rsidR="004F61DD" w:rsidRPr="004C0CA3" w:rsidRDefault="004F61DD" w:rsidP="004C0CA3">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31236-09-14</w:t>
    </w:r>
    <w:r>
      <w:rPr>
        <w:color w:val="000000"/>
        <w:sz w:val="22"/>
        <w:szCs w:val="22"/>
        <w:rtl/>
      </w:rPr>
      <w:tab/>
      <w:t xml:space="preserve"> מדינת ישראל נ' סאלם רקיבי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E4FE4" w14:textId="77777777" w:rsidR="004F61DD" w:rsidRPr="004C0CA3" w:rsidRDefault="004F61DD" w:rsidP="004C0CA3">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31236-09-14</w:t>
    </w:r>
    <w:r>
      <w:rPr>
        <w:color w:val="000000"/>
        <w:sz w:val="22"/>
        <w:szCs w:val="22"/>
        <w:rtl/>
      </w:rPr>
      <w:tab/>
      <w:t xml:space="preserve"> מדינת ישראל נ' סאלם רקיבי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027CC4C8"/>
    <w:lvl w:ilvl="0" w:tplc="2DC65F72">
      <w:start w:val="1"/>
      <w:numFmt w:val="decimal"/>
      <w:pStyle w:val="a"/>
      <w:lvlText w:val="%1."/>
      <w:lvlJc w:val="left"/>
      <w:pPr>
        <w:tabs>
          <w:tab w:val="num" w:pos="720"/>
        </w:tabs>
        <w:ind w:left="720" w:hanging="720"/>
      </w:pPr>
      <w:rPr>
        <w:rFonts w:cs="David"/>
      </w:rPr>
    </w:lvl>
    <w:lvl w:ilvl="1" w:tplc="E7E4B642">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37832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404D"/>
    <w:rsid w:val="00136D51"/>
    <w:rsid w:val="0033404D"/>
    <w:rsid w:val="00340B20"/>
    <w:rsid w:val="004C0CA3"/>
    <w:rsid w:val="004F61DD"/>
    <w:rsid w:val="00510658"/>
    <w:rsid w:val="00894004"/>
    <w:rsid w:val="00930008"/>
    <w:rsid w:val="00964440"/>
    <w:rsid w:val="00EE2D24"/>
    <w:rsid w:val="00F5725A"/>
    <w:rsid w:val="00FC07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89B76E"/>
  <w15:chartTrackingRefBased/>
  <w15:docId w15:val="{6BA6ECFD-3305-4529-B5DC-4C804EBB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3404D"/>
    <w:pPr>
      <w:bidi/>
    </w:pPr>
    <w:rPr>
      <w:rFonts w:ascii="David" w:eastAsia="David" w:hAnsi="David" w:cs="David"/>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styleId="a4">
    <w:name w:val="line number"/>
    <w:basedOn w:val="a1"/>
    <w:rsid w:val="0033404D"/>
  </w:style>
  <w:style w:type="paragraph" w:styleId="a5">
    <w:name w:val="header"/>
    <w:basedOn w:val="a0"/>
    <w:link w:val="a6"/>
    <w:rsid w:val="0033404D"/>
    <w:pPr>
      <w:tabs>
        <w:tab w:val="center" w:pos="4153"/>
        <w:tab w:val="right" w:pos="8306"/>
      </w:tabs>
    </w:pPr>
  </w:style>
  <w:style w:type="paragraph" w:styleId="a7">
    <w:name w:val="footer"/>
    <w:basedOn w:val="a0"/>
    <w:rsid w:val="0033404D"/>
    <w:pPr>
      <w:tabs>
        <w:tab w:val="center" w:pos="4153"/>
        <w:tab w:val="right" w:pos="8306"/>
      </w:tabs>
    </w:pPr>
  </w:style>
  <w:style w:type="character" w:styleId="a8">
    <w:name w:val="page number"/>
    <w:basedOn w:val="a1"/>
    <w:rsid w:val="0033404D"/>
  </w:style>
  <w:style w:type="paragraph" w:customStyle="1" w:styleId="12">
    <w:name w:val="רגיל + ‏12 נק'"/>
    <w:aliases w:val="מיושר לשני הצדדים,מרווח בין שורות:  שורה וחצי"/>
    <w:basedOn w:val="a0"/>
    <w:rsid w:val="0033404D"/>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0"/>
    <w:rsid w:val="0033404D"/>
    <w:pPr>
      <w:spacing w:line="360" w:lineRule="auto"/>
      <w:jc w:val="both"/>
    </w:pPr>
    <w:rPr>
      <w:rFonts w:ascii="Times New Roman" w:eastAsia="Times New Roman" w:hAnsi="Times New Roman"/>
    </w:rPr>
  </w:style>
  <w:style w:type="character" w:styleId="Hyperlink">
    <w:name w:val="Hyperlink"/>
    <w:rsid w:val="0033404D"/>
    <w:rPr>
      <w:rFonts w:ascii="Times New Roman" w:hAnsi="Times New Roman" w:cs="Times New Roman" w:hint="default"/>
      <w:color w:val="0000FF"/>
      <w:u w:val="single"/>
    </w:rPr>
  </w:style>
  <w:style w:type="character" w:customStyle="1" w:styleId="a6">
    <w:name w:val="כותרת עליונה תו"/>
    <w:link w:val="a5"/>
    <w:rsid w:val="0033404D"/>
    <w:rPr>
      <w:rFonts w:ascii="David" w:eastAsia="David" w:hAnsi="David" w:cs="David"/>
      <w:sz w:val="24"/>
      <w:szCs w:val="24"/>
      <w:lang w:val="en-US" w:eastAsia="en-US" w:bidi="he-IL"/>
    </w:rPr>
  </w:style>
  <w:style w:type="paragraph" w:customStyle="1" w:styleId="a">
    <w:name w:val="ממוספר"/>
    <w:basedOn w:val="a0"/>
    <w:rsid w:val="0033404D"/>
    <w:pPr>
      <w:numPr>
        <w:numId w:val="1"/>
      </w:numPr>
      <w:spacing w:after="120" w:line="360" w:lineRule="auto"/>
    </w:pPr>
    <w:rPr>
      <w:rFonts w:eastAsia="Times New Roman"/>
      <w:color w:val="000000"/>
    </w:rPr>
  </w:style>
  <w:style w:type="character" w:customStyle="1" w:styleId="default">
    <w:name w:val="default"/>
    <w:rsid w:val="0033404D"/>
    <w:rPr>
      <w:rFonts w:ascii="Times New Roman" w:hAnsi="Times New Roman" w:cs="Times New Roman" w:hint="default"/>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6078682" TargetMode="External"/><Relationship Id="rId3" Type="http://schemas.openxmlformats.org/officeDocument/2006/relationships/settings" Target="settings.xml"/><Relationship Id="rId21" Type="http://schemas.openxmlformats.org/officeDocument/2006/relationships/hyperlink" Target="http://www.nevo.co.il/case/6079049"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40i.a" TargetMode="External"/><Relationship Id="rId17" Type="http://schemas.openxmlformats.org/officeDocument/2006/relationships/hyperlink" Target="http://www.nevo.co.il/case/18090902" TargetMode="External"/><Relationship Id="rId25" Type="http://schemas.openxmlformats.org/officeDocument/2006/relationships/hyperlink" Target="http://www.nevo.co.il/case/6101507"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4922786" TargetMode="External"/><Relationship Id="rId20" Type="http://schemas.openxmlformats.org/officeDocument/2006/relationships/hyperlink" Target="http://www.nevo.co.il/law/4216"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b" TargetMode="External"/><Relationship Id="rId24" Type="http://schemas.openxmlformats.org/officeDocument/2006/relationships/hyperlink" Target="http://www.nevo.co.il/case/6101508"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730970" TargetMode="External"/><Relationship Id="rId23" Type="http://schemas.openxmlformats.org/officeDocument/2006/relationships/hyperlink" Target="http://www.nevo.co.il/law/4216/36b"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4216/36a" TargetMode="External"/><Relationship Id="rId19" Type="http://schemas.openxmlformats.org/officeDocument/2006/relationships/hyperlink" Target="http://www.nevo.co.il/law/4216/36a"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3606459" TargetMode="External"/><Relationship Id="rId22" Type="http://schemas.openxmlformats.org/officeDocument/2006/relationships/hyperlink" Target="http://www.nevo.co.il/law/4216/36a" TargetMode="External"/><Relationship Id="rId27" Type="http://schemas.openxmlformats.org/officeDocument/2006/relationships/hyperlink" Target="http://www.nevo.co.il/case/603230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i.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2260</Words>
  <Characters>11300</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13533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3145846</vt:i4>
      </vt:variant>
      <vt:variant>
        <vt:i4>60</vt:i4>
      </vt:variant>
      <vt:variant>
        <vt:i4>0</vt:i4>
      </vt:variant>
      <vt:variant>
        <vt:i4>5</vt:i4>
      </vt:variant>
      <vt:variant>
        <vt:lpwstr>http://www.nevo.co.il/case/6032306</vt:lpwstr>
      </vt:variant>
      <vt:variant>
        <vt:lpwstr/>
      </vt:variant>
      <vt:variant>
        <vt:i4>3473524</vt:i4>
      </vt:variant>
      <vt:variant>
        <vt:i4>57</vt:i4>
      </vt:variant>
      <vt:variant>
        <vt:i4>0</vt:i4>
      </vt:variant>
      <vt:variant>
        <vt:i4>5</vt:i4>
      </vt:variant>
      <vt:variant>
        <vt:lpwstr>http://www.nevo.co.il/case/6078682</vt:lpwstr>
      </vt:variant>
      <vt:variant>
        <vt:lpwstr/>
      </vt:variant>
      <vt:variant>
        <vt:i4>3407988</vt:i4>
      </vt:variant>
      <vt:variant>
        <vt:i4>54</vt:i4>
      </vt:variant>
      <vt:variant>
        <vt:i4>0</vt:i4>
      </vt:variant>
      <vt:variant>
        <vt:i4>5</vt:i4>
      </vt:variant>
      <vt:variant>
        <vt:lpwstr>http://www.nevo.co.il/case/6101507</vt:lpwstr>
      </vt:variant>
      <vt:variant>
        <vt:lpwstr/>
      </vt:variant>
      <vt:variant>
        <vt:i4>3866740</vt:i4>
      </vt:variant>
      <vt:variant>
        <vt:i4>51</vt:i4>
      </vt:variant>
      <vt:variant>
        <vt:i4>0</vt:i4>
      </vt:variant>
      <vt:variant>
        <vt:i4>5</vt:i4>
      </vt:variant>
      <vt:variant>
        <vt:lpwstr>http://www.nevo.co.il/case/6101508</vt:lpwstr>
      </vt:variant>
      <vt:variant>
        <vt:lpwstr/>
      </vt:variant>
      <vt:variant>
        <vt:i4>3080316</vt:i4>
      </vt:variant>
      <vt:variant>
        <vt:i4>48</vt:i4>
      </vt:variant>
      <vt:variant>
        <vt:i4>0</vt:i4>
      </vt:variant>
      <vt:variant>
        <vt:i4>5</vt:i4>
      </vt:variant>
      <vt:variant>
        <vt:lpwstr>http://www.nevo.co.il/law/4216/36b</vt:lpwstr>
      </vt:variant>
      <vt:variant>
        <vt:lpwstr/>
      </vt:variant>
      <vt:variant>
        <vt:i4>2883708</vt:i4>
      </vt:variant>
      <vt:variant>
        <vt:i4>45</vt:i4>
      </vt:variant>
      <vt:variant>
        <vt:i4>0</vt:i4>
      </vt:variant>
      <vt:variant>
        <vt:i4>5</vt:i4>
      </vt:variant>
      <vt:variant>
        <vt:lpwstr>http://www.nevo.co.il/law/4216/36a</vt:lpwstr>
      </vt:variant>
      <vt:variant>
        <vt:lpwstr/>
      </vt:variant>
      <vt:variant>
        <vt:i4>3670137</vt:i4>
      </vt:variant>
      <vt:variant>
        <vt:i4>42</vt:i4>
      </vt:variant>
      <vt:variant>
        <vt:i4>0</vt:i4>
      </vt:variant>
      <vt:variant>
        <vt:i4>5</vt:i4>
      </vt:variant>
      <vt:variant>
        <vt:lpwstr>http://www.nevo.co.il/case/6079049</vt:lpwstr>
      </vt:variant>
      <vt:variant>
        <vt:lpwstr/>
      </vt:variant>
      <vt:variant>
        <vt:i4>8257637</vt:i4>
      </vt:variant>
      <vt:variant>
        <vt:i4>39</vt:i4>
      </vt:variant>
      <vt:variant>
        <vt:i4>0</vt:i4>
      </vt:variant>
      <vt:variant>
        <vt:i4>5</vt:i4>
      </vt:variant>
      <vt:variant>
        <vt:lpwstr>http://www.nevo.co.il/law/4216</vt:lpwstr>
      </vt:variant>
      <vt:variant>
        <vt:lpwstr/>
      </vt:variant>
      <vt:variant>
        <vt:i4>2883708</vt:i4>
      </vt:variant>
      <vt:variant>
        <vt:i4>36</vt:i4>
      </vt:variant>
      <vt:variant>
        <vt:i4>0</vt:i4>
      </vt:variant>
      <vt:variant>
        <vt:i4>5</vt:i4>
      </vt:variant>
      <vt:variant>
        <vt:lpwstr>http://www.nevo.co.il/law/4216/36a</vt:lpwstr>
      </vt:variant>
      <vt:variant>
        <vt:lpwstr/>
      </vt:variant>
      <vt:variant>
        <vt:i4>8257637</vt:i4>
      </vt:variant>
      <vt:variant>
        <vt:i4>33</vt:i4>
      </vt:variant>
      <vt:variant>
        <vt:i4>0</vt:i4>
      </vt:variant>
      <vt:variant>
        <vt:i4>5</vt:i4>
      </vt:variant>
      <vt:variant>
        <vt:lpwstr>http://www.nevo.co.il/law/4216</vt:lpwstr>
      </vt:variant>
      <vt:variant>
        <vt:lpwstr/>
      </vt:variant>
      <vt:variant>
        <vt:i4>3211388</vt:i4>
      </vt:variant>
      <vt:variant>
        <vt:i4>30</vt:i4>
      </vt:variant>
      <vt:variant>
        <vt:i4>0</vt:i4>
      </vt:variant>
      <vt:variant>
        <vt:i4>5</vt:i4>
      </vt:variant>
      <vt:variant>
        <vt:lpwstr>http://www.nevo.co.il/case/18090902</vt:lpwstr>
      </vt:variant>
      <vt:variant>
        <vt:lpwstr/>
      </vt:variant>
      <vt:variant>
        <vt:i4>3604599</vt:i4>
      </vt:variant>
      <vt:variant>
        <vt:i4>27</vt:i4>
      </vt:variant>
      <vt:variant>
        <vt:i4>0</vt:i4>
      </vt:variant>
      <vt:variant>
        <vt:i4>5</vt:i4>
      </vt:variant>
      <vt:variant>
        <vt:lpwstr>http://www.nevo.co.il/case/4922786</vt:lpwstr>
      </vt:variant>
      <vt:variant>
        <vt:lpwstr/>
      </vt:variant>
      <vt:variant>
        <vt:i4>4128884</vt:i4>
      </vt:variant>
      <vt:variant>
        <vt:i4>24</vt:i4>
      </vt:variant>
      <vt:variant>
        <vt:i4>0</vt:i4>
      </vt:variant>
      <vt:variant>
        <vt:i4>5</vt:i4>
      </vt:variant>
      <vt:variant>
        <vt:lpwstr>http://www.nevo.co.il/case/5730970</vt:lpwstr>
      </vt:variant>
      <vt:variant>
        <vt:lpwstr/>
      </vt:variant>
      <vt:variant>
        <vt:i4>4063345</vt:i4>
      </vt:variant>
      <vt:variant>
        <vt:i4>21</vt:i4>
      </vt:variant>
      <vt:variant>
        <vt:i4>0</vt:i4>
      </vt:variant>
      <vt:variant>
        <vt:i4>5</vt:i4>
      </vt:variant>
      <vt:variant>
        <vt:lpwstr>http://www.nevo.co.il/case/3606459</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3080316</vt:i4>
      </vt:variant>
      <vt:variant>
        <vt:i4>12</vt:i4>
      </vt:variant>
      <vt:variant>
        <vt:i4>0</vt:i4>
      </vt:variant>
      <vt:variant>
        <vt:i4>5</vt:i4>
      </vt:variant>
      <vt:variant>
        <vt:lpwstr>http://www.nevo.co.il/law/4216/36b</vt:lpwstr>
      </vt:variant>
      <vt:variant>
        <vt:lpwstr/>
      </vt:variant>
      <vt:variant>
        <vt:i4>2883708</vt:i4>
      </vt:variant>
      <vt:variant>
        <vt:i4>9</vt:i4>
      </vt:variant>
      <vt:variant>
        <vt:i4>0</vt:i4>
      </vt:variant>
      <vt:variant>
        <vt:i4>5</vt:i4>
      </vt:variant>
      <vt:variant>
        <vt:lpwstr>http://www.nevo.co.il/law/4216/36a</vt:lpwstr>
      </vt:variant>
      <vt:variant>
        <vt:lpwstr/>
      </vt:variant>
      <vt:variant>
        <vt:i4>8257637</vt:i4>
      </vt:variant>
      <vt:variant>
        <vt:i4>6</vt:i4>
      </vt:variant>
      <vt:variant>
        <vt:i4>0</vt:i4>
      </vt:variant>
      <vt:variant>
        <vt:i4>5</vt:i4>
      </vt:variant>
      <vt:variant>
        <vt:lpwstr>http://www.nevo.co.il/law/4216</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31236</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סאלם רקיבי</vt:lpwstr>
  </property>
  <property fmtid="{D5CDD505-2E9C-101B-9397-08002B2CF9AE}" pid="10" name="LAWYER">
    <vt:lpwstr>קובי בן דוד;יוסי לין</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20151224</vt:lpwstr>
  </property>
  <property fmtid="{D5CDD505-2E9C-101B-9397-08002B2CF9AE}" pid="14" name="TYPE_N_DATE">
    <vt:lpwstr>38020151224</vt:lpwstr>
  </property>
  <property fmtid="{D5CDD505-2E9C-101B-9397-08002B2CF9AE}" pid="15" name="WORDNUMPAGES">
    <vt:lpwstr>9</vt:lpwstr>
  </property>
  <property fmtid="{D5CDD505-2E9C-101B-9397-08002B2CF9AE}" pid="16" name="TYPE_ABS_DATE">
    <vt:lpwstr>380020151224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3606459;5730970;4922786;18090902;6079049;6101508;6101507;6078682;6032306</vt:lpwstr>
  </property>
  <property fmtid="{D5CDD505-2E9C-101B-9397-08002B2CF9AE}" pid="36" name="LAWLISTTMP1">
    <vt:lpwstr>70301/040i.a</vt:lpwstr>
  </property>
  <property fmtid="{D5CDD505-2E9C-101B-9397-08002B2CF9AE}" pid="37" name="LAWLISTTMP2">
    <vt:lpwstr>4216/036a:2;036b</vt:lpwstr>
  </property>
</Properties>
</file>