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174F8" w:rsidRPr="00916732" w14:paraId="78DB09CE" w14:textId="77777777">
        <w:trPr>
          <w:trHeight w:hRule="exact" w:val="704"/>
          <w:jc w:val="center"/>
        </w:trPr>
        <w:tc>
          <w:tcPr>
            <w:tcW w:w="8721" w:type="dxa"/>
            <w:gridSpan w:val="2"/>
          </w:tcPr>
          <w:p w14:paraId="79B03B2C" w14:textId="77777777" w:rsidR="00C174F8" w:rsidRPr="00916732" w:rsidRDefault="00916732">
            <w:pPr>
              <w:pStyle w:val="a4"/>
              <w:jc w:val="center"/>
              <w:rPr>
                <w:rFonts w:ascii="Tahoma" w:hAnsi="Tahoma" w:cs="Tahoma"/>
                <w:noProof w:val="0"/>
                <w:color w:val="000080"/>
                <w:rtl/>
              </w:rPr>
            </w:pPr>
            <w:bookmarkStart w:id="0" w:name="LastJudge"/>
            <w:r w:rsidRPr="00916732">
              <w:rPr>
                <w:rFonts w:ascii="Tahoma" w:hAnsi="Tahoma" w:cs="Tahoma"/>
                <w:b/>
                <w:bCs/>
                <w:color w:val="000080"/>
                <w:rtl/>
              </w:rPr>
              <w:t>בית משפט השלום בתל אביב - יפו</w:t>
            </w:r>
          </w:p>
        </w:tc>
      </w:tr>
      <w:tr w:rsidR="00C174F8" w:rsidRPr="00916732" w14:paraId="4CA08A49" w14:textId="77777777">
        <w:trPr>
          <w:trHeight w:val="337"/>
          <w:jc w:val="center"/>
        </w:trPr>
        <w:tc>
          <w:tcPr>
            <w:tcW w:w="5047" w:type="dxa"/>
          </w:tcPr>
          <w:p w14:paraId="061429BD" w14:textId="77777777" w:rsidR="00C174F8" w:rsidRPr="00916732" w:rsidRDefault="00C174F8">
            <w:pPr>
              <w:rPr>
                <w:b/>
                <w:bCs/>
                <w:noProof w:val="0"/>
                <w:sz w:val="26"/>
                <w:szCs w:val="26"/>
                <w:rtl/>
              </w:rPr>
            </w:pPr>
          </w:p>
        </w:tc>
        <w:tc>
          <w:tcPr>
            <w:tcW w:w="3674" w:type="dxa"/>
          </w:tcPr>
          <w:p w14:paraId="4E91DB8D" w14:textId="77777777" w:rsidR="00C174F8" w:rsidRPr="00916732" w:rsidRDefault="00C174F8">
            <w:pPr>
              <w:pStyle w:val="a4"/>
              <w:jc w:val="right"/>
              <w:rPr>
                <w:b/>
                <w:bCs/>
                <w:noProof w:val="0"/>
                <w:sz w:val="26"/>
                <w:szCs w:val="26"/>
                <w:rtl/>
              </w:rPr>
            </w:pPr>
          </w:p>
        </w:tc>
      </w:tr>
      <w:tr w:rsidR="00C174F8" w:rsidRPr="00916732" w14:paraId="73724E89" w14:textId="77777777">
        <w:trPr>
          <w:trHeight w:val="337"/>
          <w:jc w:val="center"/>
        </w:trPr>
        <w:tc>
          <w:tcPr>
            <w:tcW w:w="8721" w:type="dxa"/>
            <w:gridSpan w:val="2"/>
          </w:tcPr>
          <w:p w14:paraId="45E5F919" w14:textId="77777777" w:rsidR="00C174F8" w:rsidRPr="00916732" w:rsidRDefault="00916732">
            <w:pPr>
              <w:rPr>
                <w:b/>
                <w:bCs/>
                <w:noProof w:val="0"/>
                <w:sz w:val="26"/>
                <w:szCs w:val="26"/>
                <w:rtl/>
              </w:rPr>
            </w:pPr>
            <w:r w:rsidRPr="00916732">
              <w:rPr>
                <w:b/>
                <w:bCs/>
                <w:noProof w:val="0"/>
                <w:sz w:val="26"/>
                <w:szCs w:val="26"/>
                <w:rtl/>
              </w:rPr>
              <w:t>ת"פ 54179-09-14 מדינת ישראל נ' פרולצוב</w:t>
            </w:r>
          </w:p>
          <w:p w14:paraId="2292011C" w14:textId="77777777" w:rsidR="00C174F8" w:rsidRPr="00916732" w:rsidRDefault="00C174F8">
            <w:pPr>
              <w:rPr>
                <w:b/>
                <w:bCs/>
                <w:noProof w:val="0"/>
                <w:sz w:val="2"/>
                <w:szCs w:val="2"/>
                <w:rtl/>
              </w:rPr>
            </w:pPr>
          </w:p>
          <w:p w14:paraId="56415E85" w14:textId="77777777" w:rsidR="00C174F8" w:rsidRPr="00916732" w:rsidRDefault="00916732">
            <w:pPr>
              <w:rPr>
                <w:sz w:val="20"/>
                <w:szCs w:val="20"/>
                <w:rtl/>
              </w:rPr>
            </w:pPr>
            <w:r w:rsidRPr="00916732">
              <w:rPr>
                <w:rFonts w:hint="cs"/>
                <w:rtl/>
              </w:rPr>
              <w:t xml:space="preserve">                           </w:t>
            </w:r>
            <w:r w:rsidRPr="00916732">
              <w:rPr>
                <w:rFonts w:hint="cs"/>
                <w:sz w:val="20"/>
                <w:szCs w:val="20"/>
                <w:rtl/>
              </w:rPr>
              <w:t xml:space="preserve">                                       </w:t>
            </w:r>
          </w:p>
          <w:p w14:paraId="24D3FBDF" w14:textId="77777777" w:rsidR="00C174F8" w:rsidRPr="00916732" w:rsidRDefault="00916732">
            <w:pPr>
              <w:rPr>
                <w:sz w:val="20"/>
                <w:szCs w:val="20"/>
                <w:rtl/>
              </w:rPr>
            </w:pPr>
            <w:r w:rsidRPr="00916732">
              <w:rPr>
                <w:rFonts w:hint="cs"/>
                <w:sz w:val="20"/>
                <w:szCs w:val="20"/>
                <w:rtl/>
              </w:rPr>
              <w:t xml:space="preserve">תיק חיצוני: </w:t>
            </w:r>
            <w:r w:rsidRPr="00916732">
              <w:rPr>
                <w:rFonts w:hint="eastAsia"/>
                <w:sz w:val="20"/>
                <w:szCs w:val="20"/>
                <w:rtl/>
              </w:rPr>
              <w:t>000393456/2014</w:t>
            </w:r>
            <w:r w:rsidRPr="00916732">
              <w:rPr>
                <w:rFonts w:hint="cs"/>
                <w:sz w:val="20"/>
                <w:szCs w:val="20"/>
                <w:rtl/>
              </w:rPr>
              <w:t xml:space="preserve"> </w:t>
            </w:r>
            <w:r w:rsidRPr="00916732">
              <w:rPr>
                <w:sz w:val="20"/>
                <w:szCs w:val="20"/>
                <w:rtl/>
              </w:rPr>
              <w:t xml:space="preserve">  </w:t>
            </w:r>
          </w:p>
        </w:tc>
      </w:tr>
    </w:tbl>
    <w:p w14:paraId="033BC447" w14:textId="77777777" w:rsidR="00C174F8" w:rsidRPr="00916732" w:rsidRDefault="00916732">
      <w:pPr>
        <w:pStyle w:val="a4"/>
        <w:rPr>
          <w:noProof w:val="0"/>
          <w:rtl/>
        </w:rPr>
      </w:pPr>
      <w:r w:rsidRPr="00916732">
        <w:rPr>
          <w:noProof w:val="0"/>
          <w:rtl/>
        </w:rPr>
        <w:t xml:space="preserve"> </w:t>
      </w:r>
    </w:p>
    <w:p w14:paraId="26E5777D" w14:textId="77777777" w:rsidR="00C174F8" w:rsidRPr="00916732" w:rsidRDefault="00916732">
      <w:pPr>
        <w:rPr>
          <w:rtl/>
        </w:rPr>
      </w:pPr>
      <w:r w:rsidRPr="00916732">
        <w:rPr>
          <w:rtl/>
        </w:rPr>
        <w:t xml:space="preserve"> </w:t>
      </w:r>
    </w:p>
    <w:tbl>
      <w:tblPr>
        <w:bidiVisual/>
        <w:tblW w:w="8820" w:type="dxa"/>
        <w:jc w:val="center"/>
        <w:tblLook w:val="01E0" w:firstRow="1" w:lastRow="1" w:firstColumn="1" w:lastColumn="1" w:noHBand="0" w:noVBand="0"/>
      </w:tblPr>
      <w:tblGrid>
        <w:gridCol w:w="743"/>
        <w:gridCol w:w="2506"/>
        <w:gridCol w:w="5571"/>
      </w:tblGrid>
      <w:tr w:rsidR="00C174F8" w:rsidRPr="00916732" w14:paraId="2876A80D" w14:textId="77777777">
        <w:trPr>
          <w:jc w:val="center"/>
        </w:trPr>
        <w:tc>
          <w:tcPr>
            <w:tcW w:w="743" w:type="dxa"/>
            <w:shd w:val="clear" w:color="auto" w:fill="auto"/>
          </w:tcPr>
          <w:p w14:paraId="4C25C9E2" w14:textId="77777777" w:rsidR="00C174F8" w:rsidRPr="00916732" w:rsidRDefault="00916732">
            <w:pPr>
              <w:jc w:val="both"/>
              <w:rPr>
                <w:rFonts w:ascii="Arial" w:hAnsi="Arial"/>
                <w:b/>
                <w:bCs/>
                <w:rtl/>
              </w:rPr>
            </w:pPr>
            <w:r w:rsidRPr="00916732">
              <w:rPr>
                <w:rFonts w:ascii="Arial" w:hAnsi="Arial" w:hint="cs"/>
                <w:b/>
                <w:bCs/>
                <w:rtl/>
              </w:rPr>
              <w:t>ב</w:t>
            </w:r>
            <w:r w:rsidRPr="00916732">
              <w:rPr>
                <w:rFonts w:ascii="Arial" w:hAnsi="Arial"/>
                <w:b/>
                <w:bCs/>
                <w:rtl/>
              </w:rPr>
              <w:t xml:space="preserve">פני </w:t>
            </w:r>
          </w:p>
        </w:tc>
        <w:tc>
          <w:tcPr>
            <w:tcW w:w="8077" w:type="dxa"/>
            <w:gridSpan w:val="2"/>
            <w:shd w:val="clear" w:color="auto" w:fill="auto"/>
          </w:tcPr>
          <w:p w14:paraId="60BEBAEA" w14:textId="77777777" w:rsidR="00C174F8" w:rsidRPr="00916732" w:rsidRDefault="00916732">
            <w:pPr>
              <w:rPr>
                <w:rFonts w:ascii="Arial" w:hAnsi="Arial"/>
                <w:b/>
                <w:bCs/>
                <w:rtl/>
              </w:rPr>
            </w:pPr>
            <w:r w:rsidRPr="00916732">
              <w:rPr>
                <w:rFonts w:ascii="Arial" w:hAnsi="Arial" w:hint="cs"/>
                <w:b/>
                <w:bCs/>
                <w:rtl/>
              </w:rPr>
              <w:t>כבוד ה</w:t>
            </w:r>
            <w:r w:rsidRPr="00916732">
              <w:rPr>
                <w:rFonts w:hint="cs"/>
                <w:rtl/>
              </w:rPr>
              <w:t>שופט</w:t>
            </w:r>
            <w:r w:rsidRPr="00916732">
              <w:rPr>
                <w:rFonts w:ascii="Arial" w:hAnsi="Arial" w:hint="cs"/>
                <w:b/>
                <w:bCs/>
                <w:rtl/>
              </w:rPr>
              <w:t xml:space="preserve">  </w:t>
            </w:r>
            <w:r w:rsidRPr="00916732">
              <w:rPr>
                <w:rFonts w:hint="cs"/>
                <w:rtl/>
              </w:rPr>
              <w:t>שמואל מלמד</w:t>
            </w:r>
          </w:p>
          <w:p w14:paraId="10159EB8" w14:textId="77777777" w:rsidR="00C174F8" w:rsidRPr="00916732" w:rsidRDefault="00C174F8">
            <w:pPr>
              <w:rPr>
                <w:rFonts w:ascii="Arial" w:hAnsi="Arial" w:cs="FrankRuehl"/>
                <w:sz w:val="28"/>
                <w:szCs w:val="28"/>
                <w:highlight w:val="yellow"/>
              </w:rPr>
            </w:pPr>
          </w:p>
        </w:tc>
      </w:tr>
      <w:tr w:rsidR="00C174F8" w:rsidRPr="00916732" w14:paraId="4CBCCF67" w14:textId="77777777">
        <w:trPr>
          <w:jc w:val="center"/>
        </w:trPr>
        <w:tc>
          <w:tcPr>
            <w:tcW w:w="3249" w:type="dxa"/>
            <w:gridSpan w:val="2"/>
            <w:shd w:val="clear" w:color="auto" w:fill="auto"/>
          </w:tcPr>
          <w:p w14:paraId="6B19BED5" w14:textId="77777777" w:rsidR="00C174F8" w:rsidRPr="00916732" w:rsidRDefault="00C174F8">
            <w:pPr>
              <w:rPr>
                <w:rFonts w:ascii="Arial" w:hAnsi="Arial"/>
                <w:b/>
                <w:bCs/>
                <w:noProof w:val="0"/>
                <w:sz w:val="26"/>
                <w:szCs w:val="26"/>
              </w:rPr>
            </w:pPr>
            <w:bookmarkStart w:id="1" w:name="FirstAppellant"/>
          </w:p>
          <w:p w14:paraId="55BACF7D" w14:textId="77777777" w:rsidR="00C174F8" w:rsidRPr="00916732" w:rsidRDefault="00916732">
            <w:pPr>
              <w:rPr>
                <w:rFonts w:ascii="Arial" w:hAnsi="Arial"/>
                <w:b/>
                <w:bCs/>
                <w:noProof w:val="0"/>
                <w:sz w:val="26"/>
                <w:szCs w:val="26"/>
                <w:rtl/>
              </w:rPr>
            </w:pPr>
            <w:r w:rsidRPr="00916732">
              <w:rPr>
                <w:rFonts w:hint="cs"/>
                <w:rtl/>
              </w:rPr>
              <w:t>מאשימה</w:t>
            </w:r>
          </w:p>
        </w:tc>
        <w:tc>
          <w:tcPr>
            <w:tcW w:w="5571" w:type="dxa"/>
            <w:shd w:val="clear" w:color="auto" w:fill="auto"/>
          </w:tcPr>
          <w:p w14:paraId="7AB6CDA4" w14:textId="77777777" w:rsidR="00C174F8" w:rsidRPr="00916732" w:rsidRDefault="00C174F8">
            <w:pPr>
              <w:rPr>
                <w:rFonts w:ascii="Arial" w:hAnsi="Arial"/>
                <w:b/>
                <w:bCs/>
                <w:noProof w:val="0"/>
                <w:sz w:val="26"/>
                <w:szCs w:val="26"/>
                <w:rtl/>
              </w:rPr>
            </w:pPr>
          </w:p>
          <w:p w14:paraId="51FC079C" w14:textId="77777777" w:rsidR="00C174F8" w:rsidRPr="00916732" w:rsidRDefault="00916732">
            <w:pPr>
              <w:rPr>
                <w:b/>
                <w:bCs/>
                <w:noProof w:val="0"/>
                <w:sz w:val="26"/>
                <w:szCs w:val="26"/>
              </w:rPr>
            </w:pPr>
            <w:r w:rsidRPr="00916732">
              <w:rPr>
                <w:rFonts w:hint="cs"/>
                <w:rtl/>
              </w:rPr>
              <w:t>מדינת ישראל</w:t>
            </w:r>
          </w:p>
        </w:tc>
      </w:tr>
      <w:bookmarkEnd w:id="1"/>
      <w:tr w:rsidR="00C174F8" w:rsidRPr="00916732" w14:paraId="727DC9EC" w14:textId="77777777">
        <w:trPr>
          <w:jc w:val="center"/>
        </w:trPr>
        <w:tc>
          <w:tcPr>
            <w:tcW w:w="8820" w:type="dxa"/>
            <w:gridSpan w:val="3"/>
            <w:shd w:val="clear" w:color="auto" w:fill="auto"/>
          </w:tcPr>
          <w:p w14:paraId="026D7332" w14:textId="77777777" w:rsidR="00C174F8" w:rsidRPr="00916732" w:rsidRDefault="00C174F8">
            <w:pPr>
              <w:rPr>
                <w:rFonts w:ascii="Arial" w:hAnsi="Arial"/>
                <w:b/>
                <w:bCs/>
                <w:noProof w:val="0"/>
                <w:sz w:val="26"/>
                <w:szCs w:val="26"/>
                <w:rtl/>
              </w:rPr>
            </w:pPr>
          </w:p>
          <w:p w14:paraId="3BE8F14C" w14:textId="77777777" w:rsidR="00C174F8" w:rsidRPr="00916732" w:rsidRDefault="00916732">
            <w:pPr>
              <w:jc w:val="center"/>
              <w:rPr>
                <w:rFonts w:ascii="Arial" w:hAnsi="Arial"/>
                <w:b/>
                <w:bCs/>
                <w:noProof w:val="0"/>
                <w:sz w:val="26"/>
                <w:szCs w:val="26"/>
              </w:rPr>
            </w:pPr>
            <w:r w:rsidRPr="00916732">
              <w:rPr>
                <w:rFonts w:ascii="Arial" w:hAnsi="Arial"/>
                <w:b/>
                <w:bCs/>
                <w:noProof w:val="0"/>
                <w:sz w:val="26"/>
                <w:szCs w:val="26"/>
                <w:rtl/>
              </w:rPr>
              <w:t>נגד</w:t>
            </w:r>
          </w:p>
        </w:tc>
      </w:tr>
      <w:tr w:rsidR="00C174F8" w:rsidRPr="00916732" w14:paraId="0855E7D1" w14:textId="77777777">
        <w:trPr>
          <w:jc w:val="center"/>
        </w:trPr>
        <w:tc>
          <w:tcPr>
            <w:tcW w:w="3249" w:type="dxa"/>
            <w:gridSpan w:val="2"/>
            <w:shd w:val="clear" w:color="auto" w:fill="auto"/>
          </w:tcPr>
          <w:p w14:paraId="5EB8675B" w14:textId="77777777" w:rsidR="00C174F8" w:rsidRPr="00916732" w:rsidRDefault="00C174F8">
            <w:pPr>
              <w:rPr>
                <w:rFonts w:ascii="Arial" w:hAnsi="Arial" w:hint="cs"/>
                <w:b/>
                <w:bCs/>
                <w:noProof w:val="0"/>
                <w:sz w:val="26"/>
                <w:szCs w:val="26"/>
                <w:rtl/>
              </w:rPr>
            </w:pPr>
          </w:p>
          <w:p w14:paraId="6361FB61" w14:textId="77777777" w:rsidR="00C174F8" w:rsidRPr="00916732" w:rsidRDefault="00916732">
            <w:pPr>
              <w:rPr>
                <w:rFonts w:ascii="Arial" w:hAnsi="Arial"/>
                <w:b/>
                <w:bCs/>
                <w:noProof w:val="0"/>
                <w:sz w:val="26"/>
                <w:szCs w:val="26"/>
              </w:rPr>
            </w:pPr>
            <w:r w:rsidRPr="00916732">
              <w:rPr>
                <w:rFonts w:hint="cs"/>
                <w:rtl/>
              </w:rPr>
              <w:t>נאשם</w:t>
            </w:r>
          </w:p>
        </w:tc>
        <w:tc>
          <w:tcPr>
            <w:tcW w:w="5571" w:type="dxa"/>
            <w:shd w:val="clear" w:color="auto" w:fill="auto"/>
          </w:tcPr>
          <w:p w14:paraId="40F5929A" w14:textId="77777777" w:rsidR="00C174F8" w:rsidRPr="00916732" w:rsidRDefault="00C174F8">
            <w:pPr>
              <w:rPr>
                <w:rFonts w:ascii="Arial" w:hAnsi="Arial"/>
                <w:b/>
                <w:bCs/>
                <w:noProof w:val="0"/>
                <w:sz w:val="26"/>
                <w:szCs w:val="26"/>
                <w:rtl/>
              </w:rPr>
            </w:pPr>
          </w:p>
          <w:p w14:paraId="2805FA09" w14:textId="77777777" w:rsidR="00C174F8" w:rsidRPr="00916732" w:rsidRDefault="00916732">
            <w:pPr>
              <w:rPr>
                <w:b/>
                <w:bCs/>
                <w:noProof w:val="0"/>
                <w:sz w:val="26"/>
                <w:szCs w:val="26"/>
                <w:rtl/>
              </w:rPr>
            </w:pPr>
            <w:r w:rsidRPr="00916732">
              <w:rPr>
                <w:rFonts w:hint="cs"/>
                <w:rtl/>
              </w:rPr>
              <w:t>אלכסנדר פרולצוב</w:t>
            </w:r>
          </w:p>
        </w:tc>
      </w:tr>
    </w:tbl>
    <w:p w14:paraId="62AAE769" w14:textId="77777777" w:rsidR="00366CF7" w:rsidRDefault="00366CF7">
      <w:pPr>
        <w:suppressLineNumbers/>
        <w:rPr>
          <w:rtl/>
        </w:rPr>
      </w:pPr>
      <w:bookmarkStart w:id="2" w:name="LawTable"/>
      <w:bookmarkEnd w:id="2"/>
    </w:p>
    <w:p w14:paraId="517C809C" w14:textId="77777777" w:rsidR="00366CF7" w:rsidRPr="00366CF7" w:rsidRDefault="00366CF7" w:rsidP="00366CF7">
      <w:pPr>
        <w:suppressLineNumbers/>
        <w:spacing w:after="120" w:line="240" w:lineRule="exact"/>
        <w:ind w:left="283" w:hanging="283"/>
        <w:jc w:val="both"/>
        <w:rPr>
          <w:rFonts w:ascii="FrankRuehl" w:hAnsi="FrankRuehl" w:cs="FrankRuehl"/>
          <w:rtl/>
        </w:rPr>
      </w:pPr>
      <w:r w:rsidRPr="00366CF7">
        <w:rPr>
          <w:rFonts w:ascii="FrankRuehl" w:hAnsi="FrankRuehl" w:cs="FrankRuehl"/>
          <w:rtl/>
        </w:rPr>
        <w:t xml:space="preserve">חקיקה שאוזכרה: </w:t>
      </w:r>
    </w:p>
    <w:p w14:paraId="305EB5DE" w14:textId="77777777" w:rsidR="00366CF7" w:rsidRPr="00366CF7" w:rsidRDefault="00366CF7" w:rsidP="00366CF7">
      <w:pPr>
        <w:suppressLineNumbers/>
        <w:spacing w:after="120" w:line="240" w:lineRule="exact"/>
        <w:ind w:left="283" w:hanging="283"/>
        <w:jc w:val="both"/>
        <w:rPr>
          <w:rFonts w:ascii="FrankRuehl" w:hAnsi="FrankRuehl" w:cs="FrankRuehl"/>
          <w:rtl/>
        </w:rPr>
      </w:pPr>
      <w:hyperlink r:id="rId7" w:history="1">
        <w:r w:rsidRPr="00366CF7">
          <w:rPr>
            <w:rFonts w:ascii="FrankRuehl" w:hAnsi="FrankRuehl" w:cs="FrankRuehl"/>
            <w:color w:val="0000FF"/>
            <w:u w:val="single"/>
            <w:rtl/>
          </w:rPr>
          <w:t>פקודת הסמים המסוכנים [נוסח חדש], תשל"ג-1973</w:t>
        </w:r>
      </w:hyperlink>
      <w:r w:rsidRPr="00366CF7">
        <w:rPr>
          <w:rFonts w:ascii="FrankRuehl" w:hAnsi="FrankRuehl" w:cs="FrankRuehl"/>
          <w:rtl/>
        </w:rPr>
        <w:t xml:space="preserve">: סע'  </w:t>
      </w:r>
      <w:hyperlink r:id="rId8" w:history="1">
        <w:r w:rsidRPr="00366CF7">
          <w:rPr>
            <w:rFonts w:ascii="FrankRuehl" w:hAnsi="FrankRuehl" w:cs="FrankRuehl"/>
            <w:color w:val="0000FF"/>
            <w:u w:val="single"/>
            <w:rtl/>
          </w:rPr>
          <w:t>13</w:t>
        </w:r>
      </w:hyperlink>
      <w:r w:rsidRPr="00366CF7">
        <w:rPr>
          <w:rFonts w:ascii="FrankRuehl" w:hAnsi="FrankRuehl" w:cs="FrankRuehl"/>
          <w:rtl/>
        </w:rPr>
        <w:t xml:space="preserve">, </w:t>
      </w:r>
      <w:hyperlink r:id="rId9" w:history="1">
        <w:r w:rsidRPr="00366CF7">
          <w:rPr>
            <w:rFonts w:ascii="FrankRuehl" w:hAnsi="FrankRuehl" w:cs="FrankRuehl"/>
            <w:color w:val="0000FF"/>
            <w:u w:val="single"/>
            <w:rtl/>
          </w:rPr>
          <w:t>19א</w:t>
        </w:r>
      </w:hyperlink>
    </w:p>
    <w:p w14:paraId="3C73CD48" w14:textId="77777777" w:rsidR="00366CF7" w:rsidRPr="00366CF7" w:rsidRDefault="00366CF7" w:rsidP="00366CF7">
      <w:pPr>
        <w:suppressLineNumbers/>
        <w:spacing w:after="120" w:line="240" w:lineRule="exact"/>
        <w:ind w:left="283" w:hanging="283"/>
        <w:jc w:val="both"/>
        <w:rPr>
          <w:rFonts w:ascii="FrankRuehl" w:hAnsi="FrankRuehl" w:cs="FrankRuehl"/>
          <w:rtl/>
        </w:rPr>
      </w:pPr>
      <w:hyperlink r:id="rId10" w:history="1">
        <w:r w:rsidRPr="00366CF7">
          <w:rPr>
            <w:rFonts w:ascii="FrankRuehl" w:hAnsi="FrankRuehl" w:cs="FrankRuehl"/>
            <w:color w:val="0000FF"/>
            <w:u w:val="single"/>
            <w:rtl/>
          </w:rPr>
          <w:t>חוק העונשין, תשל"ז-1977</w:t>
        </w:r>
      </w:hyperlink>
      <w:r w:rsidRPr="00366CF7">
        <w:rPr>
          <w:rFonts w:ascii="FrankRuehl" w:hAnsi="FrankRuehl" w:cs="FrankRuehl"/>
          <w:rtl/>
        </w:rPr>
        <w:t xml:space="preserve">: סע'  </w:t>
      </w:r>
      <w:hyperlink r:id="rId11" w:history="1">
        <w:r w:rsidRPr="00366CF7">
          <w:rPr>
            <w:rFonts w:ascii="FrankRuehl" w:hAnsi="FrankRuehl" w:cs="FrankRuehl"/>
            <w:color w:val="0000FF"/>
            <w:u w:val="single"/>
            <w:rtl/>
          </w:rPr>
          <w:t>25</w:t>
        </w:r>
      </w:hyperlink>
      <w:r w:rsidRPr="00366CF7">
        <w:rPr>
          <w:rFonts w:ascii="FrankRuehl" w:hAnsi="FrankRuehl" w:cs="FrankRuehl"/>
          <w:rtl/>
        </w:rPr>
        <w:t xml:space="preserve">, </w:t>
      </w:r>
      <w:hyperlink r:id="rId12" w:history="1">
        <w:r w:rsidRPr="00366CF7">
          <w:rPr>
            <w:rFonts w:ascii="FrankRuehl" w:hAnsi="FrankRuehl" w:cs="FrankRuehl"/>
            <w:color w:val="0000FF"/>
            <w:u w:val="single"/>
            <w:rtl/>
          </w:rPr>
          <w:t>51 ב(ב)</w:t>
        </w:r>
      </w:hyperlink>
      <w:r w:rsidRPr="00366CF7">
        <w:rPr>
          <w:rFonts w:ascii="FrankRuehl" w:hAnsi="FrankRuehl" w:cs="FrankRuehl"/>
          <w:rtl/>
        </w:rPr>
        <w:t xml:space="preserve">, </w:t>
      </w:r>
      <w:hyperlink r:id="rId13" w:history="1">
        <w:r w:rsidRPr="00366CF7">
          <w:rPr>
            <w:rFonts w:ascii="FrankRuehl" w:hAnsi="FrankRuehl" w:cs="FrankRuehl"/>
            <w:color w:val="0000FF"/>
            <w:u w:val="single"/>
            <w:rtl/>
          </w:rPr>
          <w:t>499(א)(1)</w:t>
        </w:r>
      </w:hyperlink>
    </w:p>
    <w:p w14:paraId="41970F82" w14:textId="77777777" w:rsidR="00366CF7" w:rsidRPr="00366CF7" w:rsidRDefault="00366CF7" w:rsidP="00366CF7">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C174F8" w14:paraId="354CA015" w14:textId="77777777">
        <w:trPr>
          <w:jc w:val="center"/>
        </w:trPr>
        <w:tc>
          <w:tcPr>
            <w:tcW w:w="8820" w:type="dxa"/>
            <w:shd w:val="clear" w:color="auto" w:fill="auto"/>
          </w:tcPr>
          <w:p w14:paraId="5B3ACB96" w14:textId="77777777" w:rsidR="00916732" w:rsidRPr="00916732" w:rsidRDefault="00916732" w:rsidP="00916732">
            <w:pPr>
              <w:bidi w:val="0"/>
              <w:jc w:val="center"/>
              <w:rPr>
                <w:rFonts w:ascii="Arial" w:hAnsi="Arial"/>
                <w:b/>
                <w:bCs/>
                <w:noProof w:val="0"/>
                <w:sz w:val="28"/>
                <w:szCs w:val="28"/>
                <w:u w:val="single"/>
                <w:rtl/>
              </w:rPr>
            </w:pPr>
            <w:bookmarkStart w:id="3" w:name="LawTable_End"/>
            <w:bookmarkStart w:id="4" w:name="PsakDin" w:colFirst="0" w:colLast="0"/>
            <w:bookmarkEnd w:id="0"/>
            <w:bookmarkEnd w:id="3"/>
            <w:r w:rsidRPr="00916732">
              <w:rPr>
                <w:rFonts w:ascii="Arial" w:hAnsi="Arial"/>
                <w:b/>
                <w:bCs/>
                <w:noProof w:val="0"/>
                <w:sz w:val="28"/>
                <w:szCs w:val="28"/>
                <w:u w:val="single"/>
                <w:rtl/>
              </w:rPr>
              <w:t>גזר דין</w:t>
            </w:r>
          </w:p>
          <w:p w14:paraId="79A11FC4" w14:textId="77777777" w:rsidR="00C174F8" w:rsidRPr="00916732" w:rsidRDefault="00C174F8" w:rsidP="00916732">
            <w:pPr>
              <w:bidi w:val="0"/>
              <w:jc w:val="center"/>
              <w:rPr>
                <w:rFonts w:ascii="Arial" w:hAnsi="Arial"/>
                <w:b/>
                <w:bCs/>
                <w:noProof w:val="0"/>
                <w:sz w:val="28"/>
                <w:szCs w:val="28"/>
                <w:u w:val="single"/>
              </w:rPr>
            </w:pPr>
          </w:p>
        </w:tc>
      </w:tr>
      <w:bookmarkEnd w:id="4"/>
    </w:tbl>
    <w:p w14:paraId="57A62576" w14:textId="77777777" w:rsidR="00C174F8" w:rsidRDefault="00C174F8">
      <w:pPr>
        <w:spacing w:line="360" w:lineRule="auto"/>
        <w:jc w:val="both"/>
        <w:rPr>
          <w:b/>
          <w:bCs/>
          <w:noProof w:val="0"/>
          <w:u w:val="single"/>
          <w:rtl/>
        </w:rPr>
      </w:pPr>
    </w:p>
    <w:p w14:paraId="1BF805EC" w14:textId="77777777" w:rsidR="00C174F8" w:rsidRDefault="00916732">
      <w:pPr>
        <w:spacing w:line="360" w:lineRule="auto"/>
        <w:jc w:val="both"/>
        <w:rPr>
          <w:rFonts w:ascii="Arial" w:hAnsi="Arial" w:cs="Arial"/>
          <w:b/>
          <w:bCs/>
          <w:noProof w:val="0"/>
          <w:u w:val="single"/>
        </w:rPr>
      </w:pPr>
      <w:r>
        <w:rPr>
          <w:b/>
          <w:bCs/>
          <w:noProof w:val="0"/>
          <w:u w:val="single"/>
          <w:rtl/>
        </w:rPr>
        <w:t>נוכחים:</w:t>
      </w:r>
    </w:p>
    <w:p w14:paraId="1507F159" w14:textId="77777777" w:rsidR="00C174F8" w:rsidRDefault="00916732">
      <w:pPr>
        <w:spacing w:line="360" w:lineRule="auto"/>
        <w:jc w:val="both"/>
        <w:rPr>
          <w:b/>
          <w:bCs/>
          <w:noProof w:val="0"/>
          <w:rtl/>
        </w:rPr>
      </w:pPr>
      <w:r>
        <w:rPr>
          <w:b/>
          <w:bCs/>
          <w:noProof w:val="0"/>
          <w:rtl/>
        </w:rPr>
        <w:t xml:space="preserve">ב"כ המאשימה:  עו"ד גיא קדרון, עו"ד מיטל אדרי ועו"ד ורד ליכטר </w:t>
      </w:r>
    </w:p>
    <w:p w14:paraId="6CC2A92A" w14:textId="77777777" w:rsidR="00C174F8" w:rsidRDefault="00916732">
      <w:pPr>
        <w:spacing w:line="360" w:lineRule="auto"/>
        <w:jc w:val="both"/>
        <w:rPr>
          <w:b/>
          <w:bCs/>
          <w:noProof w:val="0"/>
        </w:rPr>
      </w:pPr>
      <w:r>
        <w:rPr>
          <w:b/>
          <w:bCs/>
          <w:noProof w:val="0"/>
          <w:rtl/>
        </w:rPr>
        <w:t xml:space="preserve">ב"כ הנאשם: עו"ד </w:t>
      </w:r>
      <w:r>
        <w:rPr>
          <w:rFonts w:hint="cs"/>
          <w:b/>
          <w:bCs/>
          <w:noProof w:val="0"/>
          <w:rtl/>
        </w:rPr>
        <w:t>אורי קינן</w:t>
      </w:r>
    </w:p>
    <w:p w14:paraId="02E09531" w14:textId="77777777" w:rsidR="00C174F8" w:rsidRDefault="00916732">
      <w:pPr>
        <w:spacing w:line="360" w:lineRule="auto"/>
        <w:jc w:val="both"/>
        <w:rPr>
          <w:b/>
          <w:bCs/>
          <w:noProof w:val="0"/>
          <w:rtl/>
        </w:rPr>
      </w:pPr>
      <w:r>
        <w:rPr>
          <w:b/>
          <w:bCs/>
          <w:noProof w:val="0"/>
          <w:rtl/>
        </w:rPr>
        <w:t>הנאשם התייצב</w:t>
      </w:r>
    </w:p>
    <w:p w14:paraId="7CC81FAF" w14:textId="77777777" w:rsidR="00C174F8" w:rsidRDefault="00916732">
      <w:pPr>
        <w:spacing w:line="360" w:lineRule="auto"/>
        <w:jc w:val="center"/>
        <w:rPr>
          <w:b/>
          <w:bCs/>
          <w:noProof w:val="0"/>
          <w:sz w:val="28"/>
          <w:szCs w:val="28"/>
          <w:rtl/>
        </w:rPr>
      </w:pPr>
      <w:r>
        <w:rPr>
          <w:rFonts w:ascii="Arial" w:hAnsi="Arial" w:hint="cs"/>
          <w:b/>
          <w:bCs/>
          <w:noProof w:val="0"/>
          <w:sz w:val="28"/>
          <w:szCs w:val="28"/>
          <w:u w:val="single"/>
          <w:rtl/>
        </w:rPr>
        <w:t>גזר דין</w:t>
      </w:r>
    </w:p>
    <w:p w14:paraId="24748732" w14:textId="77777777" w:rsidR="00C174F8" w:rsidRDefault="00C174F8">
      <w:pPr>
        <w:spacing w:line="360" w:lineRule="auto"/>
        <w:jc w:val="both"/>
        <w:rPr>
          <w:rFonts w:ascii="Arial" w:hAnsi="Arial"/>
          <w:noProof w:val="0"/>
          <w:rtl/>
        </w:rPr>
      </w:pPr>
    </w:p>
    <w:p w14:paraId="25735512" w14:textId="77777777" w:rsidR="00C174F8" w:rsidRDefault="00916732">
      <w:pPr>
        <w:spacing w:line="360" w:lineRule="auto"/>
        <w:jc w:val="both"/>
        <w:rPr>
          <w:rFonts w:ascii="Arial" w:hAnsi="Arial"/>
          <w:b/>
          <w:bCs/>
          <w:noProof w:val="0"/>
          <w:u w:val="single"/>
          <w:rtl/>
        </w:rPr>
      </w:pPr>
      <w:r>
        <w:rPr>
          <w:rFonts w:ascii="Arial" w:hAnsi="Arial" w:hint="cs"/>
          <w:b/>
          <w:bCs/>
          <w:noProof w:val="0"/>
          <w:u w:val="single"/>
          <w:rtl/>
        </w:rPr>
        <w:t>כתב האישום והסדר הטיעון</w:t>
      </w:r>
    </w:p>
    <w:p w14:paraId="54934717" w14:textId="77777777" w:rsidR="00C174F8" w:rsidRDefault="00916732">
      <w:pPr>
        <w:spacing w:line="360" w:lineRule="auto"/>
        <w:jc w:val="both"/>
        <w:rPr>
          <w:noProof w:val="0"/>
        </w:rPr>
      </w:pPr>
      <w:bookmarkStart w:id="5" w:name="NGCSBookmark"/>
      <w:bookmarkStart w:id="6" w:name="ABSTRACT_START"/>
      <w:bookmarkEnd w:id="5"/>
      <w:bookmarkEnd w:id="6"/>
      <w:r>
        <w:rPr>
          <w:rFonts w:hint="cs"/>
          <w:rtl/>
        </w:rPr>
        <w:t xml:space="preserve">ביום 14.07.15 הגיעו הצדדים להסדר לפיו, הנאשם הודה והורשע בעובדות כתב האישום המתוקן, ונשלח לקבלת תסקיר בטרם הטיעונים לעונש. אין הסכמה עונשית. </w:t>
      </w:r>
    </w:p>
    <w:p w14:paraId="311B15FF" w14:textId="77777777" w:rsidR="00C174F8" w:rsidRDefault="00C174F8">
      <w:pPr>
        <w:ind w:left="1440" w:hanging="1440"/>
        <w:jc w:val="both"/>
        <w:rPr>
          <w:sz w:val="16"/>
          <w:szCs w:val="16"/>
          <w:rtl/>
        </w:rPr>
      </w:pPr>
    </w:p>
    <w:p w14:paraId="7727ACE7" w14:textId="77777777" w:rsidR="00C174F8" w:rsidRDefault="00916732">
      <w:pPr>
        <w:spacing w:line="360" w:lineRule="auto"/>
        <w:jc w:val="both"/>
        <w:rPr>
          <w:rFonts w:ascii="David" w:hAnsi="David"/>
          <w:rtl/>
        </w:rPr>
      </w:pPr>
      <w:r>
        <w:rPr>
          <w:rFonts w:hint="cs"/>
          <w:rtl/>
        </w:rPr>
        <w:t xml:space="preserve">נוכח הודאתו, הורשע הנאשם במיוחס לו בכתב האישום המתוקן – </w:t>
      </w:r>
    </w:p>
    <w:p w14:paraId="48210EE2" w14:textId="77777777" w:rsidR="00C174F8" w:rsidRDefault="00916732">
      <w:pPr>
        <w:spacing w:line="360" w:lineRule="auto"/>
        <w:jc w:val="both"/>
        <w:rPr>
          <w:rtl/>
        </w:rPr>
      </w:pPr>
      <w:r>
        <w:rPr>
          <w:rFonts w:hint="cs"/>
          <w:rtl/>
        </w:rPr>
        <w:t xml:space="preserve">אישום ראשון - בעבירה של יבוא, יצוא, הספקה, סחר בסם מסוכן, לפי </w:t>
      </w:r>
      <w:hyperlink r:id="rId14" w:history="1">
        <w:r w:rsidR="00366CF7" w:rsidRPr="00366CF7">
          <w:rPr>
            <w:color w:val="0000FF"/>
            <w:u w:val="single"/>
            <w:rtl/>
          </w:rPr>
          <w:t>סעיף 13</w:t>
        </w:r>
      </w:hyperlink>
      <w:r>
        <w:rPr>
          <w:rFonts w:hint="cs"/>
          <w:rtl/>
        </w:rPr>
        <w:t xml:space="preserve"> + </w:t>
      </w:r>
      <w:hyperlink r:id="rId15" w:history="1">
        <w:r w:rsidR="00366CF7" w:rsidRPr="00366CF7">
          <w:rPr>
            <w:color w:val="0000FF"/>
            <w:u w:val="single"/>
            <w:rtl/>
          </w:rPr>
          <w:t>19א</w:t>
        </w:r>
      </w:hyperlink>
      <w:r>
        <w:rPr>
          <w:rFonts w:hint="cs"/>
          <w:rtl/>
        </w:rPr>
        <w:t xml:space="preserve"> ל</w:t>
      </w:r>
      <w:hyperlink r:id="rId16" w:history="1">
        <w:r w:rsidRPr="00916732">
          <w:rPr>
            <w:color w:val="0000FF"/>
            <w:u w:val="single"/>
            <w:rtl/>
          </w:rPr>
          <w:t>פקודת הסמים המסוכנים</w:t>
        </w:r>
      </w:hyperlink>
      <w:r>
        <w:rPr>
          <w:rFonts w:hint="cs"/>
          <w:rtl/>
        </w:rPr>
        <w:t xml:space="preserve"> [נוסח חדש] התשל"ג – 1973; עבירה של קשירת קשר לביצוע פשע, לפי </w:t>
      </w:r>
      <w:hyperlink r:id="rId17" w:history="1">
        <w:r w:rsidR="00366CF7" w:rsidRPr="00366CF7">
          <w:rPr>
            <w:color w:val="0000FF"/>
            <w:u w:val="single"/>
            <w:rtl/>
          </w:rPr>
          <w:t>סעיף 499(א)(1)</w:t>
        </w:r>
      </w:hyperlink>
      <w:r>
        <w:rPr>
          <w:rFonts w:hint="cs"/>
          <w:rtl/>
        </w:rPr>
        <w:t xml:space="preserve"> ל</w:t>
      </w:r>
      <w:hyperlink r:id="rId18" w:history="1">
        <w:r w:rsidRPr="00916732">
          <w:rPr>
            <w:color w:val="0000FF"/>
            <w:u w:val="single"/>
            <w:rtl/>
          </w:rPr>
          <w:t>חוק העונשין</w:t>
        </w:r>
      </w:hyperlink>
      <w:r>
        <w:rPr>
          <w:rFonts w:hint="cs"/>
          <w:rtl/>
        </w:rPr>
        <w:t>, תשל"ז-1977.</w:t>
      </w:r>
    </w:p>
    <w:p w14:paraId="3744BC69" w14:textId="77777777" w:rsidR="00C174F8" w:rsidRDefault="00916732">
      <w:pPr>
        <w:spacing w:line="360" w:lineRule="auto"/>
        <w:jc w:val="both"/>
        <w:rPr>
          <w:rtl/>
        </w:rPr>
      </w:pPr>
      <w:r>
        <w:rPr>
          <w:rFonts w:hint="cs"/>
          <w:rtl/>
        </w:rPr>
        <w:t xml:space="preserve">אישום שני – בעבירה של ניסיון של יבוא, יצוא, הספקה, סחר בסם מסוכן, לפי </w:t>
      </w:r>
      <w:hyperlink r:id="rId19" w:history="1">
        <w:r w:rsidR="00366CF7" w:rsidRPr="00366CF7">
          <w:rPr>
            <w:color w:val="0000FF"/>
            <w:u w:val="single"/>
            <w:rtl/>
          </w:rPr>
          <w:t>סעיף 13</w:t>
        </w:r>
      </w:hyperlink>
      <w:r>
        <w:rPr>
          <w:rFonts w:hint="cs"/>
          <w:rtl/>
        </w:rPr>
        <w:t xml:space="preserve"> + </w:t>
      </w:r>
      <w:hyperlink r:id="rId20" w:history="1">
        <w:r w:rsidR="00366CF7" w:rsidRPr="00366CF7">
          <w:rPr>
            <w:color w:val="0000FF"/>
            <w:u w:val="single"/>
            <w:rtl/>
          </w:rPr>
          <w:t>19א</w:t>
        </w:r>
      </w:hyperlink>
      <w:r>
        <w:rPr>
          <w:rFonts w:hint="cs"/>
          <w:rtl/>
        </w:rPr>
        <w:t xml:space="preserve"> ל</w:t>
      </w:r>
      <w:hyperlink r:id="rId21" w:history="1">
        <w:r w:rsidRPr="00916732">
          <w:rPr>
            <w:color w:val="0000FF"/>
            <w:u w:val="single"/>
            <w:rtl/>
          </w:rPr>
          <w:t>פקודת הסמים המסוכנים</w:t>
        </w:r>
      </w:hyperlink>
      <w:r>
        <w:rPr>
          <w:rFonts w:hint="cs"/>
          <w:rtl/>
        </w:rPr>
        <w:t xml:space="preserve"> [נוסח חדש] התשל"ג – 1973 + </w:t>
      </w:r>
      <w:hyperlink r:id="rId22" w:history="1">
        <w:r w:rsidR="00366CF7" w:rsidRPr="00366CF7">
          <w:rPr>
            <w:color w:val="0000FF"/>
            <w:u w:val="single"/>
            <w:rtl/>
          </w:rPr>
          <w:t>25</w:t>
        </w:r>
      </w:hyperlink>
      <w:r>
        <w:rPr>
          <w:rFonts w:hint="cs"/>
          <w:rtl/>
        </w:rPr>
        <w:t xml:space="preserve"> ל</w:t>
      </w:r>
      <w:hyperlink r:id="rId23" w:history="1">
        <w:r w:rsidRPr="00916732">
          <w:rPr>
            <w:color w:val="0000FF"/>
            <w:u w:val="single"/>
            <w:rtl/>
          </w:rPr>
          <w:t>חוק העונשין</w:t>
        </w:r>
      </w:hyperlink>
      <w:r>
        <w:rPr>
          <w:rFonts w:hint="cs"/>
          <w:rtl/>
        </w:rPr>
        <w:t xml:space="preserve">, תשל"ז-1977. </w:t>
      </w:r>
    </w:p>
    <w:p w14:paraId="62FCC67C" w14:textId="77777777" w:rsidR="00C174F8" w:rsidRDefault="00916732">
      <w:pPr>
        <w:spacing w:line="360" w:lineRule="auto"/>
        <w:jc w:val="both"/>
        <w:rPr>
          <w:rtl/>
        </w:rPr>
      </w:pPr>
      <w:r>
        <w:rPr>
          <w:rFonts w:hint="cs"/>
          <w:rtl/>
        </w:rPr>
        <w:t xml:space="preserve">אישום שלישי </w:t>
      </w:r>
      <w:r>
        <w:rPr>
          <w:rtl/>
        </w:rPr>
        <w:t>–</w:t>
      </w:r>
      <w:r>
        <w:rPr>
          <w:rFonts w:hint="cs"/>
          <w:rtl/>
        </w:rPr>
        <w:t xml:space="preserve"> בעבירה של יבוא, יצוא, הספקה, סחר בסם מסוכן, לפי </w:t>
      </w:r>
      <w:hyperlink r:id="rId24" w:history="1">
        <w:r w:rsidR="00366CF7" w:rsidRPr="00366CF7">
          <w:rPr>
            <w:color w:val="0000FF"/>
            <w:u w:val="single"/>
            <w:rtl/>
          </w:rPr>
          <w:t>סעיף 13</w:t>
        </w:r>
      </w:hyperlink>
      <w:r>
        <w:rPr>
          <w:rFonts w:hint="cs"/>
          <w:rtl/>
        </w:rPr>
        <w:t xml:space="preserve"> + </w:t>
      </w:r>
      <w:hyperlink r:id="rId25" w:history="1">
        <w:r w:rsidR="00366CF7" w:rsidRPr="00366CF7">
          <w:rPr>
            <w:color w:val="0000FF"/>
            <w:u w:val="single"/>
            <w:rtl/>
          </w:rPr>
          <w:t>19א</w:t>
        </w:r>
      </w:hyperlink>
      <w:r>
        <w:rPr>
          <w:rFonts w:hint="cs"/>
          <w:rtl/>
        </w:rPr>
        <w:t xml:space="preserve"> ל</w:t>
      </w:r>
      <w:hyperlink r:id="rId26" w:history="1">
        <w:r w:rsidRPr="00916732">
          <w:rPr>
            <w:color w:val="0000FF"/>
            <w:u w:val="single"/>
            <w:rtl/>
          </w:rPr>
          <w:t>פקודת הסמים המסוכנים</w:t>
        </w:r>
      </w:hyperlink>
      <w:r>
        <w:rPr>
          <w:rFonts w:hint="cs"/>
          <w:rtl/>
        </w:rPr>
        <w:t xml:space="preserve"> [נוסח חדש] התשל"ג – 1973.</w:t>
      </w:r>
    </w:p>
    <w:p w14:paraId="165761AF" w14:textId="77777777" w:rsidR="00C174F8" w:rsidRDefault="00C174F8">
      <w:pPr>
        <w:spacing w:line="360" w:lineRule="auto"/>
        <w:rPr>
          <w:sz w:val="16"/>
          <w:szCs w:val="16"/>
          <w:rtl/>
        </w:rPr>
      </w:pPr>
      <w:bookmarkStart w:id="7" w:name="ABSTRACT_END"/>
      <w:bookmarkEnd w:id="7"/>
    </w:p>
    <w:p w14:paraId="314B39DC" w14:textId="77777777" w:rsidR="00C174F8" w:rsidRDefault="00916732">
      <w:pPr>
        <w:spacing w:line="360" w:lineRule="auto"/>
        <w:jc w:val="both"/>
        <w:rPr>
          <w:rtl/>
        </w:rPr>
      </w:pPr>
      <w:r>
        <w:rPr>
          <w:rFonts w:hint="cs"/>
          <w:rtl/>
        </w:rPr>
        <w:lastRenderedPageBreak/>
        <w:t xml:space="preserve">בהתאם לעבודות כתב האישום המתוקן, </w:t>
      </w:r>
      <w:r>
        <w:rPr>
          <w:rFonts w:hint="cs"/>
          <w:b/>
          <w:bCs/>
          <w:rtl/>
        </w:rPr>
        <w:t>אישום 1</w:t>
      </w:r>
      <w:r>
        <w:rPr>
          <w:rFonts w:hint="cs"/>
          <w:rtl/>
        </w:rPr>
        <w:t xml:space="preserve"> </w:t>
      </w:r>
      <w:r>
        <w:rPr>
          <w:rtl/>
        </w:rPr>
        <w:t>–</w:t>
      </w:r>
      <w:r>
        <w:rPr>
          <w:rFonts w:hint="cs"/>
          <w:rtl/>
        </w:rPr>
        <w:t xml:space="preserve"> כשלושה שבועות עובר לתאריך 17.09.14, קשר הנאשם קשר לבצע פשע יחד עם אחר, בקשר שהתקשר לאחר, עמו יש לו היכרות מוקדמת, ומסר לי כי הוא מועניין לייבא סמים ארצה וביקש ממנו כי כתובת מגוריו תשמש כנמען למשלוח הסמים, וזאת בתמורה לתשלום של 10,000 ₪. בהמשך למתואר, ולשם קידום הקשר, פגש הנאשם את האחר ופירט בפניו את פרטי ההצעה. האחר נעתר להצעה ומסר לנאשם את כתובתו. כשבועיים עובר למועד האמור, ייבא הנאשם מקנדה, סם מסוג קנבוס, במשקל של 514.13 גרם נטו, בכך שהזמין את הסם באמצעות אתר האינטרנט "</w:t>
      </w:r>
      <w:r>
        <w:rPr>
          <w:rFonts w:hint="cs"/>
        </w:rPr>
        <w:t>AGORA</w:t>
      </w:r>
      <w:r>
        <w:rPr>
          <w:rFonts w:hint="cs"/>
          <w:rtl/>
        </w:rPr>
        <w:t xml:space="preserve">" ושילם תמורתו כ-2,090 דולר. </w:t>
      </w:r>
      <w:r>
        <w:rPr>
          <w:rFonts w:hint="cs"/>
          <w:b/>
          <w:bCs/>
          <w:rtl/>
        </w:rPr>
        <w:t>אישום 2</w:t>
      </w:r>
      <w:r>
        <w:rPr>
          <w:rFonts w:hint="cs"/>
          <w:rtl/>
        </w:rPr>
        <w:t xml:space="preserve"> </w:t>
      </w:r>
      <w:r>
        <w:rPr>
          <w:rtl/>
        </w:rPr>
        <w:t>–</w:t>
      </w:r>
      <w:r>
        <w:rPr>
          <w:rFonts w:hint="cs"/>
          <w:rtl/>
        </w:rPr>
        <w:t xml:space="preserve"> כחודשיים עובר לתאריך 17.09.14, ניסה הנאשם לייבא מספרד, 10 זרעים של סם מסוכן מסוג קנבוס, במשקל שאינו ידוע למאשימה, בכך שהזמין את הסם באמצעות אתר האינטרנט "</w:t>
      </w:r>
      <w:r>
        <w:rPr>
          <w:rFonts w:hint="cs"/>
        </w:rPr>
        <w:t>PYRAMID SEEDS</w:t>
      </w:r>
      <w:r>
        <w:rPr>
          <w:rFonts w:hint="cs"/>
          <w:rtl/>
        </w:rPr>
        <w:t>" ושילם תמורתו כ-90 דולר</w:t>
      </w:r>
      <w:r>
        <w:rPr>
          <w:rFonts w:hint="cs"/>
          <w:b/>
          <w:bCs/>
          <w:rtl/>
        </w:rPr>
        <w:t>. אישום 3</w:t>
      </w:r>
      <w:r>
        <w:rPr>
          <w:rFonts w:hint="cs"/>
          <w:rtl/>
        </w:rPr>
        <w:t xml:space="preserve"> </w:t>
      </w:r>
      <w:r>
        <w:rPr>
          <w:rtl/>
        </w:rPr>
        <w:t>–</w:t>
      </w:r>
      <w:r>
        <w:rPr>
          <w:rFonts w:hint="cs"/>
          <w:rtl/>
        </w:rPr>
        <w:t xml:space="preserve"> במהלך כשנה עובר לתאריך 17.09.14 במספר הזדמנויות שונות, שלא עלו על 10 פעמים, סחר הנאשם בסם מסוכן מסוג קנבוס, בכך שמכר את הסם לאחר, בתמורה לסכום של 100 ₪ עבור גרם סם, או שלא בתמורה. </w:t>
      </w:r>
    </w:p>
    <w:p w14:paraId="2DF78B1C" w14:textId="77777777" w:rsidR="00C174F8" w:rsidRDefault="00C174F8">
      <w:pPr>
        <w:spacing w:line="360" w:lineRule="auto"/>
        <w:rPr>
          <w:sz w:val="16"/>
          <w:szCs w:val="16"/>
          <w:rtl/>
        </w:rPr>
      </w:pPr>
    </w:p>
    <w:p w14:paraId="0CA07104" w14:textId="77777777" w:rsidR="00C174F8" w:rsidRDefault="00916732">
      <w:pPr>
        <w:spacing w:line="360" w:lineRule="auto"/>
        <w:rPr>
          <w:b/>
          <w:bCs/>
          <w:u w:val="single"/>
          <w:rtl/>
        </w:rPr>
      </w:pPr>
      <w:r>
        <w:rPr>
          <w:rFonts w:hint="cs"/>
          <w:b/>
          <w:bCs/>
          <w:u w:val="single"/>
          <w:rtl/>
        </w:rPr>
        <w:t>תסקיר שירות המבחן</w:t>
      </w:r>
    </w:p>
    <w:p w14:paraId="021C50A4" w14:textId="77777777" w:rsidR="00C174F8" w:rsidRDefault="00916732">
      <w:pPr>
        <w:spacing w:line="360" w:lineRule="auto"/>
        <w:jc w:val="both"/>
        <w:rPr>
          <w:rtl/>
        </w:rPr>
      </w:pPr>
      <w:r>
        <w:rPr>
          <w:rFonts w:hint="cs"/>
          <w:rtl/>
        </w:rPr>
        <w:t xml:space="preserve">בעניינו של הנאשם התקבל תסקיר שירות מבחן לפיו, הנאשם יליד רוסיה,  בן 27, רווק, מתגורר בבית הוריו, מטופל ביחידה העירונית לנפגע סמים, עובד ולומד במכללה. הנאשם סיים 11 שנות לימוד ועל אף שאובחן כמחונן, פרש מלימודיו התיכוניים על רקע יחסי קונפליקט עם מוריו, ובהמשך לא גויס לצבא על אף שרצה בכך. לדבריו, הספיק שימוש באלכוהול על רקע בעיות בכבד. הנאשם נעדר עבר פלילי.  הנאשם שיתף כי בהיותו בן 18 הכיר בחורה עמה ניהל קשר זוגי אשר התפרק לאחר 4 שנים , בשל משבר נפשי קשה שחווה. בשל מצבו פנה לרופא המשפחה וקיבל למשך תקופה קצרה טיפול תרופתי הרגעתי. בהמשך החל שימוש בסם מסוג קנאביס, שסייע לו בהפחתת הלחצים הנפשיים. עם הזמן פיתח התמכרות נפשית לסם. באבחונו בהליך מעצרו בתיק הנוחכי תיאר הנאשם שימוש אינטנסיבי ויומיומי בחשיש במשך ארבע שנים והסביר את הסבוכתו עם החוק על רקע התמכרותו. באותו שלב סבר השירות כי הנאשם הכיר בהתנהלותו הבעייתית, אך היה חסר מודעות להשלכות שימושו בסמים ומחומרת מצבו. הנאשם ביטא רצון להשתחרר למעצר בית בבית הוריו, לצד מוטיבציה מילולית לפנות לטיפול בבעיית ההתמגרות, במסגרת היחידה העירונית לטיפול בהתמכרויות. הנאשם שוחחר למעצר בית והועמד בפיקוח מעצר, במסגרתו הופנה על ידי השירות לטיפול ביחידה העירונית ומדיווחים תקופתיים שהתקבלו בעניינו מגורמי הטיפול עלה כי, השתלב בצורה תקינה, שמר על נקיונו והפגין שיתוף פעולה גבוה. כמו כן, הופנה הנאשם ל"מרכז יום לנפגעי סמים", מתוך הנחה כי טיפול אינטנסיבי יתרום לשיקומו. הנאשם השלים את הטיפול באופן מלא ולשיבועת רצונם של גורמי הטיפול. מאז החל לימדיו והשתלב בעבודה סדירה. מדיווח עדכני שהתקבל מהיחידה לנפגעי סמים עלה כי, הנאשם ממשיך ומתמיד בטיפול ובשמירה על נקיון מסמים וכי עבר דרך טיפולית ושיקומית מרשימה ביותר וחלה מצדו התקדמות ניכרת ברמה האישית, ההתנהגותית והמחשבתית. גורמי הטיפול העריכו כי הנאשם חסר גורמי תמיכה משמעותיים וחבר רשת כלכלית ועל כן בוטא חשש מפני השלכותיה של ענישה שהתערער את היציבות שהושגה עד כה. משיחה שערך שירות המבחן עם הנאשם לאחרונה, התרשם השירות משינוי מקיף ומהותי שחל בהתיחסותו לעניין התמכורתו והשפעתה על מעורבותו בעבירות חמורות. ביטא הבנה ביחס לחומר מעשיו, לקח אחריות וביטא חרטה ובושה. שירות המבחן ער לחומרת </w:t>
      </w:r>
      <w:r>
        <w:rPr>
          <w:rFonts w:hint="cs"/>
          <w:rtl/>
        </w:rPr>
        <w:lastRenderedPageBreak/>
        <w:t xml:space="preserve">מעשיו של הנאשם ובמידה וישקול הטלת ענישה של מאסר, המליץ השירות כי יהיה ניתן לרצותו בדרך של עבודות שירות. שירות המבחן הציע חלופה עונשית של של"צ, בהיקף של 500 שעות, לצד ענישה מרתיעה בדמות מאסר על תנאי. </w:t>
      </w:r>
    </w:p>
    <w:p w14:paraId="134E612C" w14:textId="77777777" w:rsidR="00C174F8" w:rsidRDefault="00C174F8">
      <w:pPr>
        <w:spacing w:line="360" w:lineRule="auto"/>
        <w:jc w:val="both"/>
        <w:rPr>
          <w:rFonts w:ascii="Arial" w:hAnsi="Arial"/>
          <w:b/>
          <w:bCs/>
          <w:noProof w:val="0"/>
          <w:u w:val="single"/>
          <w:rtl/>
        </w:rPr>
      </w:pPr>
    </w:p>
    <w:p w14:paraId="40F2944D" w14:textId="77777777" w:rsidR="00C174F8" w:rsidRDefault="00916732">
      <w:pPr>
        <w:spacing w:line="360" w:lineRule="auto"/>
        <w:jc w:val="both"/>
        <w:rPr>
          <w:rFonts w:ascii="Arial" w:hAnsi="Arial"/>
          <w:b/>
          <w:bCs/>
          <w:noProof w:val="0"/>
          <w:u w:val="single"/>
          <w:rtl/>
        </w:rPr>
      </w:pPr>
      <w:r>
        <w:rPr>
          <w:rFonts w:ascii="Arial" w:hAnsi="Arial" w:hint="cs"/>
          <w:b/>
          <w:bCs/>
          <w:noProof w:val="0"/>
          <w:u w:val="single"/>
          <w:rtl/>
        </w:rPr>
        <w:t>טיעוני הצדדים לעונש</w:t>
      </w:r>
    </w:p>
    <w:p w14:paraId="35302B1C" w14:textId="77777777" w:rsidR="00C174F8" w:rsidRDefault="00916732">
      <w:pPr>
        <w:spacing w:line="360" w:lineRule="auto"/>
        <w:jc w:val="both"/>
        <w:rPr>
          <w:rtl/>
        </w:rPr>
      </w:pPr>
      <w:r>
        <w:rPr>
          <w:rFonts w:hint="cs"/>
          <w:rtl/>
        </w:rPr>
        <w:t xml:space="preserve">ב"כ המאשימה טען כי הנאשם הודה וחסך זמן שיפוטי, לנאשם אין עבר. ב"כ המאשימה הפנה לנסיבות וחומרת העבירות בהן הורשע הנאשם. מדובר בעבירה אשר הנאשם ביקש כספים רבים עבור הסמים אשר רצה להוציא לשוק הסמים ומדובר באישום הראשון בסך של 10,000 ₪. התקבל תסקיר חיובי בעניינו של הנאשם. יחד עם זאת, מדובר בעבירות חמורות של ייצוא ויבוא סמים. ב"כ המאשימה הציג פסיקה התומכת בעמדתו. במקרה הנוכחי מדובר באדם מתוחכם שיודע מה שהוא עושה ומייבא סמים ויש למגר את תופעת הסמים. עניין ההרתעה גובר על האינטרס הפרטי של הנאשם התביעה ביקשה להטיל על הנאשם מאסר ממש ולא להסתפק בעבודות שירות, מאסר על תנאי, קנס ופסילה. </w:t>
      </w:r>
    </w:p>
    <w:p w14:paraId="13F2A28C" w14:textId="77777777" w:rsidR="00C174F8" w:rsidRDefault="00C174F8">
      <w:pPr>
        <w:spacing w:line="360" w:lineRule="auto"/>
        <w:jc w:val="both"/>
        <w:rPr>
          <w:sz w:val="16"/>
          <w:szCs w:val="16"/>
          <w:rtl/>
        </w:rPr>
      </w:pPr>
    </w:p>
    <w:p w14:paraId="5E529260" w14:textId="77777777" w:rsidR="00C174F8" w:rsidRDefault="00916732">
      <w:pPr>
        <w:spacing w:line="360" w:lineRule="auto"/>
        <w:jc w:val="both"/>
        <w:rPr>
          <w:rtl/>
        </w:rPr>
      </w:pPr>
      <w:r>
        <w:rPr>
          <w:rFonts w:hint="cs"/>
          <w:rtl/>
        </w:rPr>
        <w:t xml:space="preserve">ב"כ הנאשם הפנה לתסקיר שירות המבחן שהוא חיובי מאד, מדובר באדם שהיה שקוע כל כולו בעולם הסמים והשתמש בסמים והיה בחברה שהעיסוק היה בתוכה עיסוק שכלל שימוש בסמים בעיקר בגראס וחשיש. הנאשם במסגרת שירות המבחן עבר הליך שיקומי משמעותי. הכנסתו לכלא תפר את האיזון ואת השיקום אותו עובר הנאשם. כיום הנאשם התחיל ללמוד, עובד בחנות מחשבים ומתפקד. מוסר בדיקות שתן נקיות והפך למדריך סמים. לדעת ב"כ הנאשם במקרה הנוכחי יש לחרוג ממתחם הענישה בשל נימוקי שיקום. במקרה הנוכחי יש הוכחה שהנאשם עשה הליך שיקום מדהים, כפי שניתן לראות מתסקיר שירות המבחן. תיקון 113 והעלה על נס בין השאר את ההלימה הוא העלה על נס גם את השיקום והוא אמר אם אדם יעבור הליך שיקום כזה יש לחרוג מהענישה הראויה. ב"כ הנאשם ביקש לאמץ את המלצות התסקיר, הגיש לבית המשפט מכתב מהאגף לשירותים חברתיים של מי שטיפל בו בעיריית תל אביב ב"כ הנאשם הפנה לדרך אותה עבר הנאשם. </w:t>
      </w:r>
    </w:p>
    <w:p w14:paraId="20C64B96" w14:textId="77777777" w:rsidR="00C174F8" w:rsidRDefault="00C174F8">
      <w:pPr>
        <w:spacing w:line="360" w:lineRule="auto"/>
        <w:jc w:val="both"/>
        <w:rPr>
          <w:sz w:val="16"/>
          <w:szCs w:val="16"/>
          <w:rtl/>
        </w:rPr>
      </w:pPr>
    </w:p>
    <w:p w14:paraId="724E83BE" w14:textId="77777777" w:rsidR="00C174F8" w:rsidRDefault="00916732">
      <w:pPr>
        <w:spacing w:line="360" w:lineRule="auto"/>
        <w:jc w:val="both"/>
        <w:rPr>
          <w:rtl/>
        </w:rPr>
      </w:pPr>
      <w:r>
        <w:rPr>
          <w:rFonts w:hint="cs"/>
          <w:rtl/>
        </w:rPr>
        <w:t xml:space="preserve">הנאשם הסביר את השינוי שעבר בחייו, ההליך השיקומי, הביע חרטה, ביקש להמשיך בטיפול. </w:t>
      </w:r>
    </w:p>
    <w:p w14:paraId="49211073" w14:textId="77777777" w:rsidR="00C174F8" w:rsidRDefault="00C174F8">
      <w:pPr>
        <w:spacing w:line="360" w:lineRule="auto"/>
        <w:jc w:val="both"/>
        <w:rPr>
          <w:sz w:val="16"/>
          <w:szCs w:val="16"/>
          <w:rtl/>
        </w:rPr>
      </w:pPr>
    </w:p>
    <w:p w14:paraId="1480F282" w14:textId="77777777" w:rsidR="00C174F8" w:rsidRDefault="00916732">
      <w:pPr>
        <w:spacing w:line="360" w:lineRule="auto"/>
        <w:jc w:val="both"/>
        <w:rPr>
          <w:b/>
          <w:bCs/>
          <w:u w:val="single"/>
          <w:rtl/>
        </w:rPr>
      </w:pPr>
      <w:r>
        <w:rPr>
          <w:rFonts w:hint="cs"/>
          <w:b/>
          <w:bCs/>
          <w:u w:val="single"/>
          <w:rtl/>
        </w:rPr>
        <w:t>דיון והכרעה</w:t>
      </w:r>
    </w:p>
    <w:p w14:paraId="31E419D4" w14:textId="77777777" w:rsidR="00C174F8" w:rsidRDefault="00916732">
      <w:pPr>
        <w:spacing w:line="360" w:lineRule="auto"/>
        <w:jc w:val="both"/>
        <w:rPr>
          <w:rtl/>
        </w:rPr>
      </w:pPr>
      <w:r>
        <w:rPr>
          <w:rtl/>
        </w:rPr>
        <w:t>בהתאם לתיקון 113 ל</w:t>
      </w:r>
      <w:hyperlink r:id="rId27" w:history="1">
        <w:r w:rsidRPr="00916732">
          <w:rPr>
            <w:color w:val="0000FF"/>
            <w:u w:val="single"/>
            <w:rtl/>
          </w:rPr>
          <w:t>חוק העונשין</w:t>
        </w:r>
      </w:hyperlink>
      <w:r>
        <w:rPr>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w:t>
      </w:r>
      <w:r>
        <w:rPr>
          <w:rFonts w:hint="cs"/>
          <w:rtl/>
        </w:rPr>
        <w:t xml:space="preserve"> כל אחד מ</w:t>
      </w:r>
      <w:r>
        <w:rPr>
          <w:rtl/>
        </w:rPr>
        <w:t>הארוע</w:t>
      </w:r>
      <w:r>
        <w:rPr>
          <w:rFonts w:hint="cs"/>
          <w:rtl/>
        </w:rPr>
        <w:t>ים</w:t>
      </w:r>
      <w:r>
        <w:rPr>
          <w:rtl/>
        </w:rPr>
        <w:t xml:space="preserve"> הוא </w:t>
      </w:r>
      <w:r>
        <w:rPr>
          <w:rFonts w:hint="cs"/>
          <w:rtl/>
        </w:rPr>
        <w:t>מאסר לתקופה שיכול ותרוצה בעבודות שירות ועד 18 חודשי מאסר.</w:t>
      </w:r>
    </w:p>
    <w:p w14:paraId="16BFA120" w14:textId="77777777" w:rsidR="00C174F8" w:rsidRDefault="00C174F8">
      <w:pPr>
        <w:spacing w:line="360" w:lineRule="auto"/>
        <w:jc w:val="both"/>
        <w:rPr>
          <w:sz w:val="16"/>
          <w:szCs w:val="16"/>
          <w:rtl/>
        </w:rPr>
      </w:pPr>
    </w:p>
    <w:p w14:paraId="50950A90" w14:textId="77777777" w:rsidR="00C174F8" w:rsidRDefault="00916732">
      <w:pPr>
        <w:spacing w:line="360" w:lineRule="auto"/>
        <w:jc w:val="both"/>
        <w:rPr>
          <w:rtl/>
        </w:rPr>
      </w:pPr>
      <w:r>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w:t>
      </w:r>
      <w:r>
        <w:rPr>
          <w:rFonts w:hint="cs"/>
          <w:rtl/>
        </w:rPr>
        <w:t xml:space="preserve">. </w:t>
      </w:r>
    </w:p>
    <w:p w14:paraId="00C30A29" w14:textId="77777777" w:rsidR="00C174F8" w:rsidRDefault="00C174F8">
      <w:pPr>
        <w:spacing w:line="360" w:lineRule="auto"/>
        <w:jc w:val="both"/>
        <w:rPr>
          <w:sz w:val="16"/>
          <w:szCs w:val="16"/>
          <w:rtl/>
        </w:rPr>
      </w:pPr>
    </w:p>
    <w:p w14:paraId="5569842F" w14:textId="77777777" w:rsidR="00C174F8" w:rsidRDefault="00916732">
      <w:pPr>
        <w:spacing w:line="360" w:lineRule="auto"/>
        <w:jc w:val="both"/>
        <w:rPr>
          <w:rtl/>
        </w:rPr>
      </w:pPr>
      <w:r>
        <w:rPr>
          <w:rFonts w:hint="cs"/>
          <w:rtl/>
        </w:rPr>
        <w:t>אין מחלוקת בין הצדדים כי הנאשם עבר הליך שיקומי משמעותי, כאמור בתסקיר שירות המבחן.</w:t>
      </w:r>
    </w:p>
    <w:p w14:paraId="4C00EF3E" w14:textId="77777777" w:rsidR="00C174F8" w:rsidRDefault="00916732">
      <w:pPr>
        <w:spacing w:line="360" w:lineRule="auto"/>
        <w:jc w:val="both"/>
        <w:rPr>
          <w:rtl/>
        </w:rPr>
      </w:pPr>
      <w:r>
        <w:rPr>
          <w:rFonts w:hint="cs"/>
          <w:b/>
          <w:rtl/>
        </w:rPr>
        <w:t>שירות המבחן כתב במסגרת התסקיר "</w:t>
      </w:r>
      <w:r>
        <w:rPr>
          <w:rFonts w:hint="cs"/>
          <w:rtl/>
        </w:rPr>
        <w:t>במסגרת</w:t>
      </w:r>
      <w:r>
        <w:t xml:space="preserve"> </w:t>
      </w:r>
      <w:r>
        <w:rPr>
          <w:rFonts w:hint="cs"/>
          <w:rtl/>
        </w:rPr>
        <w:t>הכרותנו</w:t>
      </w:r>
      <w:r>
        <w:t xml:space="preserve"> </w:t>
      </w:r>
      <w:r>
        <w:rPr>
          <w:rFonts w:hint="cs"/>
          <w:rtl/>
        </w:rPr>
        <w:t>עמו</w:t>
      </w:r>
      <w:r>
        <w:t xml:space="preserve"> </w:t>
      </w:r>
      <w:r>
        <w:rPr>
          <w:rFonts w:hint="cs"/>
          <w:rtl/>
        </w:rPr>
        <w:t>מאז</w:t>
      </w:r>
      <w:r>
        <w:t xml:space="preserve"> </w:t>
      </w:r>
      <w:r>
        <w:rPr>
          <w:rFonts w:hint="cs"/>
          <w:rtl/>
        </w:rPr>
        <w:t>נעצר</w:t>
      </w:r>
      <w:r>
        <w:t xml:space="preserve"> </w:t>
      </w:r>
      <w:r>
        <w:rPr>
          <w:rFonts w:hint="cs"/>
          <w:rtl/>
        </w:rPr>
        <w:t>בתיקים הנוכחיים</w:t>
      </w:r>
      <w:r>
        <w:t xml:space="preserve"> </w:t>
      </w:r>
      <w:r>
        <w:rPr>
          <w:rFonts w:hint="cs"/>
          <w:rtl/>
        </w:rPr>
        <w:t>שיתף</w:t>
      </w:r>
      <w:r>
        <w:t xml:space="preserve"> </w:t>
      </w:r>
      <w:r>
        <w:rPr>
          <w:rFonts w:hint="cs"/>
          <w:rtl/>
        </w:rPr>
        <w:t>פעולה, הפגין</w:t>
      </w:r>
      <w:r>
        <w:t xml:space="preserve"> </w:t>
      </w:r>
      <w:r>
        <w:rPr>
          <w:rFonts w:hint="cs"/>
          <w:rtl/>
        </w:rPr>
        <w:t>מוטיבציה  לעריכת</w:t>
      </w:r>
      <w:r>
        <w:t xml:space="preserve"> </w:t>
      </w:r>
      <w:r>
        <w:rPr>
          <w:rFonts w:hint="cs"/>
          <w:rtl/>
        </w:rPr>
        <w:t>שינוי וניצל</w:t>
      </w:r>
      <w:r>
        <w:t xml:space="preserve"> </w:t>
      </w:r>
      <w:r>
        <w:rPr>
          <w:rFonts w:hint="cs"/>
          <w:rtl/>
        </w:rPr>
        <w:t>באופן</w:t>
      </w:r>
      <w:r>
        <w:t xml:space="preserve"> </w:t>
      </w:r>
      <w:r>
        <w:rPr>
          <w:rFonts w:hint="cs"/>
          <w:rtl/>
        </w:rPr>
        <w:t>מלא ההזדמנות השיקומית</w:t>
      </w:r>
      <w:r>
        <w:t xml:space="preserve"> </w:t>
      </w:r>
      <w:r>
        <w:rPr>
          <w:rFonts w:hint="cs"/>
          <w:rtl/>
        </w:rPr>
        <w:t>שהוצעה</w:t>
      </w:r>
      <w:r>
        <w:t xml:space="preserve"> </w:t>
      </w:r>
      <w:r>
        <w:rPr>
          <w:rFonts w:hint="cs"/>
          <w:rtl/>
        </w:rPr>
        <w:t>לו בחסות</w:t>
      </w:r>
      <w:r>
        <w:t xml:space="preserve"> </w:t>
      </w:r>
      <w:r>
        <w:rPr>
          <w:rFonts w:hint="cs"/>
          <w:rtl/>
        </w:rPr>
        <w:t>ההליכים</w:t>
      </w:r>
      <w:r>
        <w:t xml:space="preserve"> </w:t>
      </w:r>
      <w:r>
        <w:rPr>
          <w:rFonts w:hint="cs"/>
          <w:rtl/>
        </w:rPr>
        <w:t xml:space="preserve">המשפטיים." הנאשם מצוי בפיקוח מעצר מאז נובמבר 2014. מדובר בתקופה ממושכת. הנאשם ניצל כאמור זמן זה לצורך הליך שיקומי. בית המשפט התלבט בתיק זה נוכח חומרת העבירות בהן הורשע הנאשם. עמדת התביעה בתיק היא ראויה, ברם בנסיבות בהן עבר הנאשם הליך שיקומי כאמור. יש מקום שלא לפגוע בהליך זה ובית המשפט לא ימצא את הדין עם הנאשם ויסתפק במאסר בדרך של עבודות שירות. </w:t>
      </w:r>
    </w:p>
    <w:p w14:paraId="5AE6FF9A" w14:textId="77777777" w:rsidR="00C174F8" w:rsidRDefault="00C174F8">
      <w:pPr>
        <w:spacing w:line="360" w:lineRule="auto"/>
        <w:jc w:val="both"/>
        <w:rPr>
          <w:b/>
          <w:sz w:val="16"/>
          <w:szCs w:val="16"/>
          <w:rtl/>
        </w:rPr>
      </w:pPr>
    </w:p>
    <w:p w14:paraId="6AE8AE3B" w14:textId="77777777" w:rsidR="00C174F8" w:rsidRDefault="00916732">
      <w:pPr>
        <w:spacing w:line="360" w:lineRule="auto"/>
        <w:jc w:val="both"/>
        <w:rPr>
          <w:b/>
        </w:rPr>
      </w:pPr>
      <w:r>
        <w:rPr>
          <w:b/>
          <w:rtl/>
        </w:rPr>
        <w:t xml:space="preserve">לאחר ששמעתי את הצדדים בהתחשב בטיעוניהם, </w:t>
      </w:r>
      <w:r>
        <w:rPr>
          <w:rFonts w:hint="cs"/>
          <w:b/>
          <w:rtl/>
        </w:rPr>
        <w:t xml:space="preserve">בנסיבות המקרה והעניין ועל </w:t>
      </w:r>
      <w:r>
        <w:rPr>
          <w:b/>
          <w:rtl/>
        </w:rPr>
        <w:t>פי כל השיקולים הצריכים לגזר הדין אני קובע כי אלה העונשים שאני משית על הנאשם:</w:t>
      </w:r>
    </w:p>
    <w:p w14:paraId="7B70EDDD" w14:textId="77777777" w:rsidR="00C174F8" w:rsidRDefault="00C174F8">
      <w:pPr>
        <w:spacing w:line="360" w:lineRule="auto"/>
        <w:jc w:val="both"/>
        <w:rPr>
          <w:sz w:val="16"/>
          <w:szCs w:val="16"/>
        </w:rPr>
      </w:pPr>
    </w:p>
    <w:p w14:paraId="36622ECC" w14:textId="77777777" w:rsidR="00C174F8" w:rsidRDefault="00916732">
      <w:pPr>
        <w:pStyle w:val="ListParagraph"/>
        <w:numPr>
          <w:ilvl w:val="0"/>
          <w:numId w:val="1"/>
        </w:numPr>
        <w:spacing w:line="360" w:lineRule="auto"/>
        <w:jc w:val="both"/>
        <w:rPr>
          <w:sz w:val="24"/>
        </w:rPr>
      </w:pPr>
      <w:r>
        <w:rPr>
          <w:rFonts w:hint="cs"/>
          <w:sz w:val="24"/>
          <w:rtl/>
        </w:rPr>
        <w:t xml:space="preserve">אני דן את הנאשם למאסר בדרך של עבודות שירות, למשך שישה חודשים, אני מטיל על הנאשם ביצוען של העבודות המפורטות בחוות דעתו של הממונה על  עבודות השירות, עלֿֿפי הוראות סעיף </w:t>
      </w:r>
      <w:hyperlink r:id="rId28" w:history="1">
        <w:r w:rsidR="00366CF7" w:rsidRPr="00366CF7">
          <w:rPr>
            <w:color w:val="0000FF"/>
            <w:sz w:val="24"/>
            <w:u w:val="single"/>
            <w:rtl/>
          </w:rPr>
          <w:t>51 ב(ב)</w:t>
        </w:r>
      </w:hyperlink>
      <w:r>
        <w:rPr>
          <w:rFonts w:hint="cs"/>
          <w:sz w:val="24"/>
          <w:rtl/>
        </w:rPr>
        <w:t xml:space="preserve"> ל</w:t>
      </w:r>
      <w:hyperlink r:id="rId29" w:history="1">
        <w:r w:rsidRPr="00916732">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6FAA1728" w14:textId="77777777" w:rsidR="00C174F8" w:rsidRDefault="00C174F8">
      <w:pPr>
        <w:pStyle w:val="a7"/>
        <w:ind w:left="720"/>
        <w:rPr>
          <w:b/>
          <w:bCs/>
          <w:sz w:val="16"/>
          <w:szCs w:val="16"/>
          <w:rtl/>
        </w:rPr>
      </w:pPr>
    </w:p>
    <w:p w14:paraId="6B474B92" w14:textId="77777777" w:rsidR="00C174F8" w:rsidRDefault="00916732">
      <w:pPr>
        <w:pStyle w:val="a7"/>
        <w:ind w:left="720"/>
        <w:jc w:val="both"/>
        <w:rPr>
          <w:b/>
          <w:bCs/>
          <w:szCs w:val="24"/>
          <w:rtl/>
        </w:rPr>
      </w:pPr>
      <w:r>
        <w:rPr>
          <w:szCs w:val="24"/>
          <w:rtl/>
        </w:rPr>
        <w:t>הנאשם יבצע את עבודות השירות ב</w:t>
      </w:r>
      <w:r>
        <w:rPr>
          <w:rFonts w:hint="cs"/>
          <w:szCs w:val="24"/>
          <w:rtl/>
        </w:rPr>
        <w:t xml:space="preserve">בית לשובע רווית ריכמן צלנוב 18 תל אביב </w:t>
      </w:r>
      <w:r>
        <w:rPr>
          <w:szCs w:val="24"/>
          <w:rtl/>
        </w:rPr>
        <w:t xml:space="preserve">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292B0B90" w14:textId="77777777" w:rsidR="00C174F8" w:rsidRDefault="00916732">
      <w:pPr>
        <w:pStyle w:val="a7"/>
        <w:ind w:left="720"/>
        <w:rPr>
          <w:szCs w:val="24"/>
          <w:rtl/>
        </w:rPr>
      </w:pPr>
      <w:r>
        <w:rPr>
          <w:szCs w:val="24"/>
          <w:rtl/>
        </w:rPr>
        <w:t xml:space="preserve">תחילתן של ביצוע העבודות ביום </w:t>
      </w:r>
      <w:r>
        <w:rPr>
          <w:rFonts w:hint="cs"/>
          <w:szCs w:val="24"/>
          <w:rtl/>
        </w:rPr>
        <w:t>28</w:t>
      </w:r>
      <w:r>
        <w:rPr>
          <w:szCs w:val="24"/>
          <w:rtl/>
        </w:rPr>
        <w:t>.</w:t>
      </w:r>
      <w:r>
        <w:rPr>
          <w:rFonts w:hint="cs"/>
          <w:szCs w:val="24"/>
          <w:rtl/>
        </w:rPr>
        <w:t>06</w:t>
      </w:r>
      <w:r>
        <w:rPr>
          <w:szCs w:val="24"/>
          <w:rtl/>
        </w:rPr>
        <w:t>.</w:t>
      </w:r>
      <w:r>
        <w:rPr>
          <w:rFonts w:hint="cs"/>
          <w:szCs w:val="24"/>
          <w:rtl/>
        </w:rPr>
        <w:t>16</w:t>
      </w:r>
      <w:r>
        <w:rPr>
          <w:szCs w:val="24"/>
          <w:rtl/>
        </w:rPr>
        <w:t>,שעה 08:00 והן תהיינה בפיקוח  מפקח אחראי רס"ב פרץ שמעון טלפון 0506279200.</w:t>
      </w:r>
    </w:p>
    <w:p w14:paraId="73675FF6" w14:textId="77777777" w:rsidR="00C174F8" w:rsidRDefault="00C174F8">
      <w:pPr>
        <w:pStyle w:val="a7"/>
        <w:ind w:left="720"/>
        <w:rPr>
          <w:szCs w:val="24"/>
          <w:rtl/>
        </w:rPr>
      </w:pPr>
    </w:p>
    <w:p w14:paraId="5FD95999" w14:textId="77777777" w:rsidR="00C174F8" w:rsidRDefault="00916732">
      <w:pPr>
        <w:pStyle w:val="a7"/>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304F3EE4" w14:textId="77777777" w:rsidR="00C174F8" w:rsidRDefault="00916732">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6B2C716A" w14:textId="77777777" w:rsidR="00C174F8" w:rsidRDefault="00C174F8">
      <w:pPr>
        <w:pStyle w:val="ListParagraph"/>
        <w:spacing w:line="360" w:lineRule="auto"/>
        <w:rPr>
          <w:b/>
          <w:bCs/>
          <w:sz w:val="16"/>
          <w:szCs w:val="16"/>
          <w:u w:val="single"/>
          <w:rtl/>
        </w:rPr>
      </w:pPr>
    </w:p>
    <w:p w14:paraId="2307DF61" w14:textId="77777777" w:rsidR="00C174F8" w:rsidRDefault="00916732">
      <w:pPr>
        <w:autoSpaceDE w:val="0"/>
        <w:autoSpaceDN w:val="0"/>
        <w:adjustRightInd w:val="0"/>
        <w:spacing w:line="360" w:lineRule="auto"/>
        <w:ind w:left="720"/>
        <w:jc w:val="both"/>
        <w:rPr>
          <w:rFonts w:ascii="Calibri" w:hAnsi="Calibri"/>
          <w:rtl/>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00114710" w14:textId="77777777" w:rsidR="00C174F8" w:rsidRDefault="00916732">
      <w:pPr>
        <w:pStyle w:val="ListParagraph"/>
        <w:spacing w:line="360" w:lineRule="auto"/>
        <w:rPr>
          <w:b/>
          <w:bCs/>
          <w:sz w:val="24"/>
          <w:u w:val="single"/>
          <w:rtl/>
        </w:rPr>
      </w:pPr>
      <w:r>
        <w:rPr>
          <w:rFonts w:hint="cs"/>
          <w:b/>
          <w:bCs/>
          <w:sz w:val="24"/>
          <w:u w:val="single"/>
          <w:rtl/>
        </w:rPr>
        <w:t xml:space="preserve">המזכירות תעביר הודעה על גזר הדין לממונה על עבודת השירות. </w:t>
      </w:r>
    </w:p>
    <w:p w14:paraId="31DFD47B" w14:textId="77777777" w:rsidR="00C174F8" w:rsidRDefault="00C174F8">
      <w:pPr>
        <w:spacing w:line="360" w:lineRule="auto"/>
        <w:jc w:val="both"/>
        <w:rPr>
          <w:sz w:val="16"/>
          <w:szCs w:val="16"/>
        </w:rPr>
      </w:pPr>
    </w:p>
    <w:p w14:paraId="72E737D7" w14:textId="77777777" w:rsidR="00C174F8" w:rsidRDefault="00916732">
      <w:pPr>
        <w:pStyle w:val="ListParagraph"/>
        <w:numPr>
          <w:ilvl w:val="0"/>
          <w:numId w:val="1"/>
        </w:numPr>
        <w:spacing w:line="360" w:lineRule="auto"/>
        <w:jc w:val="both"/>
        <w:rPr>
          <w:sz w:val="24"/>
        </w:rPr>
      </w:pPr>
      <w:r>
        <w:rPr>
          <w:rFonts w:hint="cs"/>
          <w:sz w:val="24"/>
          <w:rtl/>
        </w:rPr>
        <w:t>אני דן את הנאשם למאסר למשך 8</w:t>
      </w:r>
      <w:r>
        <w:rPr>
          <w:rFonts w:hint="cs"/>
          <w:b/>
          <w:bCs/>
          <w:sz w:val="24"/>
          <w:rtl/>
        </w:rPr>
        <w:t xml:space="preserve"> </w:t>
      </w:r>
      <w:r>
        <w:rPr>
          <w:rFonts w:hint="cs"/>
          <w:sz w:val="24"/>
          <w:rtl/>
        </w:rPr>
        <w:t xml:space="preserve">חודשים וזאת על תנאי למשך שלוש שנים. התנאי הוא שלא יעבור עבירה על פי הוראות </w:t>
      </w:r>
      <w:hyperlink r:id="rId30" w:history="1">
        <w:r w:rsidRPr="00916732">
          <w:rPr>
            <w:color w:val="0000FF"/>
            <w:sz w:val="24"/>
            <w:u w:val="single"/>
            <w:rtl/>
          </w:rPr>
          <w:t>פקודת הסמים המסוכנים</w:t>
        </w:r>
      </w:hyperlink>
      <w:r>
        <w:rPr>
          <w:rFonts w:hint="cs"/>
          <w:sz w:val="24"/>
          <w:rtl/>
        </w:rPr>
        <w:t xml:space="preserve"> מסוג פשע. </w:t>
      </w:r>
    </w:p>
    <w:p w14:paraId="2B5633AF" w14:textId="77777777" w:rsidR="00C174F8" w:rsidRDefault="00C174F8">
      <w:pPr>
        <w:spacing w:line="360" w:lineRule="auto"/>
        <w:jc w:val="both"/>
        <w:rPr>
          <w:sz w:val="16"/>
          <w:szCs w:val="16"/>
        </w:rPr>
      </w:pPr>
    </w:p>
    <w:p w14:paraId="25098EBA" w14:textId="77777777" w:rsidR="00C174F8" w:rsidRDefault="00916732">
      <w:pPr>
        <w:pStyle w:val="ListParagraph"/>
        <w:numPr>
          <w:ilvl w:val="0"/>
          <w:numId w:val="1"/>
        </w:numPr>
        <w:spacing w:line="360" w:lineRule="auto"/>
        <w:jc w:val="both"/>
        <w:rPr>
          <w:sz w:val="24"/>
        </w:rPr>
      </w:pPr>
      <w:r>
        <w:rPr>
          <w:rFonts w:hint="cs"/>
          <w:sz w:val="24"/>
          <w:rtl/>
        </w:rPr>
        <w:t>אני דן את הנאשם למאסר למשך 3</w:t>
      </w:r>
      <w:r>
        <w:rPr>
          <w:rFonts w:hint="cs"/>
          <w:b/>
          <w:bCs/>
          <w:sz w:val="24"/>
          <w:rtl/>
        </w:rPr>
        <w:t xml:space="preserve"> </w:t>
      </w:r>
      <w:r>
        <w:rPr>
          <w:rFonts w:hint="cs"/>
          <w:sz w:val="24"/>
          <w:rtl/>
        </w:rPr>
        <w:t xml:space="preserve">חודשים וזאת על תנאי למשך שנתיים שנים. התנאי הוא שלא יעבור עבירה על פי הוראות </w:t>
      </w:r>
      <w:hyperlink r:id="rId31" w:history="1">
        <w:r w:rsidRPr="00916732">
          <w:rPr>
            <w:color w:val="0000FF"/>
            <w:sz w:val="24"/>
            <w:u w:val="single"/>
            <w:rtl/>
          </w:rPr>
          <w:t>פקודת הסמים המסוכנים</w:t>
        </w:r>
      </w:hyperlink>
      <w:r>
        <w:rPr>
          <w:rFonts w:hint="cs"/>
          <w:sz w:val="24"/>
          <w:rtl/>
        </w:rPr>
        <w:t xml:space="preserve">, מסוג עוון. </w:t>
      </w:r>
    </w:p>
    <w:p w14:paraId="7AB53A5A" w14:textId="77777777" w:rsidR="00C174F8" w:rsidRDefault="00C174F8">
      <w:pPr>
        <w:spacing w:line="360" w:lineRule="auto"/>
        <w:jc w:val="both"/>
        <w:rPr>
          <w:sz w:val="16"/>
          <w:szCs w:val="16"/>
        </w:rPr>
      </w:pPr>
    </w:p>
    <w:p w14:paraId="158C8529" w14:textId="77777777" w:rsidR="00C174F8" w:rsidRDefault="00916732">
      <w:pPr>
        <w:pStyle w:val="ListParagraph"/>
        <w:numPr>
          <w:ilvl w:val="0"/>
          <w:numId w:val="1"/>
        </w:numPr>
        <w:spacing w:line="360" w:lineRule="auto"/>
        <w:jc w:val="both"/>
        <w:rPr>
          <w:sz w:val="24"/>
        </w:rPr>
      </w:pPr>
      <w:r>
        <w:rPr>
          <w:rFonts w:hint="cs"/>
          <w:sz w:val="24"/>
          <w:rtl/>
        </w:rPr>
        <w:t xml:space="preserve">הנאשם ישלם קנס בסך 1,500  </w:t>
      </w:r>
      <w:r>
        <w:rPr>
          <w:rFonts w:hint="cs"/>
          <w:b/>
          <w:bCs/>
          <w:sz w:val="24"/>
          <w:rtl/>
        </w:rPr>
        <w:t xml:space="preserve">₪ </w:t>
      </w:r>
      <w:r>
        <w:rPr>
          <w:rFonts w:hint="cs"/>
          <w:sz w:val="24"/>
          <w:rtl/>
        </w:rPr>
        <w:t xml:space="preserve">או 15  ימי מאסר תמורתם. </w:t>
      </w:r>
    </w:p>
    <w:p w14:paraId="4ADD301D" w14:textId="77777777" w:rsidR="00C174F8" w:rsidRDefault="00916732">
      <w:pPr>
        <w:pStyle w:val="ListParagraph"/>
        <w:spacing w:line="360" w:lineRule="auto"/>
        <w:jc w:val="both"/>
        <w:rPr>
          <w:sz w:val="24"/>
          <w:rtl/>
        </w:rPr>
      </w:pPr>
      <w:r>
        <w:rPr>
          <w:rFonts w:hint="cs"/>
          <w:sz w:val="24"/>
          <w:rtl/>
        </w:rPr>
        <w:t xml:space="preserve">הקנס ישולם עד ליום 1.07.16. </w:t>
      </w:r>
    </w:p>
    <w:p w14:paraId="228BA78C" w14:textId="77777777" w:rsidR="00C174F8" w:rsidRDefault="00C174F8">
      <w:pPr>
        <w:autoSpaceDE w:val="0"/>
        <w:autoSpaceDN w:val="0"/>
        <w:adjustRightInd w:val="0"/>
        <w:spacing w:line="360" w:lineRule="auto"/>
        <w:jc w:val="both"/>
        <w:rPr>
          <w:sz w:val="16"/>
          <w:szCs w:val="16"/>
        </w:rPr>
      </w:pPr>
    </w:p>
    <w:p w14:paraId="62A7659F" w14:textId="77777777" w:rsidR="00C174F8" w:rsidRDefault="00916732">
      <w:pPr>
        <w:pStyle w:val="ListParagraph"/>
        <w:numPr>
          <w:ilvl w:val="0"/>
          <w:numId w:val="1"/>
        </w:numPr>
        <w:autoSpaceDE w:val="0"/>
        <w:autoSpaceDN w:val="0"/>
        <w:adjustRightInd w:val="0"/>
        <w:spacing w:line="360" w:lineRule="auto"/>
        <w:jc w:val="both"/>
        <w:rPr>
          <w:sz w:val="24"/>
        </w:rPr>
      </w:pPr>
      <w:r>
        <w:rPr>
          <w:rFonts w:hint="cs"/>
          <w:sz w:val="24"/>
          <w:rtl/>
        </w:rPr>
        <w:t>אני מעמיד את הנאשם בצו מבחן למשך 18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w:t>
      </w:r>
    </w:p>
    <w:p w14:paraId="4AF274B4" w14:textId="77777777" w:rsidR="00C174F8" w:rsidRDefault="00916732">
      <w:pPr>
        <w:autoSpaceDE w:val="0"/>
        <w:autoSpaceDN w:val="0"/>
        <w:adjustRightInd w:val="0"/>
        <w:spacing w:line="360" w:lineRule="auto"/>
        <w:ind w:firstLine="720"/>
        <w:rPr>
          <w:rtl/>
        </w:rPr>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52740577" w14:textId="77777777" w:rsidR="00C174F8" w:rsidRDefault="00C174F8">
      <w:pPr>
        <w:rPr>
          <w:sz w:val="16"/>
          <w:szCs w:val="16"/>
        </w:rPr>
      </w:pPr>
    </w:p>
    <w:p w14:paraId="48028B89" w14:textId="77777777" w:rsidR="00C174F8" w:rsidRDefault="00916732">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24AFD06D" w14:textId="77777777" w:rsidR="00C174F8" w:rsidRDefault="00916732">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07DBAE48" w14:textId="77777777" w:rsidR="00C174F8" w:rsidRDefault="00C174F8">
      <w:pPr>
        <w:spacing w:line="360" w:lineRule="auto"/>
        <w:ind w:left="720" w:hanging="720"/>
        <w:jc w:val="both"/>
        <w:rPr>
          <w:b/>
          <w:bCs/>
          <w:sz w:val="16"/>
          <w:szCs w:val="16"/>
          <w:u w:val="single"/>
          <w:rtl/>
        </w:rPr>
      </w:pPr>
    </w:p>
    <w:p w14:paraId="11B9BAFA" w14:textId="77777777" w:rsidR="00C174F8" w:rsidRDefault="00916732">
      <w:pPr>
        <w:spacing w:line="360" w:lineRule="auto"/>
        <w:jc w:val="both"/>
        <w:rPr>
          <w:b/>
          <w:bCs/>
          <w:u w:val="single"/>
          <w:rtl/>
        </w:rPr>
      </w:pPr>
      <w:r w:rsidRPr="00916732">
        <w:rPr>
          <w:b/>
          <w:bCs/>
          <w:color w:val="FFFFFF"/>
          <w:sz w:val="2"/>
          <w:szCs w:val="2"/>
          <w:u w:val="single"/>
          <w:rtl/>
        </w:rPr>
        <w:t>5129371</w:t>
      </w:r>
      <w:r>
        <w:rPr>
          <w:rFonts w:hint="cs"/>
          <w:b/>
          <w:bCs/>
          <w:u w:val="single"/>
          <w:rtl/>
        </w:rPr>
        <w:t>במידה וקיימים מוצגים הרי שהם יישמד</w:t>
      </w:r>
      <w:r>
        <w:rPr>
          <w:rFonts w:hint="eastAsia"/>
          <w:b/>
          <w:bCs/>
          <w:u w:val="single"/>
          <w:rtl/>
        </w:rPr>
        <w:t>ו</w:t>
      </w:r>
      <w:r>
        <w:rPr>
          <w:rFonts w:hint="cs"/>
          <w:b/>
          <w:bCs/>
          <w:u w:val="single"/>
          <w:rtl/>
        </w:rPr>
        <w:t>, יחולטו, יושבו לבעליהם על פי שיקול הדעת של קצין החקירות.</w:t>
      </w:r>
    </w:p>
    <w:p w14:paraId="1D46D2DA" w14:textId="77777777" w:rsidR="00C174F8" w:rsidRPr="00916732" w:rsidRDefault="00916732">
      <w:pPr>
        <w:spacing w:line="360" w:lineRule="auto"/>
        <w:rPr>
          <w:color w:val="FFFFFF"/>
          <w:sz w:val="2"/>
          <w:szCs w:val="2"/>
          <w:rtl/>
        </w:rPr>
      </w:pPr>
      <w:r w:rsidRPr="00916732">
        <w:rPr>
          <w:color w:val="FFFFFF"/>
          <w:sz w:val="2"/>
          <w:szCs w:val="2"/>
          <w:rtl/>
        </w:rPr>
        <w:t>54678313</w:t>
      </w:r>
    </w:p>
    <w:p w14:paraId="4113BA5B" w14:textId="77777777" w:rsidR="00C174F8" w:rsidRDefault="00916732">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w:t>
      </w:r>
    </w:p>
    <w:p w14:paraId="2CE101A3" w14:textId="77777777" w:rsidR="00C174F8" w:rsidRDefault="00916732">
      <w:pPr>
        <w:spacing w:line="360" w:lineRule="auto"/>
        <w:jc w:val="both"/>
        <w:rPr>
          <w:rtl/>
        </w:rPr>
      </w:pPr>
      <w:r>
        <w:rPr>
          <w:rFonts w:hint="cs"/>
          <w:rtl/>
        </w:rPr>
        <w:t xml:space="preserve">הנאשם יפנה למזכירות ביהמ"ש לקבלת שובר תשלום קנס. </w:t>
      </w:r>
    </w:p>
    <w:p w14:paraId="4F08961E" w14:textId="77777777" w:rsidR="00C174F8" w:rsidRDefault="00916732">
      <w:pPr>
        <w:tabs>
          <w:tab w:val="left" w:pos="2553"/>
        </w:tabs>
      </w:pPr>
      <w:r>
        <w:rPr>
          <w:rFonts w:ascii="Arial" w:hAnsi="Arial"/>
          <w:noProof w:val="0"/>
          <w:rtl/>
        </w:rPr>
        <w:t xml:space="preserve">ניתנה היום, י"ח אייר תשע"ו, 26 מאי 2016, במעמד הצדדים. </w:t>
      </w:r>
      <w:r>
        <w:rPr>
          <w:rFonts w:hint="cs"/>
          <w:rtl/>
        </w:rPr>
        <w:tab/>
      </w:r>
      <w:r>
        <w:rPr>
          <w:rFonts w:hint="cs"/>
          <w:rtl/>
        </w:rPr>
        <w:tab/>
      </w:r>
      <w:r>
        <w:rPr>
          <w:rFonts w:hint="cs"/>
          <w:rtl/>
        </w:rPr>
        <w:tab/>
      </w:r>
      <w:r>
        <w:rPr>
          <w:rFonts w:hint="cs"/>
          <w:rtl/>
        </w:rPr>
        <w:tab/>
        <w:t xml:space="preserve">  </w:t>
      </w:r>
    </w:p>
    <w:p w14:paraId="1773D6D1" w14:textId="77777777" w:rsidR="00C174F8" w:rsidRDefault="00C174F8">
      <w:pPr>
        <w:tabs>
          <w:tab w:val="left" w:pos="2553"/>
        </w:tabs>
        <w:rPr>
          <w:rFonts w:ascii="Arial" w:hAnsi="Arial"/>
          <w:noProof w:val="0"/>
          <w:rtl/>
        </w:rPr>
      </w:pPr>
    </w:p>
    <w:p w14:paraId="5204C234" w14:textId="77777777" w:rsidR="00916732" w:rsidRPr="00916732" w:rsidRDefault="00916732" w:rsidP="00916732">
      <w:pPr>
        <w:keepNext/>
        <w:rPr>
          <w:rFonts w:ascii="David" w:hAnsi="David"/>
          <w:color w:val="000000"/>
          <w:sz w:val="22"/>
          <w:szCs w:val="22"/>
          <w:rtl/>
        </w:rPr>
      </w:pPr>
    </w:p>
    <w:p w14:paraId="1B9B1A29" w14:textId="77777777" w:rsidR="00916732" w:rsidRPr="00916732" w:rsidRDefault="00916732" w:rsidP="00916732">
      <w:pPr>
        <w:keepNext/>
        <w:rPr>
          <w:rFonts w:ascii="David" w:hAnsi="David"/>
          <w:color w:val="000000"/>
          <w:sz w:val="22"/>
          <w:szCs w:val="22"/>
          <w:rtl/>
        </w:rPr>
      </w:pPr>
      <w:r w:rsidRPr="00916732">
        <w:rPr>
          <w:rFonts w:ascii="David" w:hAnsi="David"/>
          <w:color w:val="000000"/>
          <w:sz w:val="22"/>
          <w:szCs w:val="22"/>
          <w:rtl/>
        </w:rPr>
        <w:t>שמואל מלמד 54678313</w:t>
      </w:r>
    </w:p>
    <w:p w14:paraId="2847657F" w14:textId="77777777" w:rsidR="00916732" w:rsidRDefault="00916732" w:rsidP="00916732">
      <w:r w:rsidRPr="00916732">
        <w:rPr>
          <w:color w:val="000000"/>
          <w:rtl/>
        </w:rPr>
        <w:t>נוסח מסמך זה כפוף לשינויי ניסוח ועריכה</w:t>
      </w:r>
    </w:p>
    <w:p w14:paraId="560D815E" w14:textId="77777777" w:rsidR="00916732" w:rsidRDefault="00916732" w:rsidP="00916732">
      <w:pPr>
        <w:rPr>
          <w:rtl/>
        </w:rPr>
      </w:pPr>
    </w:p>
    <w:p w14:paraId="5F28D0E2" w14:textId="77777777" w:rsidR="00916732" w:rsidRDefault="00916732" w:rsidP="00916732">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C83856">
        <w:rPr>
          <w:rFonts w:hint="cs"/>
          <w:color w:val="0000FF"/>
          <w:u w:val="single"/>
          <w:rtl/>
        </w:rPr>
        <w:t xml:space="preserve"> </w:t>
      </w:r>
    </w:p>
    <w:p w14:paraId="3BE250DC" w14:textId="77777777" w:rsidR="00C174F8" w:rsidRPr="00916732" w:rsidRDefault="00C174F8" w:rsidP="00916732">
      <w:pPr>
        <w:jc w:val="center"/>
        <w:rPr>
          <w:color w:val="0000FF"/>
          <w:u w:val="single"/>
        </w:rPr>
      </w:pPr>
    </w:p>
    <w:sectPr w:rsidR="00C174F8" w:rsidRPr="00916732" w:rsidSect="00916732">
      <w:headerReference w:type="even" r:id="rId33"/>
      <w:headerReference w:type="default" r:id="rId34"/>
      <w:footerReference w:type="even" r:id="rId35"/>
      <w:footerReference w:type="default" r:id="rId36"/>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A312A" w14:textId="77777777" w:rsidR="00A1427F" w:rsidRDefault="00A1427F">
      <w:r>
        <w:separator/>
      </w:r>
    </w:p>
  </w:endnote>
  <w:endnote w:type="continuationSeparator" w:id="0">
    <w:p w14:paraId="09052CF0" w14:textId="77777777" w:rsidR="00A1427F" w:rsidRDefault="00A1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2BA59" w14:textId="77777777" w:rsidR="00D81A76" w:rsidRDefault="00D81A76" w:rsidP="009167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B43E46A" w14:textId="77777777" w:rsidR="00D81A76" w:rsidRPr="00916732" w:rsidRDefault="00D81A76" w:rsidP="00916732">
    <w:pPr>
      <w:pStyle w:val="a5"/>
      <w:pBdr>
        <w:top w:val="single" w:sz="4" w:space="1" w:color="auto"/>
        <w:between w:val="single" w:sz="4" w:space="0" w:color="auto"/>
      </w:pBdr>
      <w:spacing w:after="60"/>
      <w:jc w:val="center"/>
      <w:rPr>
        <w:rFonts w:ascii="FrankRuehl" w:hAnsi="FrankRuehl" w:cs="FrankRuehl"/>
        <w:color w:val="000000"/>
      </w:rPr>
    </w:pPr>
    <w:r w:rsidRPr="009167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8573" w14:textId="77777777" w:rsidR="00D81A76" w:rsidRDefault="00D81A76" w:rsidP="00916732">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C200B8">
      <w:rPr>
        <w:rStyle w:val="a6"/>
        <w:rFonts w:ascii="FrankRuehl" w:hAnsi="FrankRuehl" w:cs="FrankRuehl"/>
        <w:rtl/>
      </w:rPr>
      <w:t>2</w:t>
    </w:r>
    <w:r>
      <w:rPr>
        <w:rStyle w:val="a6"/>
        <w:rFonts w:ascii="FrankRuehl" w:hAnsi="FrankRuehl" w:cs="FrankRuehl"/>
        <w:rtl/>
      </w:rPr>
      <w:fldChar w:fldCharType="end"/>
    </w:r>
  </w:p>
  <w:p w14:paraId="6BB1931F" w14:textId="77777777" w:rsidR="00D81A76" w:rsidRPr="00916732" w:rsidRDefault="00D81A76" w:rsidP="00916732">
    <w:pPr>
      <w:pStyle w:val="a5"/>
      <w:pBdr>
        <w:top w:val="single" w:sz="4" w:space="1" w:color="auto"/>
        <w:between w:val="single" w:sz="4" w:space="0" w:color="auto"/>
      </w:pBdr>
      <w:spacing w:after="60"/>
      <w:jc w:val="center"/>
      <w:rPr>
        <w:rStyle w:val="a6"/>
        <w:rFonts w:ascii="FrankRuehl" w:hAnsi="FrankRuehl" w:cs="FrankRuehl" w:hint="cs"/>
        <w:color w:val="000000"/>
      </w:rPr>
    </w:pPr>
    <w:r w:rsidRPr="00916732">
      <w:rPr>
        <w:rStyle w:val="a6"/>
        <w:rFonts w:ascii="FrankRuehl" w:hAnsi="FrankRuehl" w:cs="FrankRuehl" w:hint="cs"/>
        <w:color w:val="000000"/>
      </w:rPr>
      <w:pict w14:anchorId="1A650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62F17" w14:textId="77777777" w:rsidR="00A1427F" w:rsidRDefault="00A1427F">
      <w:r>
        <w:separator/>
      </w:r>
    </w:p>
  </w:footnote>
  <w:footnote w:type="continuationSeparator" w:id="0">
    <w:p w14:paraId="32671E5D" w14:textId="77777777" w:rsidR="00A1427F" w:rsidRDefault="00A14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567B6" w14:textId="77777777" w:rsidR="00D81A76" w:rsidRPr="00916732" w:rsidRDefault="00D81A76" w:rsidP="0091673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54179-09-14</w:t>
    </w:r>
    <w:r>
      <w:rPr>
        <w:rFonts w:ascii="David" w:hAnsi="David"/>
        <w:color w:val="000000"/>
        <w:sz w:val="22"/>
        <w:szCs w:val="22"/>
        <w:rtl/>
      </w:rPr>
      <w:tab/>
      <w:t xml:space="preserve"> מדינת ישראל נ' אלכסנדר פרולצוב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38DA" w14:textId="77777777" w:rsidR="00D81A76" w:rsidRPr="00916732" w:rsidRDefault="00D81A76" w:rsidP="0091673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54179-09-14</w:t>
    </w:r>
    <w:r>
      <w:rPr>
        <w:rFonts w:ascii="David" w:hAnsi="David"/>
        <w:color w:val="000000"/>
        <w:sz w:val="22"/>
        <w:szCs w:val="22"/>
        <w:rtl/>
      </w:rPr>
      <w:tab/>
      <w:t xml:space="preserve"> מדינת ישראל נ' אלכסנדר פרולצוב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07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74F8"/>
    <w:rsid w:val="00214844"/>
    <w:rsid w:val="00362834"/>
    <w:rsid w:val="00366CF7"/>
    <w:rsid w:val="00822CB9"/>
    <w:rsid w:val="00916732"/>
    <w:rsid w:val="009958AE"/>
    <w:rsid w:val="00A1427F"/>
    <w:rsid w:val="00C174F8"/>
    <w:rsid w:val="00C200B8"/>
    <w:rsid w:val="00C67D0E"/>
    <w:rsid w:val="00C83856"/>
    <w:rsid w:val="00D81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8C6347"/>
  <w15:chartTrackingRefBased/>
  <w15:docId w15:val="{DE7230AF-D798-44AE-8C2D-B46BA28C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74F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174F8"/>
  </w:style>
  <w:style w:type="paragraph" w:styleId="a4">
    <w:name w:val="header"/>
    <w:basedOn w:val="a"/>
    <w:rsid w:val="00C174F8"/>
    <w:pPr>
      <w:tabs>
        <w:tab w:val="center" w:pos="4153"/>
        <w:tab w:val="right" w:pos="8306"/>
      </w:tabs>
    </w:pPr>
  </w:style>
  <w:style w:type="paragraph" w:styleId="a5">
    <w:name w:val="footer"/>
    <w:basedOn w:val="a"/>
    <w:rsid w:val="00C174F8"/>
    <w:pPr>
      <w:tabs>
        <w:tab w:val="center" w:pos="4153"/>
        <w:tab w:val="right" w:pos="8306"/>
      </w:tabs>
    </w:pPr>
  </w:style>
  <w:style w:type="character" w:styleId="a6">
    <w:name w:val="page number"/>
    <w:basedOn w:val="a0"/>
    <w:rsid w:val="00C174F8"/>
  </w:style>
  <w:style w:type="paragraph" w:styleId="a7">
    <w:name w:val="Body Text"/>
    <w:basedOn w:val="a"/>
    <w:link w:val="a8"/>
    <w:rsid w:val="00C174F8"/>
    <w:pPr>
      <w:spacing w:line="360" w:lineRule="auto"/>
    </w:pPr>
    <w:rPr>
      <w:sz w:val="28"/>
      <w:szCs w:val="26"/>
      <w:lang w:eastAsia="he-IL"/>
    </w:rPr>
  </w:style>
  <w:style w:type="character" w:customStyle="1" w:styleId="a8">
    <w:name w:val="גוף טקסט תו"/>
    <w:link w:val="a7"/>
    <w:rsid w:val="00C174F8"/>
    <w:rPr>
      <w:rFonts w:cs="David"/>
      <w:noProof/>
      <w:sz w:val="28"/>
      <w:szCs w:val="26"/>
      <w:lang w:val="en-US" w:eastAsia="he-IL" w:bidi="he-IL"/>
    </w:rPr>
  </w:style>
  <w:style w:type="paragraph" w:customStyle="1" w:styleId="ListParagraph">
    <w:name w:val="List Paragraph"/>
    <w:basedOn w:val="a"/>
    <w:rsid w:val="00C174F8"/>
    <w:pPr>
      <w:snapToGrid w:val="0"/>
      <w:ind w:left="720"/>
      <w:contextualSpacing/>
    </w:pPr>
    <w:rPr>
      <w:noProof w:val="0"/>
      <w:sz w:val="20"/>
      <w:lang w:eastAsia="he-IL"/>
    </w:rPr>
  </w:style>
  <w:style w:type="character" w:styleId="Hyperlink">
    <w:name w:val="Hyperlink"/>
    <w:rsid w:val="00916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51b.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4216/19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law/4216/1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51b.b"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1833</Words>
  <Characters>9168</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10980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4849666</vt:i4>
      </vt:variant>
      <vt:variant>
        <vt:i4>63</vt:i4>
      </vt:variant>
      <vt:variant>
        <vt:i4>0</vt:i4>
      </vt:variant>
      <vt:variant>
        <vt:i4>5</vt:i4>
      </vt:variant>
      <vt:variant>
        <vt:lpwstr>http://www.nevo.co.il/law/70301/51b.b</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4849666</vt:i4>
      </vt:variant>
      <vt:variant>
        <vt:i4>15</vt:i4>
      </vt:variant>
      <vt:variant>
        <vt:i4>0</vt:i4>
      </vt:variant>
      <vt:variant>
        <vt:i4>5</vt:i4>
      </vt:variant>
      <vt:variant>
        <vt:lpwstr>http://www.nevo.co.il/law/70301/51b.b</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54179</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אלכסנדר פרולצוב</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20160526</vt:lpwstr>
  </property>
  <property fmtid="{D5CDD505-2E9C-101B-9397-08002B2CF9AE}" pid="13" name="TYPE_N_DATE">
    <vt:lpwstr>38020160526</vt:lpwstr>
  </property>
  <property fmtid="{D5CDD505-2E9C-101B-9397-08002B2CF9AE}" pid="14" name="WORDNUMPAGES">
    <vt:lpwstr>5</vt:lpwstr>
  </property>
  <property fmtid="{D5CDD505-2E9C-101B-9397-08002B2CF9AE}" pid="15" name="TYPE_ABS_DATE">
    <vt:lpwstr>380020160526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4216/013:3;019a:3</vt:lpwstr>
  </property>
  <property fmtid="{D5CDD505-2E9C-101B-9397-08002B2CF9AE}" pid="36" name="LAWLISTTMP2">
    <vt:lpwstr>70301/499.a.1;025;051b.b</vt:lpwstr>
  </property>
</Properties>
</file>