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1A6410" w:rsidRPr="00AC6E47" w14:paraId="51F887C4" w14:textId="77777777" w:rsidTr="00607B14">
        <w:trPr>
          <w:trHeight w:hRule="exact" w:val="418"/>
          <w:jc w:val="center"/>
        </w:trPr>
        <w:tc>
          <w:tcPr>
            <w:tcW w:w="8523" w:type="dxa"/>
            <w:gridSpan w:val="2"/>
          </w:tcPr>
          <w:p w14:paraId="7EF6827A" w14:textId="77777777" w:rsidR="001A6410" w:rsidRPr="00AC6E47" w:rsidRDefault="001A6410" w:rsidP="00ED7C15">
            <w:pPr>
              <w:pStyle w:val="a3"/>
              <w:jc w:val="center"/>
              <w:rPr>
                <w:rFonts w:ascii="Tahoma" w:hAnsi="Tahoma"/>
                <w:color w:val="000080"/>
                <w:sz w:val="32"/>
                <w:szCs w:val="32"/>
                <w:rtl/>
              </w:rPr>
            </w:pPr>
            <w:bookmarkStart w:id="0" w:name="LastJudge"/>
            <w:r w:rsidRPr="00AC6E47">
              <w:rPr>
                <w:rFonts w:ascii="Tahoma" w:hAnsi="Tahoma"/>
                <w:b/>
                <w:bCs/>
                <w:color w:val="000080"/>
                <w:sz w:val="32"/>
                <w:szCs w:val="32"/>
                <w:rtl/>
              </w:rPr>
              <w:t>בית משפט השלום בתל אביב - יפו</w:t>
            </w:r>
          </w:p>
        </w:tc>
      </w:tr>
      <w:tr w:rsidR="001A6410" w:rsidRPr="00AC6E47" w14:paraId="1ED57521" w14:textId="77777777" w:rsidTr="00607B14">
        <w:trPr>
          <w:trHeight w:val="337"/>
          <w:jc w:val="center"/>
        </w:trPr>
        <w:tc>
          <w:tcPr>
            <w:tcW w:w="4945" w:type="dxa"/>
          </w:tcPr>
          <w:p w14:paraId="467D5760" w14:textId="77777777" w:rsidR="001A6410" w:rsidRPr="00AC6E47" w:rsidRDefault="001A6410" w:rsidP="00ED7C15">
            <w:pPr>
              <w:rPr>
                <w:sz w:val="26"/>
                <w:szCs w:val="26"/>
                <w:rtl/>
              </w:rPr>
            </w:pPr>
            <w:r w:rsidRPr="00AC6E47">
              <w:rPr>
                <w:sz w:val="26"/>
                <w:szCs w:val="26"/>
                <w:rtl/>
              </w:rPr>
              <w:t>ת"פ</w:t>
            </w:r>
            <w:r w:rsidRPr="00AC6E47">
              <w:rPr>
                <w:rFonts w:hint="cs"/>
                <w:sz w:val="26"/>
                <w:szCs w:val="26"/>
                <w:rtl/>
              </w:rPr>
              <w:t xml:space="preserve"> </w:t>
            </w:r>
            <w:r w:rsidRPr="00AC6E47">
              <w:rPr>
                <w:sz w:val="26"/>
                <w:szCs w:val="26"/>
                <w:rtl/>
              </w:rPr>
              <w:t>56389-09-14</w:t>
            </w:r>
            <w:r w:rsidRPr="00AC6E47">
              <w:rPr>
                <w:rFonts w:hint="cs"/>
                <w:sz w:val="26"/>
                <w:szCs w:val="26"/>
                <w:rtl/>
              </w:rPr>
              <w:t xml:space="preserve"> </w:t>
            </w:r>
            <w:r w:rsidRPr="00AC6E47">
              <w:rPr>
                <w:sz w:val="26"/>
                <w:szCs w:val="26"/>
                <w:rtl/>
              </w:rPr>
              <w:t>מדינת ישראל נ' חיים חזיזה</w:t>
            </w:r>
          </w:p>
          <w:p w14:paraId="518DCA4D" w14:textId="77777777" w:rsidR="001A6410" w:rsidRPr="00AC6E47" w:rsidRDefault="001A6410" w:rsidP="00ED7C15">
            <w:pPr>
              <w:rPr>
                <w:sz w:val="26"/>
                <w:szCs w:val="26"/>
                <w:rtl/>
              </w:rPr>
            </w:pPr>
            <w:r w:rsidRPr="00AC6E47">
              <w:rPr>
                <w:sz w:val="26"/>
                <w:szCs w:val="26"/>
                <w:rtl/>
              </w:rPr>
              <w:t xml:space="preserve">ת"פ </w:t>
            </w:r>
            <w:r w:rsidRPr="00AC6E47">
              <w:rPr>
                <w:rFonts w:hint="cs"/>
                <w:sz w:val="26"/>
                <w:szCs w:val="26"/>
                <w:rtl/>
              </w:rPr>
              <w:t>68055</w:t>
            </w:r>
            <w:r w:rsidRPr="00AC6E47">
              <w:rPr>
                <w:sz w:val="26"/>
                <w:szCs w:val="26"/>
                <w:rtl/>
              </w:rPr>
              <w:t>-0</w:t>
            </w:r>
            <w:r w:rsidRPr="00AC6E47">
              <w:rPr>
                <w:rFonts w:hint="cs"/>
                <w:sz w:val="26"/>
                <w:szCs w:val="26"/>
                <w:rtl/>
              </w:rPr>
              <w:t>3</w:t>
            </w:r>
            <w:r w:rsidRPr="00AC6E47">
              <w:rPr>
                <w:sz w:val="26"/>
                <w:szCs w:val="26"/>
                <w:rtl/>
              </w:rPr>
              <w:t>-1</w:t>
            </w:r>
            <w:r w:rsidRPr="00AC6E47">
              <w:rPr>
                <w:rFonts w:hint="cs"/>
                <w:sz w:val="26"/>
                <w:szCs w:val="26"/>
                <w:rtl/>
              </w:rPr>
              <w:t>6</w:t>
            </w:r>
            <w:r w:rsidRPr="00AC6E47">
              <w:rPr>
                <w:sz w:val="26"/>
                <w:szCs w:val="26"/>
                <w:rtl/>
              </w:rPr>
              <w:t xml:space="preserve"> מדינת ישראל נ' חיים חזיזה</w:t>
            </w:r>
          </w:p>
          <w:p w14:paraId="4796D04D" w14:textId="77777777" w:rsidR="001A6410" w:rsidRPr="00AC6E47" w:rsidRDefault="001A6410" w:rsidP="00ED7C15">
            <w:pPr>
              <w:rPr>
                <w:sz w:val="26"/>
                <w:szCs w:val="26"/>
                <w:rtl/>
              </w:rPr>
            </w:pPr>
            <w:r w:rsidRPr="00AC6E47">
              <w:rPr>
                <w:sz w:val="26"/>
                <w:szCs w:val="26"/>
                <w:rtl/>
              </w:rPr>
              <w:t>ת"פ</w:t>
            </w:r>
            <w:r w:rsidRPr="00AC6E47">
              <w:rPr>
                <w:rFonts w:hint="cs"/>
                <w:sz w:val="26"/>
                <w:szCs w:val="26"/>
                <w:rtl/>
              </w:rPr>
              <w:t xml:space="preserve"> 73270-01-19 </w:t>
            </w:r>
            <w:r w:rsidRPr="00AC6E47">
              <w:rPr>
                <w:sz w:val="26"/>
                <w:szCs w:val="26"/>
                <w:rtl/>
              </w:rPr>
              <w:t>מדינת ישראל נ' חיים חזיזה</w:t>
            </w:r>
          </w:p>
          <w:p w14:paraId="7FC1FC20" w14:textId="77777777" w:rsidR="001A6410" w:rsidRPr="00AC6E47" w:rsidRDefault="001A6410" w:rsidP="00ED7C15">
            <w:pPr>
              <w:rPr>
                <w:sz w:val="26"/>
                <w:szCs w:val="26"/>
                <w:rtl/>
              </w:rPr>
            </w:pPr>
          </w:p>
        </w:tc>
        <w:tc>
          <w:tcPr>
            <w:tcW w:w="3578" w:type="dxa"/>
          </w:tcPr>
          <w:p w14:paraId="4FF255E1" w14:textId="77777777" w:rsidR="001A6410" w:rsidRPr="00AC6E47" w:rsidRDefault="001A6410" w:rsidP="00ED7C15">
            <w:pPr>
              <w:pStyle w:val="a3"/>
              <w:jc w:val="right"/>
              <w:rPr>
                <w:rFonts w:cs="FrankRuehl"/>
                <w:sz w:val="28"/>
                <w:szCs w:val="28"/>
                <w:rtl/>
              </w:rPr>
            </w:pPr>
          </w:p>
        </w:tc>
      </w:tr>
    </w:tbl>
    <w:p w14:paraId="7DFB2509" w14:textId="77777777" w:rsidR="001A6410" w:rsidRPr="00AC6E47" w:rsidRDefault="001A6410" w:rsidP="001A6410">
      <w:pPr>
        <w:pStyle w:val="a3"/>
        <w:rPr>
          <w:rtl/>
        </w:rPr>
      </w:pPr>
      <w:r w:rsidRPr="00AC6E47">
        <w:rPr>
          <w:rFonts w:hint="cs"/>
          <w:rtl/>
        </w:rPr>
        <w:t xml:space="preserve"> </w:t>
      </w:r>
    </w:p>
    <w:p w14:paraId="26C8D75D" w14:textId="77777777" w:rsidR="001A6410" w:rsidRPr="00AC6E47" w:rsidRDefault="001A6410" w:rsidP="001A6410">
      <w:pPr>
        <w:rPr>
          <w:rFonts w:ascii="Arial" w:hAnsi="Arial"/>
          <w:rtl/>
        </w:rPr>
      </w:pPr>
    </w:p>
    <w:p w14:paraId="01FABF77" w14:textId="77777777" w:rsidR="001A6410" w:rsidRPr="00AC6E47" w:rsidRDefault="001A6410" w:rsidP="001A641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1A6410" w:rsidRPr="00AC6E47" w14:paraId="298F04BC" w14:textId="77777777" w:rsidTr="001A6410">
        <w:trPr>
          <w:trHeight w:val="295"/>
          <w:jc w:val="center"/>
        </w:trPr>
        <w:tc>
          <w:tcPr>
            <w:tcW w:w="8820" w:type="dxa"/>
            <w:gridSpan w:val="3"/>
            <w:tcBorders>
              <w:top w:val="nil"/>
              <w:left w:val="nil"/>
              <w:bottom w:val="nil"/>
              <w:right w:val="nil"/>
            </w:tcBorders>
            <w:shd w:val="clear" w:color="auto" w:fill="auto"/>
          </w:tcPr>
          <w:p w14:paraId="0B8FDFF2" w14:textId="77777777" w:rsidR="001A6410" w:rsidRPr="00AC6E47" w:rsidRDefault="001A6410" w:rsidP="001A6410">
            <w:pPr>
              <w:jc w:val="both"/>
              <w:rPr>
                <w:rFonts w:ascii="Arial" w:hAnsi="Arial"/>
                <w:b/>
                <w:bCs/>
                <w:sz w:val="26"/>
                <w:szCs w:val="26"/>
              </w:rPr>
            </w:pPr>
            <w:r w:rsidRPr="00AC6E47">
              <w:rPr>
                <w:rFonts w:ascii="Arial" w:hAnsi="Arial" w:hint="cs"/>
                <w:b/>
                <w:bCs/>
                <w:sz w:val="26"/>
                <w:szCs w:val="26"/>
                <w:rtl/>
              </w:rPr>
              <w:t>ל</w:t>
            </w:r>
            <w:r w:rsidRPr="00AC6E47">
              <w:rPr>
                <w:rFonts w:ascii="Arial" w:hAnsi="Arial"/>
                <w:b/>
                <w:bCs/>
                <w:sz w:val="26"/>
                <w:szCs w:val="26"/>
                <w:rtl/>
              </w:rPr>
              <w:t xml:space="preserve">פני </w:t>
            </w:r>
            <w:r w:rsidRPr="00AC6E47">
              <w:rPr>
                <w:rFonts w:ascii="Arial" w:hAnsi="Arial" w:hint="cs"/>
                <w:b/>
                <w:bCs/>
                <w:sz w:val="26"/>
                <w:szCs w:val="26"/>
                <w:rtl/>
              </w:rPr>
              <w:t>כבוד ה</w:t>
            </w:r>
            <w:r w:rsidRPr="00AC6E47">
              <w:rPr>
                <w:rFonts w:ascii="Arial" w:hAnsi="Arial"/>
                <w:b/>
                <w:bCs/>
                <w:sz w:val="26"/>
                <w:szCs w:val="26"/>
                <w:rtl/>
              </w:rPr>
              <w:t>שופט</w:t>
            </w:r>
            <w:r w:rsidRPr="00AC6E47">
              <w:rPr>
                <w:rFonts w:ascii="Arial" w:hAnsi="Arial" w:hint="cs"/>
                <w:b/>
                <w:bCs/>
                <w:sz w:val="26"/>
                <w:szCs w:val="26"/>
                <w:rtl/>
              </w:rPr>
              <w:t xml:space="preserve">  </w:t>
            </w:r>
            <w:r w:rsidRPr="00AC6E47">
              <w:rPr>
                <w:rFonts w:ascii="Arial" w:hAnsi="Arial"/>
                <w:b/>
                <w:bCs/>
                <w:sz w:val="26"/>
                <w:szCs w:val="26"/>
                <w:rtl/>
              </w:rPr>
              <w:t>איתי הרמלין</w:t>
            </w:r>
          </w:p>
        </w:tc>
      </w:tr>
      <w:tr w:rsidR="001A6410" w:rsidRPr="00AC6E47" w14:paraId="54BA5877" w14:textId="77777777" w:rsidTr="001A6410">
        <w:trPr>
          <w:trHeight w:val="355"/>
          <w:jc w:val="center"/>
        </w:trPr>
        <w:tc>
          <w:tcPr>
            <w:tcW w:w="1231" w:type="dxa"/>
            <w:tcBorders>
              <w:top w:val="nil"/>
              <w:left w:val="nil"/>
              <w:bottom w:val="nil"/>
              <w:right w:val="nil"/>
            </w:tcBorders>
            <w:shd w:val="clear" w:color="auto" w:fill="auto"/>
          </w:tcPr>
          <w:p w14:paraId="6EB56525" w14:textId="77777777" w:rsidR="001A6410" w:rsidRPr="00AC6E47" w:rsidRDefault="001A6410" w:rsidP="001A6410">
            <w:pPr>
              <w:jc w:val="both"/>
              <w:rPr>
                <w:rFonts w:ascii="Arial" w:hAnsi="Arial"/>
                <w:b/>
                <w:bCs/>
                <w:sz w:val="26"/>
                <w:szCs w:val="26"/>
                <w:rtl/>
              </w:rPr>
            </w:pPr>
            <w:bookmarkStart w:id="1" w:name="FirstAppellant"/>
            <w:bookmarkStart w:id="2" w:name="FirstLawyer"/>
          </w:p>
          <w:p w14:paraId="3FF62AA0" w14:textId="77777777" w:rsidR="001A6410" w:rsidRPr="00AC6E47" w:rsidRDefault="001A6410" w:rsidP="001A6410">
            <w:pPr>
              <w:jc w:val="both"/>
              <w:rPr>
                <w:rFonts w:ascii="Arial" w:hAnsi="Arial"/>
                <w:b/>
                <w:bCs/>
                <w:sz w:val="26"/>
                <w:szCs w:val="26"/>
              </w:rPr>
            </w:pPr>
            <w:r w:rsidRPr="00AC6E47">
              <w:rPr>
                <w:rFonts w:ascii="Arial" w:hAnsi="Arial" w:hint="cs"/>
                <w:b/>
                <w:bCs/>
                <w:sz w:val="26"/>
                <w:szCs w:val="26"/>
                <w:rtl/>
              </w:rPr>
              <w:t>ה</w:t>
            </w:r>
            <w:r w:rsidRPr="00AC6E47">
              <w:rPr>
                <w:rFonts w:ascii="Arial" w:hAnsi="Arial"/>
                <w:b/>
                <w:bCs/>
                <w:sz w:val="26"/>
                <w:szCs w:val="26"/>
                <w:rtl/>
              </w:rPr>
              <w:t>מאשימה</w:t>
            </w:r>
          </w:p>
        </w:tc>
        <w:tc>
          <w:tcPr>
            <w:tcW w:w="4206" w:type="dxa"/>
            <w:tcBorders>
              <w:top w:val="nil"/>
              <w:left w:val="nil"/>
              <w:bottom w:val="nil"/>
              <w:right w:val="nil"/>
            </w:tcBorders>
            <w:shd w:val="clear" w:color="auto" w:fill="auto"/>
          </w:tcPr>
          <w:p w14:paraId="61CE06D4" w14:textId="77777777" w:rsidR="001A6410" w:rsidRPr="00AC6E47" w:rsidRDefault="001A6410" w:rsidP="00ED7C15">
            <w:pPr>
              <w:rPr>
                <w:b/>
                <w:bCs/>
                <w:sz w:val="26"/>
                <w:szCs w:val="26"/>
                <w:rtl/>
              </w:rPr>
            </w:pPr>
            <w:r w:rsidRPr="00AC6E47">
              <w:rPr>
                <w:rFonts w:ascii="Arial" w:hAnsi="Arial"/>
                <w:b/>
                <w:bCs/>
                <w:sz w:val="26"/>
                <w:szCs w:val="26"/>
                <w:rtl/>
              </w:rPr>
              <w:br/>
              <w:t>מדינת ישראל</w:t>
            </w:r>
          </w:p>
          <w:p w14:paraId="37E8D087" w14:textId="77777777" w:rsidR="001A6410" w:rsidRPr="00AC6E47" w:rsidRDefault="001A6410" w:rsidP="00ED7C15">
            <w:r w:rsidRPr="00AC6E47">
              <w:rPr>
                <w:rFonts w:hint="cs"/>
                <w:rtl/>
              </w:rPr>
              <w:t>ע"י עו"ד אסף כרמונה ועו"ד רינת יצחקי</w:t>
            </w:r>
          </w:p>
        </w:tc>
        <w:tc>
          <w:tcPr>
            <w:tcW w:w="3383" w:type="dxa"/>
            <w:tcBorders>
              <w:top w:val="nil"/>
              <w:left w:val="nil"/>
              <w:bottom w:val="nil"/>
              <w:right w:val="nil"/>
            </w:tcBorders>
            <w:shd w:val="clear" w:color="auto" w:fill="auto"/>
          </w:tcPr>
          <w:p w14:paraId="799498E4" w14:textId="77777777" w:rsidR="001A6410" w:rsidRPr="00AC6E47" w:rsidRDefault="001A6410" w:rsidP="001A6410">
            <w:pPr>
              <w:jc w:val="both"/>
              <w:rPr>
                <w:rFonts w:ascii="Arial" w:hAnsi="Arial"/>
                <w:sz w:val="26"/>
                <w:szCs w:val="26"/>
              </w:rPr>
            </w:pPr>
          </w:p>
        </w:tc>
      </w:tr>
      <w:bookmarkEnd w:id="1"/>
      <w:bookmarkEnd w:id="2"/>
      <w:tr w:rsidR="001A6410" w:rsidRPr="00AC6E47" w14:paraId="33025858" w14:textId="77777777" w:rsidTr="001A6410">
        <w:trPr>
          <w:trHeight w:val="373"/>
          <w:jc w:val="center"/>
        </w:trPr>
        <w:tc>
          <w:tcPr>
            <w:tcW w:w="1231" w:type="dxa"/>
            <w:tcBorders>
              <w:top w:val="nil"/>
              <w:left w:val="nil"/>
              <w:bottom w:val="nil"/>
              <w:right w:val="nil"/>
            </w:tcBorders>
            <w:shd w:val="clear" w:color="auto" w:fill="auto"/>
          </w:tcPr>
          <w:p w14:paraId="0BE0ADF7" w14:textId="77777777" w:rsidR="001A6410" w:rsidRPr="00AC6E47" w:rsidRDefault="001A6410" w:rsidP="001A6410">
            <w:pPr>
              <w:jc w:val="both"/>
              <w:rPr>
                <w:rFonts w:ascii="Arial" w:hAnsi="Arial"/>
                <w:sz w:val="26"/>
                <w:szCs w:val="26"/>
                <w:rtl/>
              </w:rPr>
            </w:pPr>
          </w:p>
        </w:tc>
        <w:tc>
          <w:tcPr>
            <w:tcW w:w="7589" w:type="dxa"/>
            <w:gridSpan w:val="2"/>
            <w:tcBorders>
              <w:top w:val="nil"/>
              <w:left w:val="nil"/>
              <w:bottom w:val="nil"/>
              <w:right w:val="nil"/>
            </w:tcBorders>
            <w:shd w:val="clear" w:color="auto" w:fill="auto"/>
          </w:tcPr>
          <w:p w14:paraId="457EA350" w14:textId="77777777" w:rsidR="001A6410" w:rsidRPr="00AC6E47" w:rsidRDefault="001A6410" w:rsidP="001A6410">
            <w:pPr>
              <w:jc w:val="center"/>
              <w:rPr>
                <w:rFonts w:ascii="Arial" w:hAnsi="Arial"/>
                <w:b/>
                <w:bCs/>
                <w:sz w:val="26"/>
                <w:szCs w:val="26"/>
                <w:rtl/>
              </w:rPr>
            </w:pPr>
          </w:p>
          <w:p w14:paraId="264C11F3" w14:textId="77777777" w:rsidR="001A6410" w:rsidRPr="00AC6E47" w:rsidRDefault="001A6410" w:rsidP="001A6410">
            <w:pPr>
              <w:jc w:val="center"/>
              <w:rPr>
                <w:rFonts w:ascii="Arial" w:hAnsi="Arial"/>
                <w:b/>
                <w:bCs/>
                <w:sz w:val="26"/>
                <w:szCs w:val="26"/>
                <w:rtl/>
              </w:rPr>
            </w:pPr>
            <w:r w:rsidRPr="00AC6E47">
              <w:rPr>
                <w:rFonts w:ascii="Arial" w:hAnsi="Arial"/>
                <w:b/>
                <w:bCs/>
                <w:sz w:val="26"/>
                <w:szCs w:val="26"/>
                <w:rtl/>
              </w:rPr>
              <w:t>נגד</w:t>
            </w:r>
          </w:p>
          <w:p w14:paraId="4F59619B" w14:textId="77777777" w:rsidR="001A6410" w:rsidRPr="00AC6E47" w:rsidRDefault="001A6410" w:rsidP="001A6410">
            <w:pPr>
              <w:jc w:val="both"/>
              <w:rPr>
                <w:rFonts w:ascii="Arial" w:hAnsi="Arial"/>
                <w:sz w:val="26"/>
                <w:szCs w:val="26"/>
              </w:rPr>
            </w:pPr>
          </w:p>
        </w:tc>
      </w:tr>
      <w:tr w:rsidR="001A6410" w:rsidRPr="00AC6E47" w14:paraId="24CE3410" w14:textId="77777777" w:rsidTr="001A6410">
        <w:trPr>
          <w:trHeight w:val="355"/>
          <w:jc w:val="center"/>
        </w:trPr>
        <w:tc>
          <w:tcPr>
            <w:tcW w:w="1231" w:type="dxa"/>
            <w:tcBorders>
              <w:top w:val="nil"/>
              <w:left w:val="nil"/>
              <w:bottom w:val="nil"/>
              <w:right w:val="nil"/>
            </w:tcBorders>
            <w:shd w:val="clear" w:color="auto" w:fill="auto"/>
          </w:tcPr>
          <w:p w14:paraId="7C03E40F" w14:textId="77777777" w:rsidR="001A6410" w:rsidRPr="00AC6E47" w:rsidRDefault="001A6410" w:rsidP="00ED7C15">
            <w:pPr>
              <w:rPr>
                <w:rFonts w:ascii="Arial" w:hAnsi="Arial"/>
                <w:b/>
                <w:bCs/>
                <w:sz w:val="26"/>
                <w:szCs w:val="26"/>
                <w:rtl/>
              </w:rPr>
            </w:pPr>
            <w:r w:rsidRPr="00AC6E47">
              <w:rPr>
                <w:rFonts w:ascii="Arial" w:hAnsi="Arial" w:hint="cs"/>
                <w:b/>
                <w:bCs/>
                <w:sz w:val="26"/>
                <w:szCs w:val="26"/>
                <w:rtl/>
              </w:rPr>
              <w:t>ה</w:t>
            </w:r>
            <w:r w:rsidRPr="00AC6E47">
              <w:rPr>
                <w:rFonts w:ascii="Arial" w:hAnsi="Arial"/>
                <w:b/>
                <w:bCs/>
                <w:sz w:val="26"/>
                <w:szCs w:val="26"/>
                <w:rtl/>
              </w:rPr>
              <w:t>נאשם</w:t>
            </w:r>
          </w:p>
        </w:tc>
        <w:tc>
          <w:tcPr>
            <w:tcW w:w="4206" w:type="dxa"/>
            <w:tcBorders>
              <w:top w:val="nil"/>
              <w:left w:val="nil"/>
              <w:bottom w:val="nil"/>
              <w:right w:val="nil"/>
            </w:tcBorders>
            <w:shd w:val="clear" w:color="auto" w:fill="auto"/>
          </w:tcPr>
          <w:p w14:paraId="3C510737" w14:textId="77777777" w:rsidR="001A6410" w:rsidRPr="00AC6E47" w:rsidRDefault="001A6410" w:rsidP="00ED7C15">
            <w:pPr>
              <w:rPr>
                <w:b/>
                <w:bCs/>
                <w:sz w:val="26"/>
                <w:szCs w:val="26"/>
                <w:rtl/>
              </w:rPr>
            </w:pPr>
            <w:r w:rsidRPr="00AC6E47">
              <w:rPr>
                <w:rFonts w:ascii="Arial" w:hAnsi="Arial"/>
                <w:b/>
                <w:bCs/>
                <w:sz w:val="26"/>
                <w:szCs w:val="26"/>
                <w:rtl/>
              </w:rPr>
              <w:t>שלמה חיים חזיזה</w:t>
            </w:r>
          </w:p>
          <w:p w14:paraId="0B8E94E3" w14:textId="77777777" w:rsidR="001A6410" w:rsidRPr="00AC6E47" w:rsidRDefault="001A6410" w:rsidP="00ED7C15">
            <w:pPr>
              <w:rPr>
                <w:rtl/>
              </w:rPr>
            </w:pPr>
            <w:r w:rsidRPr="00AC6E47">
              <w:rPr>
                <w:rFonts w:hint="cs"/>
                <w:rtl/>
              </w:rPr>
              <w:t>ע"י עו"ד ארי שמאי</w:t>
            </w:r>
          </w:p>
          <w:p w14:paraId="77F27C03" w14:textId="77777777" w:rsidR="001A6410" w:rsidRPr="00AC6E47" w:rsidRDefault="001A6410" w:rsidP="00ED7C15">
            <w:pPr>
              <w:rPr>
                <w:rtl/>
              </w:rPr>
            </w:pPr>
          </w:p>
        </w:tc>
        <w:tc>
          <w:tcPr>
            <w:tcW w:w="3383" w:type="dxa"/>
            <w:tcBorders>
              <w:top w:val="nil"/>
              <w:left w:val="nil"/>
              <w:bottom w:val="nil"/>
              <w:right w:val="nil"/>
            </w:tcBorders>
            <w:shd w:val="clear" w:color="auto" w:fill="auto"/>
          </w:tcPr>
          <w:p w14:paraId="2C8C7E18" w14:textId="77777777" w:rsidR="001A6410" w:rsidRPr="00AC6E47" w:rsidRDefault="001A6410" w:rsidP="001A6410">
            <w:pPr>
              <w:jc w:val="right"/>
              <w:rPr>
                <w:rFonts w:ascii="Arial" w:hAnsi="Arial"/>
                <w:sz w:val="26"/>
                <w:szCs w:val="26"/>
              </w:rPr>
            </w:pPr>
          </w:p>
        </w:tc>
      </w:tr>
      <w:bookmarkEnd w:id="0"/>
    </w:tbl>
    <w:p w14:paraId="15B01F62" w14:textId="77777777" w:rsidR="00607B14" w:rsidRDefault="00607B14" w:rsidP="001A6410">
      <w:pPr>
        <w:rPr>
          <w:rFonts w:ascii="Arial" w:hAnsi="Arial" w:hint="cs"/>
          <w:rtl/>
        </w:rPr>
      </w:pPr>
    </w:p>
    <w:p w14:paraId="20B0B6B7" w14:textId="77777777" w:rsidR="00607B14" w:rsidRPr="00607B14" w:rsidRDefault="00607B14" w:rsidP="00607B14">
      <w:pPr>
        <w:spacing w:before="120" w:after="120" w:line="240" w:lineRule="exact"/>
        <w:ind w:left="283" w:hanging="283"/>
        <w:jc w:val="both"/>
        <w:rPr>
          <w:rFonts w:ascii="FrankRuehl" w:hAnsi="FrankRuehl" w:cs="FrankRuehl"/>
          <w:rtl/>
        </w:rPr>
      </w:pPr>
      <w:bookmarkStart w:id="3" w:name="LawTable"/>
      <w:bookmarkEnd w:id="3"/>
      <w:r w:rsidRPr="00607B14">
        <w:rPr>
          <w:rFonts w:ascii="FrankRuehl" w:hAnsi="FrankRuehl" w:cs="FrankRuehl"/>
          <w:rtl/>
        </w:rPr>
        <w:t xml:space="preserve">חקיקה שאוזכרה: </w:t>
      </w:r>
    </w:p>
    <w:p w14:paraId="365E423A" w14:textId="77777777" w:rsidR="00607B14" w:rsidRPr="00607B14" w:rsidRDefault="00607B14" w:rsidP="00607B14">
      <w:pPr>
        <w:spacing w:before="120" w:after="120" w:line="240" w:lineRule="exact"/>
        <w:ind w:left="283" w:hanging="283"/>
        <w:jc w:val="both"/>
        <w:rPr>
          <w:rFonts w:ascii="FrankRuehl" w:hAnsi="FrankRuehl" w:cs="FrankRuehl"/>
          <w:rtl/>
        </w:rPr>
      </w:pPr>
      <w:hyperlink r:id="rId6" w:history="1">
        <w:r w:rsidRPr="00607B14">
          <w:rPr>
            <w:rFonts w:ascii="FrankRuehl" w:hAnsi="FrankRuehl" w:cs="FrankRuehl"/>
            <w:color w:val="0000FF"/>
            <w:u w:val="single"/>
            <w:rtl/>
          </w:rPr>
          <w:t>פקודת הסמים המסוכנים [נוסח חדש], תשל"ג-1973</w:t>
        </w:r>
      </w:hyperlink>
    </w:p>
    <w:p w14:paraId="591F8A4E" w14:textId="77777777" w:rsidR="00607B14" w:rsidRPr="00607B14" w:rsidRDefault="00607B14" w:rsidP="00607B14">
      <w:pPr>
        <w:jc w:val="center"/>
        <w:rPr>
          <w:rFonts w:ascii="Arial" w:hAnsi="Arial" w:hint="cs"/>
          <w:sz w:val="28"/>
          <w:szCs w:val="28"/>
          <w:rtl/>
        </w:rPr>
      </w:pPr>
      <w:bookmarkStart w:id="4" w:name="LawTable_End"/>
      <w:bookmarkEnd w:id="4"/>
    </w:p>
    <w:p w14:paraId="2A09A702" w14:textId="77777777" w:rsidR="00607B14" w:rsidRPr="00AC6E47" w:rsidRDefault="00607B14" w:rsidP="00607B14">
      <w:pPr>
        <w:jc w:val="center"/>
        <w:rPr>
          <w:rFonts w:ascii="Arial" w:hAnsi="Arial"/>
          <w:b/>
          <w:bCs/>
          <w:sz w:val="28"/>
          <w:szCs w:val="28"/>
          <w:rtl/>
        </w:rPr>
      </w:pPr>
      <w:bookmarkStart w:id="5" w:name="PsakDin"/>
      <w:r w:rsidRPr="00AC6E47">
        <w:rPr>
          <w:rFonts w:ascii="Arial" w:hAnsi="Arial"/>
          <w:b/>
          <w:bCs/>
          <w:sz w:val="28"/>
          <w:szCs w:val="28"/>
          <w:rtl/>
        </w:rPr>
        <w:t>גזר דין</w:t>
      </w:r>
    </w:p>
    <w:bookmarkEnd w:id="5"/>
    <w:p w14:paraId="4F58B4F1" w14:textId="77777777" w:rsidR="00607B14" w:rsidRPr="00B05847" w:rsidRDefault="00607B14" w:rsidP="001A6410">
      <w:pPr>
        <w:rPr>
          <w:rFonts w:ascii="Arial" w:hAnsi="Arial" w:hint="cs"/>
          <w:rtl/>
        </w:rPr>
      </w:pPr>
    </w:p>
    <w:p w14:paraId="19226AC1" w14:textId="77777777" w:rsidR="001A6410" w:rsidRDefault="001A6410" w:rsidP="001A6410">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בתיק הראשון מבין שלושת התיקים שבפניי הורשע הנאשם לפי הודאתו בעבירה של תקיפה הגורמת חבלה ובעבירה של היזק לרכוש במזיד. זאת, בעקבות כך שביום 8.1.2014 לאחר חצות הלילה הגיע לתחנת מוניות ברמת גן הכניס את פלג גופו העליון דרך חלון התחנה וחבט במחשב ובטלפונים שהיו מונחים על השולחן ונפלו לארץ כתוצאה מן החבטה. אחר כך חבט הנאשם במראה שבכניסה לתחנה ושבר אותה (הנאשם נפצע בידו כתוצאה מכך). נהג בשם אליהו מעודה יצא מן התחנה בעקבות מעשיו של הנאשם. הנאשם היכה את מעודה באגרופים והוא נפל ארצה. כתוצאה ממעשיו של הנאשם נגרמו למעודה נפיחות וסימנים אדומים מתחת לעיניו. נהג נוסף בשם משה צמח ניגש לנאשם וניסה להורידו מעל מעודה. בתגובה שרט הנאשם את צמח בעינו ונשך אותו בחזהו. כתוצאה מכך נותר על חזהו של צמח סימן נשיכה. ככל הנראה עשה הנאשם מעשים אלה בהשפעת אלכוהול. מעשים אלה פגעו בזכותם של נהגי המוניות המותקפים לשלמות הגוף ולחיים שלווים ובזכות הקניין של בעלי תחנת המוניות. פגיעות אלה היו קלות יחסית</w:t>
      </w:r>
      <w:bookmarkStart w:id="7" w:name="ABSTRACT_END"/>
      <w:bookmarkEnd w:id="7"/>
      <w:r>
        <w:rPr>
          <w:rFonts w:ascii="Arial" w:hAnsi="Arial" w:hint="cs"/>
          <w:rtl/>
        </w:rPr>
        <w:t>.</w:t>
      </w:r>
    </w:p>
    <w:p w14:paraId="5866227D" w14:textId="77777777" w:rsidR="001A6410" w:rsidRDefault="001A6410" w:rsidP="001A6410">
      <w:pPr>
        <w:spacing w:line="360" w:lineRule="auto"/>
        <w:ind w:left="720" w:hanging="720"/>
        <w:jc w:val="both"/>
        <w:rPr>
          <w:rFonts w:ascii="Arial" w:hAnsi="Arial"/>
          <w:rtl/>
        </w:rPr>
      </w:pPr>
    </w:p>
    <w:p w14:paraId="6145EDF9" w14:textId="77777777" w:rsidR="001A6410" w:rsidRDefault="001A6410" w:rsidP="001A6410">
      <w:pPr>
        <w:spacing w:line="360" w:lineRule="auto"/>
        <w:ind w:left="720" w:hanging="720"/>
        <w:jc w:val="both"/>
        <w:rPr>
          <w:rFonts w:ascii="Arial" w:hAnsi="Arial"/>
          <w:rtl/>
        </w:rPr>
      </w:pPr>
      <w:r>
        <w:rPr>
          <w:rFonts w:ascii="Arial" w:hAnsi="Arial" w:hint="cs"/>
          <w:rtl/>
        </w:rPr>
        <w:t>2.</w:t>
      </w:r>
      <w:r>
        <w:rPr>
          <w:rFonts w:ascii="Arial" w:hAnsi="Arial"/>
          <w:rtl/>
        </w:rPr>
        <w:tab/>
      </w:r>
      <w:r>
        <w:rPr>
          <w:rFonts w:ascii="Arial" w:hAnsi="Arial" w:hint="cs"/>
          <w:rtl/>
        </w:rPr>
        <w:t>בשל ניסיונותיו להתחמק משוטרים בחודשים ינואר ופברואר 2014 הורשע הנאשם בשתי עבירות של הפרעה לשוטר במילוי תפקידו. באחת הפעמים הגיע שוטר לדירת הנאשם על מנת לערוך בה חיפוש והנאשם סירב להגיע לדירה בזמן החיפוש. בפעם השנייה מסר פרטים של אדם אחר לשוטרת שביקשה ממנו להזדהות. מעשים אלה עמדו בניגוד לחובה לציית לחוק ולשתף פעולה עם גורמי האכיפה.</w:t>
      </w:r>
    </w:p>
    <w:p w14:paraId="52C75E1F" w14:textId="77777777" w:rsidR="001A6410" w:rsidRDefault="001A6410" w:rsidP="001A6410">
      <w:pPr>
        <w:spacing w:line="360" w:lineRule="auto"/>
        <w:ind w:left="720" w:hanging="720"/>
        <w:jc w:val="both"/>
        <w:rPr>
          <w:rFonts w:ascii="Arial" w:hAnsi="Arial"/>
          <w:rtl/>
        </w:rPr>
      </w:pPr>
    </w:p>
    <w:p w14:paraId="45729DFC" w14:textId="77777777" w:rsidR="001A6410" w:rsidRDefault="001A6410" w:rsidP="001A6410">
      <w:pPr>
        <w:spacing w:line="360" w:lineRule="auto"/>
        <w:ind w:left="720" w:hanging="720"/>
        <w:jc w:val="both"/>
        <w:rPr>
          <w:rFonts w:ascii="Arial" w:hAnsi="Arial"/>
          <w:rtl/>
        </w:rPr>
      </w:pPr>
      <w:r>
        <w:rPr>
          <w:rFonts w:ascii="Arial" w:hAnsi="Arial" w:hint="cs"/>
          <w:rtl/>
        </w:rPr>
        <w:lastRenderedPageBreak/>
        <w:t>3.</w:t>
      </w:r>
      <w:r>
        <w:rPr>
          <w:rFonts w:ascii="Arial" w:hAnsi="Arial" w:hint="cs"/>
          <w:rtl/>
        </w:rPr>
        <w:tab/>
        <w:t>לבקשת הנאשם צורפו לתיק זה שני תיקים נוספים שעניינם עבירות סמים. לתיקים אלה שאינם קשורים כלל לתיק זה, אתייחס בהמשך גזר הדין.</w:t>
      </w:r>
    </w:p>
    <w:p w14:paraId="59239467" w14:textId="77777777" w:rsidR="001A6410" w:rsidRDefault="001A6410" w:rsidP="001A6410">
      <w:pPr>
        <w:spacing w:line="360" w:lineRule="auto"/>
        <w:ind w:left="720" w:hanging="720"/>
        <w:jc w:val="both"/>
        <w:rPr>
          <w:rFonts w:ascii="Arial" w:hAnsi="Arial"/>
          <w:rtl/>
        </w:rPr>
      </w:pPr>
    </w:p>
    <w:p w14:paraId="450114AD" w14:textId="77777777" w:rsidR="001A6410" w:rsidRDefault="001A6410" w:rsidP="001A6410">
      <w:pPr>
        <w:spacing w:line="360" w:lineRule="auto"/>
        <w:ind w:left="720" w:hanging="720"/>
        <w:jc w:val="both"/>
        <w:rPr>
          <w:rFonts w:ascii="Arial" w:hAnsi="Arial"/>
          <w:rtl/>
        </w:rPr>
      </w:pPr>
      <w:r>
        <w:rPr>
          <w:rFonts w:ascii="Arial" w:hAnsi="Arial" w:hint="cs"/>
          <w:rtl/>
        </w:rPr>
        <w:t>4.</w:t>
      </w:r>
      <w:r>
        <w:rPr>
          <w:rFonts w:ascii="Arial" w:hAnsi="Arial" w:hint="cs"/>
          <w:rtl/>
        </w:rPr>
        <w:tab/>
        <w:t>התביעה טענה שמתחם העונש ההולם לעבירות שבגינן הורשע הנאשם בתיק ראשון זה נע בין 6 ל-18 חודשי מאסר בפועל. לעומתה טען הסניגור שמתחם העונש ההולם מתחיל במאסר על תנאי.</w:t>
      </w:r>
    </w:p>
    <w:p w14:paraId="558301D8" w14:textId="77777777" w:rsidR="001A6410" w:rsidRDefault="001A6410" w:rsidP="001A6410">
      <w:pPr>
        <w:spacing w:line="360" w:lineRule="auto"/>
        <w:ind w:left="720" w:hanging="720"/>
        <w:jc w:val="both"/>
        <w:rPr>
          <w:rFonts w:ascii="Arial" w:hAnsi="Arial"/>
          <w:rtl/>
        </w:rPr>
      </w:pPr>
    </w:p>
    <w:p w14:paraId="1DEAA2DF" w14:textId="77777777" w:rsidR="001A6410" w:rsidRDefault="001A6410" w:rsidP="001A6410">
      <w:pPr>
        <w:spacing w:line="360" w:lineRule="auto"/>
        <w:ind w:left="720" w:hanging="720"/>
        <w:jc w:val="both"/>
        <w:rPr>
          <w:rFonts w:ascii="Arial" w:hAnsi="Arial"/>
          <w:rtl/>
        </w:rPr>
      </w:pPr>
    </w:p>
    <w:p w14:paraId="4D7711F6" w14:textId="77777777" w:rsidR="001A6410" w:rsidRPr="00E37140" w:rsidRDefault="001A6410" w:rsidP="001A6410">
      <w:pPr>
        <w:spacing w:line="360" w:lineRule="auto"/>
        <w:ind w:left="720" w:hanging="720"/>
        <w:jc w:val="both"/>
        <w:rPr>
          <w:rFonts w:ascii="Arial" w:hAnsi="Arial"/>
          <w:rtl/>
        </w:rPr>
      </w:pPr>
      <w:r>
        <w:rPr>
          <w:rFonts w:ascii="Arial" w:hAnsi="Arial" w:hint="cs"/>
          <w:rtl/>
        </w:rPr>
        <w:t>5.</w:t>
      </w:r>
      <w:r>
        <w:rPr>
          <w:rFonts w:ascii="Arial" w:hAnsi="Arial" w:hint="cs"/>
          <w:rtl/>
        </w:rPr>
        <w:tab/>
        <w:t>לתמיכה בטענתה בקשר למתחם העונש ההולם בתיק הראשון הפנתה התביעה למספר פסק דין שאת הרלבנטיים שביניהם אפרט להלן. ב</w:t>
      </w:r>
      <w:hyperlink r:id="rId7" w:history="1">
        <w:r w:rsidR="00AC6E47" w:rsidRPr="00AC6E47">
          <w:rPr>
            <w:rFonts w:ascii="Arial" w:hAnsi="Arial"/>
            <w:color w:val="0000FF"/>
            <w:u w:val="single"/>
            <w:rtl/>
          </w:rPr>
          <w:t>רע"פ 10017/17</w:t>
        </w:r>
      </w:hyperlink>
      <w:r>
        <w:rPr>
          <w:rFonts w:ascii="Arial" w:hAnsi="Arial" w:hint="cs"/>
          <w:rtl/>
        </w:rPr>
        <w:t xml:space="preserve"> </w:t>
      </w:r>
      <w:r>
        <w:rPr>
          <w:rFonts w:ascii="Arial" w:hAnsi="Arial" w:hint="cs"/>
          <w:b/>
          <w:bCs/>
          <w:rtl/>
        </w:rPr>
        <w:t>אליהו מתן נ' מדינת ישראל</w:t>
      </w:r>
      <w:r>
        <w:rPr>
          <w:rFonts w:ascii="Arial" w:hAnsi="Arial" w:hint="cs"/>
          <w:rtl/>
        </w:rPr>
        <w:t xml:space="preserve"> (2018) נדון מקרה של מי שהורשע בתקיפה הגורמת חבלה - תקיפה חמורה יותר מאשר בענייננו שהביאה לתוצאות דומות לאלו שנגרמו בתיק שבפניי. בבית משפט השלום נקבע כי מתחם העונש ההולם במקרה שכזה נע בין מספר חודשי מאסר שניתן לרצות בעבודות שירות ל-10 חודשי מאסר בפועל, ונגזר עונש של 3 חודשי מאסר בפועל. ערעור ובקשת רשות ערעור נדחו. ב</w:t>
      </w:r>
      <w:hyperlink r:id="rId8" w:history="1">
        <w:r w:rsidR="00AC6E47" w:rsidRPr="00AC6E47">
          <w:rPr>
            <w:rFonts w:ascii="Arial" w:hAnsi="Arial"/>
            <w:color w:val="0000FF"/>
            <w:u w:val="single"/>
            <w:rtl/>
          </w:rPr>
          <w:t>ע"פ (ירושלים) 38408-12-17</w:t>
        </w:r>
      </w:hyperlink>
      <w:r>
        <w:rPr>
          <w:rFonts w:ascii="Arial" w:hAnsi="Arial" w:hint="cs"/>
          <w:rtl/>
        </w:rPr>
        <w:t xml:space="preserve"> </w:t>
      </w:r>
      <w:r w:rsidRPr="00E37140">
        <w:rPr>
          <w:rFonts w:ascii="Arial" w:hAnsi="Arial" w:hint="cs"/>
          <w:b/>
          <w:bCs/>
          <w:rtl/>
        </w:rPr>
        <w:t>דוד ברודי נ' מדינת ישראל</w:t>
      </w:r>
      <w:r>
        <w:rPr>
          <w:rFonts w:ascii="Arial" w:hAnsi="Arial" w:hint="cs"/>
          <w:rtl/>
        </w:rPr>
        <w:t xml:space="preserve"> (2018) נדון עניינו של מי שתקף ללא כל התגרות נהג אוטובוס וגרם לו חבלות דומות לאלה שגרם הנאשם בתיק שבפניי. בית משפט השלום קבע כי מתחם העונש ההולם נע בין מאסר בפועל קצר שניתן לרצות בעבודות שירות ל-12 חודשי מאסר בפועל, וגזר על הנאשם חודשיים מאסר בפועל. גזר הדין אושר בערעור. ב</w:t>
      </w:r>
      <w:hyperlink r:id="rId9" w:history="1">
        <w:r w:rsidR="00AC6E47" w:rsidRPr="00AC6E47">
          <w:rPr>
            <w:rFonts w:ascii="Arial" w:hAnsi="Arial"/>
            <w:color w:val="0000FF"/>
            <w:u w:val="single"/>
            <w:rtl/>
          </w:rPr>
          <w:t>עפ"ג (חיפה) 53423-01-18</w:t>
        </w:r>
      </w:hyperlink>
      <w:r>
        <w:rPr>
          <w:rFonts w:ascii="Arial" w:hAnsi="Arial" w:hint="cs"/>
          <w:rtl/>
        </w:rPr>
        <w:t xml:space="preserve"> </w:t>
      </w:r>
      <w:r>
        <w:rPr>
          <w:rFonts w:ascii="Arial" w:hAnsi="Arial" w:hint="cs"/>
          <w:b/>
          <w:bCs/>
          <w:rtl/>
        </w:rPr>
        <w:t xml:space="preserve">עבד נסאר נ' מדינת ישראל </w:t>
      </w:r>
      <w:r>
        <w:rPr>
          <w:rFonts w:ascii="Arial" w:hAnsi="Arial" w:hint="cs"/>
          <w:rtl/>
        </w:rPr>
        <w:t xml:space="preserve">(2018) נדון עניינו של מי שתקף באופן חמור יותר מאשר בתיק שבפניי אדם שהיה מוכר לו וגרם לו לאבדן הכרה ולחבלות חמורות יותר מאשר אלו שגרם הנאשם. בית משפט השלום קבע כי מתחם העונש ההולם הוא בין חודשיים מאסר בפועל ל-12 חודשים מאסר בפועל וגזר על הנאשם 4 חודשי מאסר בפועל. ערעור שהוגש לבית המשפט המחוזי נדחה. </w:t>
      </w:r>
    </w:p>
    <w:p w14:paraId="6BF8F91C" w14:textId="77777777" w:rsidR="001A6410" w:rsidRPr="00C6212F" w:rsidRDefault="001A6410" w:rsidP="001A6410">
      <w:pPr>
        <w:spacing w:line="360" w:lineRule="auto"/>
        <w:jc w:val="both"/>
        <w:rPr>
          <w:sz w:val="16"/>
          <w:szCs w:val="16"/>
          <w:rtl/>
        </w:rPr>
      </w:pPr>
    </w:p>
    <w:p w14:paraId="497992D8" w14:textId="77777777" w:rsidR="001A6410" w:rsidRDefault="001A6410" w:rsidP="001A6410">
      <w:pPr>
        <w:spacing w:line="360" w:lineRule="auto"/>
        <w:ind w:left="720" w:hanging="720"/>
        <w:jc w:val="both"/>
        <w:rPr>
          <w:rtl/>
        </w:rPr>
      </w:pPr>
      <w:r>
        <w:rPr>
          <w:rFonts w:hint="cs"/>
          <w:rtl/>
        </w:rPr>
        <w:t>6.</w:t>
      </w:r>
      <w:r>
        <w:rPr>
          <w:rFonts w:hint="cs"/>
          <w:rtl/>
        </w:rPr>
        <w:tab/>
        <w:t>אני מוצא כי הפסיקה שאליה הפנתה התביעה מבטאת נכון את רמת הענישה הנוהגת. לפיכך, ועל בסיס טיבם המדויק של המעשים שעשה הנאשם ומידת פגיעתם בערכים המוגנים על ידי החוק, אני קובע כי מתחם העונש ההולם בגין העבירות שביצע הנאשם בתחנת המוניות (שאותן יש לראות כאירוע אחד) נע בין תקופת מאסר בפועל קצרה שניתן לרצות בעבודות שירות ל-12 חודשי מאסר בפועל. מתחם העונש ההולם בגין העבירות של הפרעה לשוטר (שהם אירועים נפרדים שהצדדים כלל לא התייחסו אליהם) נע בין עונש של קנס לתקופת מאסר קצרה מאד.</w:t>
      </w:r>
    </w:p>
    <w:p w14:paraId="5803430E" w14:textId="77777777" w:rsidR="001A6410" w:rsidRDefault="001A6410" w:rsidP="001A6410">
      <w:pPr>
        <w:spacing w:line="360" w:lineRule="auto"/>
        <w:ind w:left="720" w:hanging="720"/>
        <w:jc w:val="both"/>
        <w:rPr>
          <w:rtl/>
        </w:rPr>
      </w:pPr>
    </w:p>
    <w:p w14:paraId="10306115" w14:textId="77777777" w:rsidR="001A6410" w:rsidRDefault="001A6410" w:rsidP="001A6410">
      <w:pPr>
        <w:spacing w:line="360" w:lineRule="auto"/>
        <w:ind w:left="720" w:hanging="720"/>
        <w:jc w:val="both"/>
        <w:rPr>
          <w:rtl/>
        </w:rPr>
      </w:pPr>
      <w:r>
        <w:rPr>
          <w:rFonts w:hint="cs"/>
          <w:rtl/>
        </w:rPr>
        <w:t>7.</w:t>
      </w:r>
      <w:r>
        <w:rPr>
          <w:rFonts w:hint="cs"/>
          <w:rtl/>
        </w:rPr>
        <w:tab/>
        <w:t xml:space="preserve">בתיק שני, שצורף לתיק הראשון לבקשת הנאשם, הורשע הנאשם לפי הודאתו בכך שביום 2.9.2016 ולמחרת היום מכר סם מסוכן מסוג </w:t>
      </w:r>
      <w:r>
        <w:t>AMB 5f</w:t>
      </w:r>
      <w:r>
        <w:rPr>
          <w:rFonts w:hint="cs"/>
          <w:rtl/>
        </w:rPr>
        <w:t xml:space="preserve"> המכונה "נייס גאי" תמורת 100 ₪ בכל אחת מן הפעמים (הכינוי "נייס גאי" מתייחס לשורה ארוכה של תרכובות כימיות שונות). כמו כן, ביום 3.9.2019 נתפס הנאשם כשברשותו 13 שקיות ובהן סם מסוכן מאותו סוג. במעשיו פגע הנאשם במאבקה של המדינה בשימוש בחומרים משני תודעה.</w:t>
      </w:r>
    </w:p>
    <w:p w14:paraId="2B0912CF" w14:textId="77777777" w:rsidR="001A6410" w:rsidRDefault="001A6410" w:rsidP="001A6410">
      <w:pPr>
        <w:spacing w:line="360" w:lineRule="auto"/>
        <w:ind w:left="720" w:hanging="720"/>
        <w:jc w:val="both"/>
        <w:rPr>
          <w:rtl/>
        </w:rPr>
      </w:pPr>
    </w:p>
    <w:p w14:paraId="1623612C" w14:textId="77777777" w:rsidR="001A6410" w:rsidRDefault="001A6410" w:rsidP="001A6410">
      <w:pPr>
        <w:spacing w:line="360" w:lineRule="auto"/>
        <w:ind w:left="720" w:hanging="720"/>
        <w:jc w:val="both"/>
        <w:rPr>
          <w:rtl/>
        </w:rPr>
      </w:pPr>
      <w:r>
        <w:rPr>
          <w:rFonts w:hint="cs"/>
          <w:rtl/>
        </w:rPr>
        <w:lastRenderedPageBreak/>
        <w:t>8.</w:t>
      </w:r>
      <w:r>
        <w:rPr>
          <w:rtl/>
        </w:rPr>
        <w:tab/>
      </w:r>
      <w:r>
        <w:rPr>
          <w:rFonts w:hint="cs"/>
          <w:rtl/>
        </w:rPr>
        <w:t>בתיק שני זה הודה הנאשם במסגרת הסדר טיעון עם פרקליטות מחוז מרכז שבהתאם לו עתרה התביעה לגזור על הנאשם עונש של 3 חודשי מאסר בפועל ואילו הסניגור טען שיש להסתפק במאסר על תנאי. הפרקליטות לא נימקה את הסכמתה</w:t>
      </w:r>
      <w:r w:rsidRPr="005E6C4A">
        <w:rPr>
          <w:rFonts w:hint="cs"/>
          <w:rtl/>
        </w:rPr>
        <w:t xml:space="preserve"> </w:t>
      </w:r>
      <w:r>
        <w:rPr>
          <w:rFonts w:hint="cs"/>
          <w:rtl/>
        </w:rPr>
        <w:t>לענישה המקלה יחסית שלה הסכימה והוצגה בבית משפט אחר. הסניגור הסביר את הסכמת הפרקליטות לענישה מקלה בכך שהתרכובת הספציפית שאותה החזיק ומכר הנאשם הוכנסה לרשימת הסמים המסוכנים זמן קצר מאד לפי שהנאשם עבר את העבירות.</w:t>
      </w:r>
    </w:p>
    <w:p w14:paraId="6653A3E2" w14:textId="77777777" w:rsidR="001A6410" w:rsidRDefault="001A6410" w:rsidP="001A6410">
      <w:pPr>
        <w:spacing w:line="360" w:lineRule="auto"/>
        <w:ind w:left="720" w:hanging="720"/>
        <w:jc w:val="both"/>
        <w:rPr>
          <w:rtl/>
        </w:rPr>
      </w:pPr>
      <w:r>
        <w:rPr>
          <w:rFonts w:hint="cs"/>
          <w:rtl/>
        </w:rPr>
        <w:t>9.</w:t>
      </w:r>
      <w:r>
        <w:rPr>
          <w:rtl/>
        </w:rPr>
        <w:tab/>
      </w:r>
      <w:r>
        <w:rPr>
          <w:rFonts w:hint="cs"/>
          <w:rtl/>
        </w:rPr>
        <w:t>הצדדים לא התייחסו לרמת הענישה הנוהגת לעבירות שבהן הורשע הנאשם בתיק שני זה. יתכן שהסיבה לכך היא שהעונש שלו עתרה התביעה בגין תיק זה נופל מרמת הענישה המקובלת בעבירות מעין אלה. נראה כי גם בהתחשב בנסיבה שאותה ציין הסניגור שלפיה הנאשם עבר את העבירה סמוך מאד למועד שבו הוכנסה התרכובת הרלבנטית ל</w:t>
      </w:r>
      <w:hyperlink r:id="rId10" w:history="1">
        <w:r w:rsidR="00AC6E47" w:rsidRPr="00AC6E47">
          <w:rPr>
            <w:color w:val="0000FF"/>
            <w:u w:val="single"/>
            <w:rtl/>
          </w:rPr>
          <w:t>פקודת הסמים המסוכנים</w:t>
        </w:r>
      </w:hyperlink>
      <w:r>
        <w:rPr>
          <w:rFonts w:hint="cs"/>
          <w:rtl/>
        </w:rPr>
        <w:t>, הרי שהעונש שלו עתרה התביעה בגין תיק זה נמצא בתחתית מתחם העונש ההולם לעבירות שבהן הודה והורשע בתיק שני זה.</w:t>
      </w:r>
    </w:p>
    <w:p w14:paraId="31C2F935" w14:textId="77777777" w:rsidR="001A6410" w:rsidRDefault="001A6410" w:rsidP="001A6410">
      <w:pPr>
        <w:spacing w:line="360" w:lineRule="auto"/>
        <w:ind w:left="720" w:hanging="720"/>
        <w:jc w:val="both"/>
        <w:rPr>
          <w:rtl/>
        </w:rPr>
      </w:pPr>
    </w:p>
    <w:p w14:paraId="1FDF3382" w14:textId="77777777" w:rsidR="001A6410" w:rsidRDefault="001A6410" w:rsidP="001A6410">
      <w:pPr>
        <w:spacing w:line="360" w:lineRule="auto"/>
        <w:ind w:left="720" w:hanging="720"/>
        <w:jc w:val="both"/>
        <w:rPr>
          <w:rtl/>
        </w:rPr>
      </w:pPr>
      <w:r>
        <w:rPr>
          <w:rFonts w:hint="cs"/>
          <w:rtl/>
        </w:rPr>
        <w:t>10.</w:t>
      </w:r>
      <w:r>
        <w:rPr>
          <w:rtl/>
        </w:rPr>
        <w:tab/>
      </w:r>
      <w:r>
        <w:rPr>
          <w:rFonts w:hint="cs"/>
          <w:rtl/>
        </w:rPr>
        <w:t>בתיק שלישי, שצורף אף הוא לבקשת הנאשם, הודה והורשע הנאשם בכך שב-24.2.2017 החזיק במכוניתו 5.1 גרם קנביס בתוך שתי שקיות וכן בסיגריה ובה חשיש.</w:t>
      </w:r>
    </w:p>
    <w:p w14:paraId="50C7C01E" w14:textId="77777777" w:rsidR="001A6410" w:rsidRDefault="001A6410" w:rsidP="001A6410">
      <w:pPr>
        <w:spacing w:line="360" w:lineRule="auto"/>
        <w:ind w:left="720" w:hanging="720"/>
        <w:jc w:val="both"/>
        <w:rPr>
          <w:rtl/>
        </w:rPr>
      </w:pPr>
    </w:p>
    <w:p w14:paraId="1A221A17" w14:textId="77777777" w:rsidR="001A6410" w:rsidRDefault="001A6410" w:rsidP="001A6410">
      <w:pPr>
        <w:spacing w:line="360" w:lineRule="auto"/>
        <w:ind w:left="720" w:hanging="720"/>
        <w:jc w:val="both"/>
        <w:rPr>
          <w:rtl/>
        </w:rPr>
      </w:pPr>
      <w:r>
        <w:rPr>
          <w:rFonts w:hint="cs"/>
          <w:rtl/>
        </w:rPr>
        <w:t>11.</w:t>
      </w:r>
      <w:r>
        <w:rPr>
          <w:rtl/>
        </w:rPr>
        <w:tab/>
      </w:r>
      <w:r>
        <w:rPr>
          <w:rFonts w:hint="cs"/>
          <w:rtl/>
        </w:rPr>
        <w:t xml:space="preserve">בהתחשב בנסיבות ביצוע העבירה ובראשן סוג הסם שבו מדובר וכמותו, בהתחשב בשינוי החקיקה מן העת האחרונה שקבע כי החזקת קנביס לשימוש עצמי בנסיבות מסוימות תהווה עבירת קנס ובהתחשב ברמת הענישה הנוהגת, אני קובע כי מתחם העונש ההולם לעבירה שבה הורשע בתיק שלישי זה נע בין קנס למאסר על תנאי.     </w:t>
      </w:r>
    </w:p>
    <w:p w14:paraId="294F9A01" w14:textId="77777777" w:rsidR="001A6410" w:rsidRDefault="001A6410" w:rsidP="001A6410">
      <w:pPr>
        <w:spacing w:line="360" w:lineRule="auto"/>
        <w:ind w:left="720" w:hanging="720"/>
        <w:jc w:val="both"/>
        <w:rPr>
          <w:sz w:val="16"/>
          <w:szCs w:val="16"/>
          <w:rtl/>
        </w:rPr>
      </w:pPr>
    </w:p>
    <w:p w14:paraId="6DD3F44C" w14:textId="77777777" w:rsidR="001A6410" w:rsidRPr="00C6212F" w:rsidRDefault="001A6410" w:rsidP="001A6410">
      <w:pPr>
        <w:spacing w:line="360" w:lineRule="auto"/>
        <w:ind w:left="720" w:hanging="720"/>
        <w:jc w:val="both"/>
        <w:rPr>
          <w:sz w:val="16"/>
          <w:szCs w:val="16"/>
          <w:rtl/>
        </w:rPr>
      </w:pPr>
    </w:p>
    <w:p w14:paraId="775002F0" w14:textId="77777777" w:rsidR="001A6410" w:rsidRDefault="001A6410" w:rsidP="001A6410">
      <w:pPr>
        <w:spacing w:line="360" w:lineRule="auto"/>
        <w:ind w:left="720" w:hanging="720"/>
        <w:jc w:val="both"/>
        <w:rPr>
          <w:rtl/>
        </w:rPr>
      </w:pPr>
      <w:r>
        <w:rPr>
          <w:rFonts w:hint="cs"/>
          <w:rtl/>
        </w:rPr>
        <w:t>12.</w:t>
      </w:r>
      <w:r>
        <w:rPr>
          <w:rFonts w:hint="cs"/>
          <w:rtl/>
        </w:rPr>
        <w:tab/>
        <w:t xml:space="preserve">הנאשם בן 25. מגיליון הרישום הפלילי שהגישה התביעה עולה כי לחובתו ארבע הרשעות קודמות </w:t>
      </w:r>
      <w:r>
        <w:rPr>
          <w:rtl/>
        </w:rPr>
        <w:t>–</w:t>
      </w:r>
      <w:r>
        <w:rPr>
          <w:rFonts w:hint="cs"/>
          <w:rtl/>
        </w:rPr>
        <w:t xml:space="preserve"> מתוכן אחת כבגיר בהחזקת סם לצריכה עצמית ושלוש בבית המשפט לנוער ובהן הרשעה בעבירה של תקיפה הגורמת חבלה של ממש שבגינה נדון בשנת 2011 ל-10 חודשי מאסר בפועל. זאת, לאחר שתי הרשעות קודמות שבגינן נדון לעונשי מאסר. </w:t>
      </w:r>
    </w:p>
    <w:p w14:paraId="538DB0CA" w14:textId="77777777" w:rsidR="001A6410" w:rsidRPr="00C6212F" w:rsidRDefault="001A6410" w:rsidP="001A6410">
      <w:pPr>
        <w:spacing w:line="360" w:lineRule="auto"/>
        <w:ind w:left="720" w:hanging="720"/>
        <w:jc w:val="both"/>
        <w:rPr>
          <w:sz w:val="16"/>
          <w:szCs w:val="16"/>
          <w:rtl/>
        </w:rPr>
      </w:pPr>
    </w:p>
    <w:p w14:paraId="7DC41C1B" w14:textId="77777777" w:rsidR="001A6410" w:rsidRDefault="001A6410" w:rsidP="001A6410">
      <w:pPr>
        <w:spacing w:line="360" w:lineRule="auto"/>
        <w:ind w:left="720" w:hanging="720"/>
        <w:jc w:val="both"/>
        <w:rPr>
          <w:rtl/>
        </w:rPr>
      </w:pPr>
      <w:r>
        <w:rPr>
          <w:rFonts w:hint="cs"/>
          <w:rtl/>
        </w:rPr>
        <w:t>13.</w:t>
      </w:r>
      <w:r>
        <w:rPr>
          <w:rFonts w:hint="cs"/>
          <w:rtl/>
        </w:rPr>
        <w:tab/>
        <w:t xml:space="preserve">הנאשם וסניגורו פירטו בפני את נסיבותיו האישיות הקשות ביותר של הנאשם שלא זכה לגדול בּקִרְבּה של משפחה חמה ותומכת, אלא נשלח על רקע בעיות התנהגות לפנימייה למשך חמש שנים כבר כשהיה בן שבע וחצי. </w:t>
      </w:r>
    </w:p>
    <w:p w14:paraId="67773922" w14:textId="77777777" w:rsidR="001A6410" w:rsidRPr="00C6212F" w:rsidRDefault="001A6410" w:rsidP="001A6410">
      <w:pPr>
        <w:spacing w:line="360" w:lineRule="auto"/>
        <w:ind w:left="720" w:hanging="720"/>
        <w:jc w:val="both"/>
        <w:rPr>
          <w:sz w:val="16"/>
          <w:szCs w:val="16"/>
          <w:rtl/>
        </w:rPr>
      </w:pPr>
    </w:p>
    <w:p w14:paraId="63D7BAF8" w14:textId="77777777" w:rsidR="001A6410" w:rsidRPr="00B05847" w:rsidRDefault="001A6410" w:rsidP="001A6410">
      <w:pPr>
        <w:spacing w:line="360" w:lineRule="auto"/>
        <w:ind w:left="720" w:hanging="720"/>
        <w:jc w:val="both"/>
        <w:rPr>
          <w:rtl/>
        </w:rPr>
      </w:pPr>
      <w:r>
        <w:rPr>
          <w:rFonts w:hint="cs"/>
          <w:rtl/>
        </w:rPr>
        <w:t>14.</w:t>
      </w:r>
      <w:r>
        <w:rPr>
          <w:rFonts w:hint="cs"/>
          <w:rtl/>
        </w:rPr>
        <w:tab/>
        <w:t xml:space="preserve">הטיפול בתיק זה התמשך בין היתר בשל מספר בקשות דחייה של שירות המבחן שהגיש מספר תסקירים בעניינו של הנאשם. בתסקיר שהוגש ב-31.12.2018, ציין שירות המבחן כי הנאשם הוא צעיר עם נטייה להתנהגות אימפולסיבית ובעייתית וקושי לווסת את כעסיו שנהג להשתמש בחומרים פסיכואקטיביים. מן התסקיר עלה כי מחודש מאי 2018 ועד מועד הגשת התסקיר השתלב הנאשם בטיפול ביחידה למניעת התמכרויות בבני ברק. במסגרת טיפול זה הוא השתתף בשיחות פרטניות, מסר דגימות שתן (שנמצאו נקיות) ואף השתתף בקבוצה ללימוד אנגלית. אנשי היחידה למניעת התמכרויות שיתפו את שירות המבחן בהתרשמותם הטובה מהירתמותו של הנאשם לטיפול. שיתוף הפעולה של הנאשם עם שירות המבחן עצמו היה מוגבל יותר. שירות המבחן היה מעוניין בכך שהנאשם ימשיך בטיפול ביחידה לטיפול בהתמכרויות ובהמשך ישולב בטיפול לשליטה בכעסים. הטיפול צפוי היה לדעת שירות המבחן להפחית את הסיכון להישנות התנהגות דומה מצדו של הנאשם. שירות המבחן המליץ שאגזור על הנאשם עונש מאסר שירוצה בעבודות שירות וכן שיוצא בעניינו צו מבחן למשך שנה. במשך הזמן הדרדר שיתוף הפעולה של הנאשם עם שירות המבחן ועם היחידה למניעת התמכרויות (כמו גם עם בית המשפט), ובתסקיר מיום 4.9.2019 זנח שירות המבחן את ההמלצה הטיפולית והותיר על כנה את ההמלצה להטלת עונש של עבודות שירות, שלפי הערכתו יבהיר ויחדד לנאשם את חומרת מעשיו ואת השלכותיהם.  </w:t>
      </w:r>
    </w:p>
    <w:p w14:paraId="662CB254" w14:textId="77777777" w:rsidR="001A6410" w:rsidRPr="00B05847" w:rsidRDefault="001A6410" w:rsidP="001A6410">
      <w:pPr>
        <w:spacing w:line="360" w:lineRule="auto"/>
        <w:jc w:val="both"/>
        <w:rPr>
          <w:rtl/>
        </w:rPr>
      </w:pPr>
    </w:p>
    <w:p w14:paraId="5BC2327B" w14:textId="77777777" w:rsidR="001A6410" w:rsidRDefault="001A6410" w:rsidP="001A6410">
      <w:pPr>
        <w:spacing w:line="360" w:lineRule="auto"/>
        <w:ind w:left="720" w:hanging="720"/>
        <w:jc w:val="both"/>
        <w:rPr>
          <w:rtl/>
        </w:rPr>
      </w:pPr>
      <w:r>
        <w:rPr>
          <w:rFonts w:hint="cs"/>
          <w:rtl/>
        </w:rPr>
        <w:t>15.</w:t>
      </w:r>
      <w:r>
        <w:rPr>
          <w:rFonts w:hint="cs"/>
          <w:rtl/>
        </w:rPr>
        <w:tab/>
        <w:t xml:space="preserve">התביעה סבורה כי יש מקום לגזור על הנאשם עונש של 8 חודשי מאסר בפועל בגין התיק הראשון, 3 חודשי מאסר בפועל בגין התיק השני וחודש בגין התיק השלישי </w:t>
      </w:r>
      <w:r>
        <w:rPr>
          <w:rtl/>
        </w:rPr>
        <w:t>–</w:t>
      </w:r>
      <w:r>
        <w:rPr>
          <w:rFonts w:hint="cs"/>
          <w:rtl/>
        </w:rPr>
        <w:t xml:space="preserve"> ובסך הכל שנה מאסר בפועל. הסניגור לעומת זאת, סבר כי בגין שלושת התיקים יחד יש לגזור על הנאשם עונש של שירות לתועלת הציבור או לכל היותר "עבודות שירות ברף הנמוך".</w:t>
      </w:r>
    </w:p>
    <w:p w14:paraId="44177D16" w14:textId="77777777" w:rsidR="001A6410" w:rsidRDefault="001A6410" w:rsidP="001A6410">
      <w:pPr>
        <w:spacing w:line="360" w:lineRule="auto"/>
        <w:ind w:left="720" w:hanging="720"/>
        <w:jc w:val="both"/>
        <w:rPr>
          <w:rtl/>
        </w:rPr>
      </w:pPr>
    </w:p>
    <w:p w14:paraId="54269E1E" w14:textId="77777777" w:rsidR="001A6410" w:rsidRDefault="001A6410" w:rsidP="001A6410">
      <w:pPr>
        <w:spacing w:line="360" w:lineRule="auto"/>
        <w:ind w:left="720" w:hanging="720"/>
        <w:jc w:val="both"/>
        <w:rPr>
          <w:rtl/>
        </w:rPr>
      </w:pPr>
      <w:r>
        <w:rPr>
          <w:rFonts w:hint="cs"/>
          <w:rtl/>
        </w:rPr>
        <w:t>16.</w:t>
      </w:r>
      <w:r>
        <w:rPr>
          <w:rtl/>
        </w:rPr>
        <w:tab/>
      </w:r>
      <w:r>
        <w:rPr>
          <w:rFonts w:hint="cs"/>
          <w:rtl/>
        </w:rPr>
        <w:t xml:space="preserve">בהתחשב בעברו הפלילי של הנאשם, בחלוף הזמן מאז ביצוע העבירות, בנסיבות חייו הקשות ביותר של הנאשם מילדות, ובהירתמותו החלקית של הנאשם לטיפול, אני מוצא מקום לגזור על הנאשם עונשים הנמצאים בחלק התחתון של מתחם העונש ההולם, אך לא בקצה התחתון ממש. בגין העבירות בתחנת המוניות </w:t>
      </w:r>
      <w:r>
        <w:rPr>
          <w:rtl/>
        </w:rPr>
        <w:t>–</w:t>
      </w:r>
      <w:r>
        <w:rPr>
          <w:rFonts w:hint="cs"/>
          <w:rtl/>
        </w:rPr>
        <w:t xml:space="preserve"> 4 חודשי מאסר בפועל. בגין העבירות שקשורות בניסיונו להתחמק מן השוטרים </w:t>
      </w:r>
      <w:r>
        <w:rPr>
          <w:rtl/>
        </w:rPr>
        <w:t>–</w:t>
      </w:r>
      <w:r>
        <w:rPr>
          <w:rFonts w:hint="cs"/>
          <w:rtl/>
        </w:rPr>
        <w:t xml:space="preserve"> מאסר על תנאי. בגין העבירות בסם "נייס גאי" </w:t>
      </w:r>
      <w:r>
        <w:rPr>
          <w:rtl/>
        </w:rPr>
        <w:t>–</w:t>
      </w:r>
      <w:r>
        <w:rPr>
          <w:rFonts w:hint="cs"/>
          <w:rtl/>
        </w:rPr>
        <w:t xml:space="preserve"> 3 חודשי מאסר בפועל (עונש שנמצא בתחתית מתחם העונש ההולם, אך תואם את עתירת התביעה) בתוספת קנס, ובגין העבירות בתיק שעניינו החזקת קנביס </w:t>
      </w:r>
      <w:r>
        <w:rPr>
          <w:rtl/>
        </w:rPr>
        <w:t>–</w:t>
      </w:r>
      <w:r>
        <w:rPr>
          <w:rFonts w:hint="cs"/>
          <w:rtl/>
        </w:rPr>
        <w:t xml:space="preserve"> מאסר על תנאי. הואיל ואין קשר בין האירועים השונים העונשים יצטברו זה לזה. </w:t>
      </w:r>
    </w:p>
    <w:p w14:paraId="688CB8AB" w14:textId="77777777" w:rsidR="001A6410" w:rsidRPr="000B2B9A" w:rsidRDefault="001A6410" w:rsidP="001A6410">
      <w:pPr>
        <w:spacing w:line="360" w:lineRule="auto"/>
        <w:ind w:left="720" w:hanging="720"/>
        <w:jc w:val="both"/>
        <w:rPr>
          <w:sz w:val="16"/>
          <w:szCs w:val="16"/>
          <w:rtl/>
        </w:rPr>
      </w:pPr>
    </w:p>
    <w:p w14:paraId="799554CE" w14:textId="77777777" w:rsidR="001A6410" w:rsidRPr="004A4BA6" w:rsidRDefault="001A6410" w:rsidP="001A6410">
      <w:pPr>
        <w:spacing w:line="360" w:lineRule="auto"/>
        <w:ind w:left="720" w:hanging="720"/>
        <w:jc w:val="both"/>
        <w:rPr>
          <w:rtl/>
        </w:rPr>
      </w:pPr>
      <w:r>
        <w:rPr>
          <w:rFonts w:hint="cs"/>
          <w:rtl/>
        </w:rPr>
        <w:t>17.</w:t>
      </w:r>
      <w:r>
        <w:rPr>
          <w:rtl/>
        </w:rPr>
        <w:tab/>
      </w:r>
      <w:r w:rsidRPr="004A4BA6">
        <w:rPr>
          <w:rFonts w:hint="cs"/>
          <w:rtl/>
        </w:rPr>
        <w:t>לפיכך, אני גוזר על הנאשם בגין כלל העבירות והתיקים את העונשים הבאים:</w:t>
      </w:r>
    </w:p>
    <w:p w14:paraId="70E3571F" w14:textId="77777777" w:rsidR="001A6410" w:rsidRPr="004A4BA6" w:rsidRDefault="001A6410" w:rsidP="001A6410">
      <w:pPr>
        <w:spacing w:line="360" w:lineRule="auto"/>
        <w:ind w:left="720" w:hanging="720"/>
        <w:jc w:val="both"/>
        <w:rPr>
          <w:rtl/>
        </w:rPr>
      </w:pPr>
    </w:p>
    <w:p w14:paraId="5C923CDE" w14:textId="77777777" w:rsidR="001A6410" w:rsidRPr="004A4BA6" w:rsidRDefault="001A6410" w:rsidP="001A6410">
      <w:pPr>
        <w:spacing w:line="360" w:lineRule="auto"/>
        <w:ind w:left="1440" w:hanging="720"/>
        <w:jc w:val="both"/>
        <w:rPr>
          <w:rtl/>
        </w:rPr>
      </w:pPr>
      <w:r w:rsidRPr="004A4BA6">
        <w:rPr>
          <w:rFonts w:hint="cs"/>
          <w:rtl/>
        </w:rPr>
        <w:t>א.</w:t>
      </w:r>
      <w:r w:rsidRPr="004A4BA6">
        <w:rPr>
          <w:rtl/>
        </w:rPr>
        <w:tab/>
      </w:r>
      <w:r w:rsidRPr="004A4BA6">
        <w:rPr>
          <w:rFonts w:hint="cs"/>
          <w:rtl/>
        </w:rPr>
        <w:t>7 חודשים מאסר בפועל שירוצו בדרך של עבודת שירות במקום ובתנאים שקבע הממונה על עבודות שירות. הנאשם יתייצב לתחילת ריצוי עונשו ביום</w:t>
      </w:r>
      <w:r>
        <w:rPr>
          <w:rFonts w:hint="cs"/>
          <w:rtl/>
        </w:rPr>
        <w:t xml:space="preserve"> 1.1.2020</w:t>
      </w:r>
      <w:r w:rsidRPr="004A4BA6">
        <w:rPr>
          <w:rFonts w:hint="cs"/>
          <w:rtl/>
        </w:rPr>
        <w:t xml:space="preserve"> בשעה 8:00 ביחידת עבודות השירות במפקדת פיקוד המרכז של שב"ס ברמלה.</w:t>
      </w:r>
    </w:p>
    <w:p w14:paraId="7135ED2F" w14:textId="77777777" w:rsidR="001A6410" w:rsidRPr="004A4BA6" w:rsidRDefault="001A6410" w:rsidP="001A6410">
      <w:pPr>
        <w:spacing w:line="360" w:lineRule="auto"/>
        <w:ind w:left="1440" w:hanging="720"/>
        <w:jc w:val="both"/>
        <w:rPr>
          <w:rtl/>
        </w:rPr>
      </w:pPr>
    </w:p>
    <w:p w14:paraId="3CD90A6D" w14:textId="77777777" w:rsidR="001A6410" w:rsidRPr="004A4BA6" w:rsidRDefault="001A6410" w:rsidP="001A6410">
      <w:pPr>
        <w:spacing w:line="360" w:lineRule="auto"/>
        <w:ind w:left="1440" w:hanging="720"/>
        <w:jc w:val="both"/>
        <w:rPr>
          <w:rtl/>
        </w:rPr>
      </w:pPr>
      <w:r w:rsidRPr="004A4BA6">
        <w:rPr>
          <w:rFonts w:hint="cs"/>
          <w:rtl/>
        </w:rPr>
        <w:t>ב.</w:t>
      </w:r>
      <w:r w:rsidRPr="004A4BA6">
        <w:rPr>
          <w:rtl/>
        </w:rPr>
        <w:tab/>
      </w:r>
      <w:r w:rsidRPr="004A4BA6">
        <w:rPr>
          <w:rFonts w:hint="cs"/>
          <w:rtl/>
        </w:rPr>
        <w:t>4 חודשים מאסר על תנאי למשך 3 שנים שלא ישוב ויעבור עבירות אלימות.</w:t>
      </w:r>
    </w:p>
    <w:p w14:paraId="6D71D63B" w14:textId="77777777" w:rsidR="001A6410" w:rsidRPr="004A4BA6" w:rsidRDefault="001A6410" w:rsidP="001A6410">
      <w:pPr>
        <w:spacing w:line="360" w:lineRule="auto"/>
        <w:ind w:left="1440" w:hanging="720"/>
        <w:jc w:val="both"/>
        <w:rPr>
          <w:rtl/>
        </w:rPr>
      </w:pPr>
    </w:p>
    <w:p w14:paraId="43347F15" w14:textId="77777777" w:rsidR="001A6410" w:rsidRPr="004A4BA6" w:rsidRDefault="001A6410" w:rsidP="001A6410">
      <w:pPr>
        <w:spacing w:line="360" w:lineRule="auto"/>
        <w:ind w:left="1440" w:hanging="720"/>
        <w:jc w:val="both"/>
        <w:rPr>
          <w:rtl/>
        </w:rPr>
      </w:pPr>
      <w:r w:rsidRPr="004A4BA6">
        <w:rPr>
          <w:rFonts w:hint="cs"/>
          <w:rtl/>
        </w:rPr>
        <w:t>ג.</w:t>
      </w:r>
      <w:r w:rsidRPr="004A4BA6">
        <w:rPr>
          <w:rFonts w:hint="cs"/>
          <w:rtl/>
        </w:rPr>
        <w:tab/>
        <w:t xml:space="preserve">6 חודשים מאסר על תנאי לשלוש שנים שלא ישוב ויעבור עבירה לפי </w:t>
      </w:r>
      <w:hyperlink r:id="rId11" w:history="1">
        <w:r w:rsidR="00AC6E47" w:rsidRPr="00AC6E47">
          <w:rPr>
            <w:color w:val="0000FF"/>
            <w:u w:val="single"/>
            <w:rtl/>
          </w:rPr>
          <w:t>פקודת הסמים המסוכנים</w:t>
        </w:r>
      </w:hyperlink>
      <w:r w:rsidRPr="004A4BA6">
        <w:rPr>
          <w:rFonts w:hint="cs"/>
          <w:rtl/>
        </w:rPr>
        <w:t xml:space="preserve"> למעט עבירה של החזקת סם לשימוש עצמי.</w:t>
      </w:r>
    </w:p>
    <w:p w14:paraId="4FFC26F7" w14:textId="77777777" w:rsidR="001A6410" w:rsidRPr="004A4BA6" w:rsidRDefault="001A6410" w:rsidP="001A6410">
      <w:pPr>
        <w:spacing w:line="360" w:lineRule="auto"/>
        <w:ind w:left="1440" w:hanging="720"/>
        <w:jc w:val="both"/>
        <w:rPr>
          <w:rtl/>
        </w:rPr>
      </w:pPr>
    </w:p>
    <w:p w14:paraId="176F9F82" w14:textId="77777777" w:rsidR="001A6410" w:rsidRPr="004A4BA6" w:rsidRDefault="001A6410" w:rsidP="001A6410">
      <w:pPr>
        <w:spacing w:line="360" w:lineRule="auto"/>
        <w:ind w:left="1440" w:hanging="720"/>
        <w:jc w:val="both"/>
        <w:rPr>
          <w:rtl/>
        </w:rPr>
      </w:pPr>
      <w:r w:rsidRPr="004A4BA6">
        <w:rPr>
          <w:rFonts w:hint="cs"/>
          <w:rtl/>
        </w:rPr>
        <w:t>ד.</w:t>
      </w:r>
      <w:r w:rsidRPr="004A4BA6">
        <w:rPr>
          <w:rFonts w:hint="cs"/>
          <w:rtl/>
        </w:rPr>
        <w:tab/>
        <w:t>חודש מאסר על תנאי למשך 3 שנים שלא ישוב ויעבור עבירה של החזקת סם לצריכה עצמית.</w:t>
      </w:r>
    </w:p>
    <w:p w14:paraId="30470689" w14:textId="77777777" w:rsidR="001A6410" w:rsidRPr="004A4BA6" w:rsidRDefault="001A6410" w:rsidP="001A6410">
      <w:pPr>
        <w:spacing w:line="360" w:lineRule="auto"/>
        <w:ind w:left="1440" w:hanging="720"/>
        <w:jc w:val="both"/>
        <w:rPr>
          <w:rtl/>
        </w:rPr>
      </w:pPr>
    </w:p>
    <w:p w14:paraId="2FD2741C" w14:textId="77777777" w:rsidR="001A6410" w:rsidRPr="004A4BA6" w:rsidRDefault="001A6410" w:rsidP="001A6410">
      <w:pPr>
        <w:spacing w:line="360" w:lineRule="auto"/>
        <w:ind w:left="1440" w:hanging="720"/>
        <w:jc w:val="both"/>
        <w:rPr>
          <w:rtl/>
        </w:rPr>
      </w:pPr>
      <w:r w:rsidRPr="004A4BA6">
        <w:rPr>
          <w:rFonts w:hint="cs"/>
          <w:rtl/>
        </w:rPr>
        <w:t>ה.</w:t>
      </w:r>
      <w:r w:rsidRPr="004A4BA6">
        <w:rPr>
          <w:rtl/>
        </w:rPr>
        <w:tab/>
      </w:r>
      <w:r w:rsidRPr="004A4BA6">
        <w:rPr>
          <w:rFonts w:hint="cs"/>
          <w:rtl/>
        </w:rPr>
        <w:t xml:space="preserve">קנס בסך 2,000 ₪. שישולם עד ליום 1.3.2019. מסכום הקנס יש לקזז כל סכום שהופקד במסגרת צו הבאה. </w:t>
      </w:r>
    </w:p>
    <w:p w14:paraId="37BD34CF" w14:textId="77777777" w:rsidR="001A6410" w:rsidRDefault="001A6410" w:rsidP="001A6410">
      <w:pPr>
        <w:spacing w:line="360" w:lineRule="auto"/>
        <w:jc w:val="both"/>
        <w:rPr>
          <w:rtl/>
        </w:rPr>
      </w:pPr>
    </w:p>
    <w:p w14:paraId="709FAC7B" w14:textId="77777777" w:rsidR="001A6410" w:rsidRDefault="001A6410" w:rsidP="001A6410">
      <w:pPr>
        <w:spacing w:line="360" w:lineRule="auto"/>
        <w:ind w:left="720" w:hanging="720"/>
        <w:jc w:val="both"/>
        <w:rPr>
          <w:rtl/>
        </w:rPr>
      </w:pPr>
      <w:r>
        <w:rPr>
          <w:rFonts w:hint="cs"/>
          <w:rtl/>
        </w:rPr>
        <w:t>12.</w:t>
      </w:r>
      <w:r>
        <w:rPr>
          <w:rFonts w:hint="cs"/>
          <w:rtl/>
        </w:rPr>
        <w:tab/>
        <w:t xml:space="preserve">אני מחייב את הנאשם בתשלום פיצוי בסך 1,000 ₪ לכל אחד מן המתלוננים בתיק הראשון (אליהו מעודה ומשה צמח). הפיצוי יופקד בקופת בית המשפט עד ליום 1.3.2020. </w:t>
      </w:r>
    </w:p>
    <w:p w14:paraId="38A8EF3C" w14:textId="77777777" w:rsidR="001A6410" w:rsidRDefault="001A6410" w:rsidP="001A6410">
      <w:pPr>
        <w:spacing w:line="360" w:lineRule="auto"/>
        <w:jc w:val="both"/>
        <w:rPr>
          <w:rtl/>
        </w:rPr>
      </w:pPr>
    </w:p>
    <w:p w14:paraId="43EE90B6" w14:textId="77777777" w:rsidR="001A6410" w:rsidRDefault="001A6410" w:rsidP="001A6410">
      <w:pPr>
        <w:spacing w:line="360" w:lineRule="auto"/>
        <w:jc w:val="both"/>
        <w:rPr>
          <w:rtl/>
        </w:rPr>
      </w:pPr>
      <w:r>
        <w:rPr>
          <w:rFonts w:hint="cs"/>
          <w:rtl/>
        </w:rPr>
        <w:t>בהתאם להסכמת הצדדים אני מכריז על הנאשם כסוחר סמים ומורה על חילוט הכסף שנתפס ממנו ב</w:t>
      </w:r>
      <w:hyperlink r:id="rId12" w:history="1">
        <w:r w:rsidR="00AC6E47" w:rsidRPr="00AC6E47">
          <w:rPr>
            <w:color w:val="0000FF"/>
            <w:u w:val="single"/>
            <w:rtl/>
          </w:rPr>
          <w:t>ת"פ 68055-03-16</w:t>
        </w:r>
      </w:hyperlink>
      <w:r>
        <w:rPr>
          <w:rFonts w:hint="cs"/>
          <w:rtl/>
        </w:rPr>
        <w:t>. אני מורה על השמדת הסמים שנתפסו בתיקים השונים.</w:t>
      </w:r>
    </w:p>
    <w:p w14:paraId="32326DA2" w14:textId="77777777" w:rsidR="001A6410" w:rsidRDefault="001A6410" w:rsidP="001A6410">
      <w:pPr>
        <w:spacing w:line="360" w:lineRule="auto"/>
        <w:jc w:val="both"/>
        <w:rPr>
          <w:rtl/>
        </w:rPr>
      </w:pPr>
    </w:p>
    <w:p w14:paraId="53A4BFAF" w14:textId="77777777" w:rsidR="001A6410" w:rsidRDefault="001A6410" w:rsidP="001A6410">
      <w:pPr>
        <w:spacing w:line="360" w:lineRule="auto"/>
        <w:jc w:val="both"/>
        <w:rPr>
          <w:rtl/>
        </w:rPr>
      </w:pPr>
      <w:r>
        <w:rPr>
          <w:rFonts w:hint="cs"/>
          <w:rtl/>
        </w:rPr>
        <w:t>המזכירות תשלח גזר דין זה לממונה על עבודות שירות.</w:t>
      </w:r>
    </w:p>
    <w:p w14:paraId="725A82A0" w14:textId="77777777" w:rsidR="001A6410" w:rsidRDefault="001A6410" w:rsidP="001A6410">
      <w:pPr>
        <w:spacing w:line="360" w:lineRule="auto"/>
        <w:jc w:val="both"/>
        <w:rPr>
          <w:rtl/>
        </w:rPr>
      </w:pPr>
    </w:p>
    <w:p w14:paraId="15521D1A" w14:textId="77777777" w:rsidR="001A6410" w:rsidRPr="00B05847" w:rsidRDefault="001A6410" w:rsidP="001A6410">
      <w:pPr>
        <w:spacing w:line="360" w:lineRule="auto"/>
        <w:jc w:val="both"/>
        <w:rPr>
          <w:rtl/>
        </w:rPr>
      </w:pPr>
      <w:r>
        <w:rPr>
          <w:rFonts w:hint="cs"/>
          <w:rtl/>
        </w:rPr>
        <w:t>זכות ערעור בתוך 45 יום לבית המשפט המחוזי.</w:t>
      </w:r>
    </w:p>
    <w:p w14:paraId="0A33345B" w14:textId="77777777" w:rsidR="001A6410" w:rsidRPr="00B05847" w:rsidRDefault="001A6410" w:rsidP="001A6410">
      <w:pPr>
        <w:jc w:val="both"/>
        <w:rPr>
          <w:rtl/>
        </w:rPr>
      </w:pPr>
    </w:p>
    <w:p w14:paraId="696C4C97" w14:textId="77777777" w:rsidR="001A6410" w:rsidRPr="00AC6E47" w:rsidRDefault="00AC6E47" w:rsidP="001A6410">
      <w:pPr>
        <w:rPr>
          <w:color w:val="FFFFFF"/>
          <w:sz w:val="2"/>
          <w:szCs w:val="2"/>
          <w:rtl/>
        </w:rPr>
      </w:pPr>
      <w:r w:rsidRPr="00AC6E47">
        <w:rPr>
          <w:color w:val="FFFFFF"/>
          <w:sz w:val="2"/>
          <w:szCs w:val="2"/>
          <w:rtl/>
        </w:rPr>
        <w:t>5129371</w:t>
      </w:r>
    </w:p>
    <w:p w14:paraId="7AC32C45" w14:textId="77777777" w:rsidR="001A6410" w:rsidRPr="00250B83" w:rsidRDefault="00AC6E47" w:rsidP="001A6410">
      <w:pPr>
        <w:rPr>
          <w:rtl/>
        </w:rPr>
      </w:pPr>
      <w:bookmarkStart w:id="8" w:name="Nitan"/>
      <w:r w:rsidRPr="00AC6E47">
        <w:rPr>
          <w:rFonts w:ascii="Arial" w:hAnsi="Arial"/>
          <w:color w:val="FFFFFF"/>
          <w:sz w:val="2"/>
          <w:szCs w:val="2"/>
          <w:rtl/>
        </w:rPr>
        <w:t>54678313</w:t>
      </w:r>
      <w:r>
        <w:rPr>
          <w:rFonts w:ascii="Arial" w:hAnsi="Arial"/>
          <w:rtl/>
        </w:rPr>
        <w:t xml:space="preserve">ניתן היום, 8 בדצמבר 2019, בנוכחות הצדדים. </w:t>
      </w:r>
      <w:bookmarkEnd w:id="8"/>
    </w:p>
    <w:p w14:paraId="2C865717" w14:textId="77777777" w:rsidR="001A6410" w:rsidRPr="00250B83" w:rsidRDefault="001A6410" w:rsidP="00AC6E47">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8C7E94B" w14:textId="77777777" w:rsidR="001A6410" w:rsidRPr="00250B83" w:rsidRDefault="001A6410" w:rsidP="001A6410">
      <w:pPr>
        <w:jc w:val="center"/>
        <w:rPr>
          <w:rFonts w:ascii="Arial" w:hAnsi="Arial"/>
          <w:rtl/>
        </w:rPr>
      </w:pPr>
    </w:p>
    <w:p w14:paraId="684DB736" w14:textId="77777777" w:rsidR="001A6410" w:rsidRPr="00250B83" w:rsidRDefault="001A6410" w:rsidP="001A6410">
      <w:pPr>
        <w:rPr>
          <w:rtl/>
        </w:rPr>
      </w:pPr>
    </w:p>
    <w:p w14:paraId="087A9213" w14:textId="77777777" w:rsidR="001A6410" w:rsidRPr="00607B14" w:rsidRDefault="00607B14" w:rsidP="001A6410">
      <w:pPr>
        <w:pStyle w:val="a3"/>
        <w:jc w:val="center"/>
        <w:rPr>
          <w:color w:val="FFFFFF"/>
          <w:sz w:val="2"/>
          <w:szCs w:val="2"/>
          <w:rtl/>
        </w:rPr>
      </w:pPr>
      <w:r w:rsidRPr="00607B14">
        <w:rPr>
          <w:color w:val="FFFFFF"/>
          <w:sz w:val="2"/>
          <w:szCs w:val="2"/>
          <w:rtl/>
        </w:rPr>
        <w:t>5129371</w:t>
      </w:r>
    </w:p>
    <w:p w14:paraId="61429541" w14:textId="77777777" w:rsidR="006C4DA7" w:rsidRPr="00607B14" w:rsidRDefault="00607B14" w:rsidP="00AC6E47">
      <w:pPr>
        <w:keepNext/>
        <w:rPr>
          <w:rFonts w:ascii="David" w:hAnsi="David"/>
          <w:color w:val="FFFFFF"/>
          <w:sz w:val="2"/>
          <w:szCs w:val="2"/>
          <w:rtl/>
        </w:rPr>
      </w:pPr>
      <w:r w:rsidRPr="00607B14">
        <w:rPr>
          <w:rFonts w:ascii="David" w:hAnsi="David"/>
          <w:color w:val="FFFFFF"/>
          <w:sz w:val="2"/>
          <w:szCs w:val="2"/>
          <w:rtl/>
        </w:rPr>
        <w:t>54678313</w:t>
      </w:r>
    </w:p>
    <w:p w14:paraId="5264BAD9" w14:textId="77777777" w:rsidR="00AC6E47" w:rsidRDefault="00AC6E47" w:rsidP="00AC6E47">
      <w:pPr>
        <w:rPr>
          <w:rtl/>
        </w:rPr>
      </w:pPr>
    </w:p>
    <w:p w14:paraId="7D6107AC" w14:textId="77777777" w:rsidR="00AC6E47" w:rsidRDefault="00AC6E47" w:rsidP="00AC6E47">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0E704075" w14:textId="77777777" w:rsidR="00607B14" w:rsidRPr="00607B14" w:rsidRDefault="00607B14" w:rsidP="00607B14">
      <w:pPr>
        <w:keepNext/>
        <w:rPr>
          <w:rFonts w:ascii="David" w:hAnsi="David"/>
          <w:color w:val="000000"/>
          <w:sz w:val="22"/>
          <w:szCs w:val="22"/>
          <w:rtl/>
        </w:rPr>
      </w:pPr>
    </w:p>
    <w:p w14:paraId="03657C6F" w14:textId="77777777" w:rsidR="00607B14" w:rsidRPr="00607B14" w:rsidRDefault="00607B14" w:rsidP="00607B14">
      <w:pPr>
        <w:keepNext/>
        <w:rPr>
          <w:rFonts w:ascii="David" w:hAnsi="David"/>
          <w:color w:val="000000"/>
          <w:sz w:val="22"/>
          <w:szCs w:val="22"/>
          <w:rtl/>
        </w:rPr>
      </w:pPr>
      <w:r w:rsidRPr="00607B14">
        <w:rPr>
          <w:rFonts w:ascii="David" w:hAnsi="David"/>
          <w:color w:val="000000"/>
          <w:sz w:val="22"/>
          <w:szCs w:val="22"/>
          <w:rtl/>
        </w:rPr>
        <w:t>איתי הרמלין 54678313-/</w:t>
      </w:r>
    </w:p>
    <w:p w14:paraId="67635D14" w14:textId="77777777" w:rsidR="00AC6E47" w:rsidRPr="00AC6E47" w:rsidRDefault="00607B14" w:rsidP="00607B14">
      <w:pPr>
        <w:rPr>
          <w:color w:val="0000FF"/>
          <w:u w:val="single"/>
        </w:rPr>
      </w:pPr>
      <w:r w:rsidRPr="00607B14">
        <w:rPr>
          <w:color w:val="000000"/>
          <w:u w:val="single"/>
          <w:rtl/>
        </w:rPr>
        <w:t>נוסח מסמך זה כפוף לשינויי ניסוח ועריכה</w:t>
      </w:r>
    </w:p>
    <w:sectPr w:rsidR="00AC6E47" w:rsidRPr="00AC6E47" w:rsidSect="00607B14">
      <w:headerReference w:type="even" r:id="rId14"/>
      <w:headerReference w:type="default" r:id="rId15"/>
      <w:footerReference w:type="even" r:id="rId16"/>
      <w:footerReference w:type="default" r:id="rId1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3DB88" w14:textId="77777777" w:rsidR="00025045" w:rsidRDefault="00025045" w:rsidP="00FE7E4F">
      <w:r>
        <w:separator/>
      </w:r>
    </w:p>
  </w:endnote>
  <w:endnote w:type="continuationSeparator" w:id="0">
    <w:p w14:paraId="2278B117" w14:textId="77777777" w:rsidR="00025045" w:rsidRDefault="00025045" w:rsidP="00FE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60CF8" w14:textId="77777777" w:rsidR="00607B14" w:rsidRDefault="00607B14" w:rsidP="00607B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0C6196" w14:textId="77777777" w:rsidR="00ED7C15" w:rsidRPr="00607B14" w:rsidRDefault="00607B14" w:rsidP="00607B14">
    <w:pPr>
      <w:pStyle w:val="a5"/>
      <w:pBdr>
        <w:top w:val="single" w:sz="4" w:space="1" w:color="auto"/>
        <w:between w:val="single" w:sz="4" w:space="0" w:color="auto"/>
      </w:pBdr>
      <w:spacing w:after="60"/>
      <w:jc w:val="center"/>
      <w:rPr>
        <w:rFonts w:ascii="FrankRuehl" w:hAnsi="FrankRuehl" w:cs="FrankRuehl"/>
        <w:color w:val="000000"/>
      </w:rPr>
    </w:pPr>
    <w:r w:rsidRPr="00607B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D6C1F" w14:textId="77777777" w:rsidR="00607B14" w:rsidRDefault="00607B14" w:rsidP="00607B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426C">
      <w:rPr>
        <w:rFonts w:ascii="FrankRuehl" w:hAnsi="FrankRuehl" w:cs="FrankRuehl"/>
        <w:noProof/>
        <w:rtl/>
      </w:rPr>
      <w:t>1</w:t>
    </w:r>
    <w:r>
      <w:rPr>
        <w:rFonts w:ascii="FrankRuehl" w:hAnsi="FrankRuehl" w:cs="FrankRuehl"/>
        <w:rtl/>
      </w:rPr>
      <w:fldChar w:fldCharType="end"/>
    </w:r>
  </w:p>
  <w:p w14:paraId="02E9B7BC" w14:textId="77777777" w:rsidR="00ED7C15" w:rsidRPr="00607B14" w:rsidRDefault="00607B14" w:rsidP="00607B14">
    <w:pPr>
      <w:pStyle w:val="a5"/>
      <w:pBdr>
        <w:top w:val="single" w:sz="4" w:space="1" w:color="auto"/>
        <w:between w:val="single" w:sz="4" w:space="0" w:color="auto"/>
      </w:pBdr>
      <w:spacing w:after="60"/>
      <w:jc w:val="center"/>
      <w:rPr>
        <w:rFonts w:ascii="FrankRuehl" w:hAnsi="FrankRuehl" w:cs="FrankRuehl"/>
        <w:color w:val="000000"/>
      </w:rPr>
    </w:pPr>
    <w:r w:rsidRPr="00607B14">
      <w:rPr>
        <w:rFonts w:ascii="FrankRuehl" w:hAnsi="FrankRuehl" w:cs="FrankRuehl"/>
        <w:color w:val="000000"/>
      </w:rPr>
      <w:pict w14:anchorId="58EE30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FA0B8" w14:textId="77777777" w:rsidR="00025045" w:rsidRDefault="00025045" w:rsidP="00FE7E4F">
      <w:r>
        <w:separator/>
      </w:r>
    </w:p>
  </w:footnote>
  <w:footnote w:type="continuationSeparator" w:id="0">
    <w:p w14:paraId="3B5BA1D1" w14:textId="77777777" w:rsidR="00025045" w:rsidRDefault="00025045" w:rsidP="00FE7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11789" w14:textId="77777777" w:rsidR="00AC6E47" w:rsidRPr="00607B14" w:rsidRDefault="00607B14" w:rsidP="00607B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56389-09-14</w:t>
    </w:r>
    <w:r>
      <w:rPr>
        <w:rFonts w:ascii="David" w:hAnsi="David"/>
        <w:color w:val="000000"/>
        <w:sz w:val="22"/>
        <w:szCs w:val="22"/>
        <w:rtl/>
      </w:rPr>
      <w:tab/>
      <w:t xml:space="preserve"> מדינת ישראל נ' שלמה חיים חזיזה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07A19" w14:textId="77777777" w:rsidR="00AC6E47" w:rsidRPr="00607B14" w:rsidRDefault="00607B14" w:rsidP="00607B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56389-09-14</w:t>
    </w:r>
    <w:r>
      <w:rPr>
        <w:rFonts w:ascii="David" w:hAnsi="David"/>
        <w:color w:val="000000"/>
        <w:sz w:val="22"/>
        <w:szCs w:val="22"/>
        <w:rtl/>
      </w:rPr>
      <w:tab/>
      <w:t xml:space="preserve"> מדינת ישראל נ' שלמה חיים חזיזה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6410"/>
    <w:rsid w:val="00025045"/>
    <w:rsid w:val="001A6410"/>
    <w:rsid w:val="0048426C"/>
    <w:rsid w:val="00607B14"/>
    <w:rsid w:val="006B55E7"/>
    <w:rsid w:val="006C4DA7"/>
    <w:rsid w:val="00901DB5"/>
    <w:rsid w:val="00AC6E47"/>
    <w:rsid w:val="00CB63BD"/>
    <w:rsid w:val="00ED7C15"/>
    <w:rsid w:val="00FE7E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487DB7"/>
  <w15:chartTrackingRefBased/>
  <w15:docId w15:val="{291294A4-6F28-4C5B-A290-14DF9BB6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641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6410"/>
    <w:pPr>
      <w:tabs>
        <w:tab w:val="center" w:pos="4153"/>
        <w:tab w:val="right" w:pos="8306"/>
      </w:tabs>
    </w:pPr>
  </w:style>
  <w:style w:type="character" w:customStyle="1" w:styleId="a4">
    <w:name w:val="כותרת עליונה תו"/>
    <w:link w:val="a3"/>
    <w:rsid w:val="001A6410"/>
    <w:rPr>
      <w:rFonts w:ascii="Times New Roman" w:eastAsia="Times New Roman" w:hAnsi="Times New Roman" w:cs="David"/>
      <w:sz w:val="24"/>
      <w:szCs w:val="24"/>
    </w:rPr>
  </w:style>
  <w:style w:type="paragraph" w:styleId="a5">
    <w:name w:val="footer"/>
    <w:basedOn w:val="a"/>
    <w:link w:val="a6"/>
    <w:rsid w:val="001A6410"/>
    <w:pPr>
      <w:tabs>
        <w:tab w:val="center" w:pos="4153"/>
        <w:tab w:val="right" w:pos="8306"/>
      </w:tabs>
    </w:pPr>
  </w:style>
  <w:style w:type="character" w:customStyle="1" w:styleId="a6">
    <w:name w:val="כותרת תחתונה תו"/>
    <w:link w:val="a5"/>
    <w:rsid w:val="001A6410"/>
    <w:rPr>
      <w:rFonts w:ascii="Times New Roman" w:eastAsia="Times New Roman" w:hAnsi="Times New Roman" w:cs="David"/>
      <w:sz w:val="24"/>
      <w:szCs w:val="24"/>
    </w:rPr>
  </w:style>
  <w:style w:type="table" w:styleId="a7">
    <w:name w:val="Table Grid"/>
    <w:basedOn w:val="a1"/>
    <w:rsid w:val="001A641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A6410"/>
  </w:style>
  <w:style w:type="character" w:styleId="Hyperlink">
    <w:name w:val="Hyperlink"/>
    <w:rsid w:val="00AC6E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3421583"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case/23507626" TargetMode="External"/><Relationship Id="rId12" Type="http://schemas.openxmlformats.org/officeDocument/2006/relationships/hyperlink" Target="http://www.nevo.co.il/case/21071669"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case/23573370"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1567</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9385</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3473524</vt:i4>
      </vt:variant>
      <vt:variant>
        <vt:i4>18</vt:i4>
      </vt:variant>
      <vt:variant>
        <vt:i4>0</vt:i4>
      </vt:variant>
      <vt:variant>
        <vt:i4>5</vt:i4>
      </vt:variant>
      <vt:variant>
        <vt:lpwstr>http://www.nevo.co.il/case/21071669</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3342451</vt:i4>
      </vt:variant>
      <vt:variant>
        <vt:i4>9</vt:i4>
      </vt:variant>
      <vt:variant>
        <vt:i4>0</vt:i4>
      </vt:variant>
      <vt:variant>
        <vt:i4>5</vt:i4>
      </vt:variant>
      <vt:variant>
        <vt:lpwstr>http://www.nevo.co.il/case/23573370</vt:lpwstr>
      </vt:variant>
      <vt:variant>
        <vt:lpwstr/>
      </vt:variant>
      <vt:variant>
        <vt:i4>4128880</vt:i4>
      </vt:variant>
      <vt:variant>
        <vt:i4>6</vt:i4>
      </vt:variant>
      <vt:variant>
        <vt:i4>0</vt:i4>
      </vt:variant>
      <vt:variant>
        <vt:i4>5</vt:i4>
      </vt:variant>
      <vt:variant>
        <vt:lpwstr>http://www.nevo.co.il/case/23421583</vt:lpwstr>
      </vt:variant>
      <vt:variant>
        <vt:lpwstr/>
      </vt:variant>
      <vt:variant>
        <vt:i4>3276913</vt:i4>
      </vt:variant>
      <vt:variant>
        <vt:i4>3</vt:i4>
      </vt:variant>
      <vt:variant>
        <vt:i4>0</vt:i4>
      </vt:variant>
      <vt:variant>
        <vt:i4>5</vt:i4>
      </vt:variant>
      <vt:variant>
        <vt:lpwstr>http://www.nevo.co.il/case/23507626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56389;68055;73270</vt:lpwstr>
  </property>
  <property fmtid="{D5CDD505-2E9C-101B-9397-08002B2CF9AE}" pid="6" name="NEWPARTB">
    <vt:lpwstr>09;03;01</vt:lpwstr>
  </property>
  <property fmtid="{D5CDD505-2E9C-101B-9397-08002B2CF9AE}" pid="7" name="NEWPARTC">
    <vt:lpwstr>14;16;19</vt:lpwstr>
  </property>
  <property fmtid="{D5CDD505-2E9C-101B-9397-08002B2CF9AE}" pid="8" name="APPELLANT">
    <vt:lpwstr>מדינת ישראל</vt:lpwstr>
  </property>
  <property fmtid="{D5CDD505-2E9C-101B-9397-08002B2CF9AE}" pid="9" name="APPELLEE">
    <vt:lpwstr>שלמה חיים חזיזה</vt:lpwstr>
  </property>
  <property fmtid="{D5CDD505-2E9C-101B-9397-08002B2CF9AE}" pid="10" name="LAWYER">
    <vt:lpwstr>אסף כרמונה; רינת יצחקי;ארי שמאי</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20191208</vt:lpwstr>
  </property>
  <property fmtid="{D5CDD505-2E9C-101B-9397-08002B2CF9AE}" pid="14" name="TYPE_N_DATE">
    <vt:lpwstr>38020191208</vt:lpwstr>
  </property>
  <property fmtid="{D5CDD505-2E9C-101B-9397-08002B2CF9AE}" pid="15" name="CASESLISTTMP1">
    <vt:lpwstr>23507626;23421583;23573370;21071669</vt:lpwstr>
  </property>
  <property fmtid="{D5CDD505-2E9C-101B-9397-08002B2CF9AE}" pid="16" name="WORDNUMPAGES">
    <vt:lpwstr>5</vt:lpwstr>
  </property>
  <property fmtid="{D5CDD505-2E9C-101B-9397-08002B2CF9AE}" pid="17" name="TYPE_ABS_DATE">
    <vt:lpwstr>380020191208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4216:2</vt:lpwstr>
  </property>
</Properties>
</file>