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B3265" w:rsidRPr="00F17C31" w14:paraId="086B7BDF" w14:textId="77777777">
        <w:trPr>
          <w:trHeight w:hRule="exact" w:val="418"/>
          <w:jc w:val="center"/>
        </w:trPr>
        <w:tc>
          <w:tcPr>
            <w:tcW w:w="8721" w:type="dxa"/>
            <w:gridSpan w:val="2"/>
          </w:tcPr>
          <w:p w14:paraId="1E4CEEA2" w14:textId="77777777" w:rsidR="000B3265" w:rsidRPr="00F17C31" w:rsidRDefault="000B3265" w:rsidP="00F17C31">
            <w:pPr>
              <w:pStyle w:val="a3"/>
              <w:jc w:val="center"/>
              <w:rPr>
                <w:rFonts w:ascii="Tahoma" w:hAnsi="Tahoma" w:cs="Tahoma"/>
                <w:color w:val="000080"/>
                <w:rtl/>
              </w:rPr>
            </w:pPr>
            <w:r w:rsidRPr="00F17C31">
              <w:rPr>
                <w:rFonts w:ascii="Tahoma" w:hAnsi="Tahoma" w:cs="Tahoma"/>
                <w:b/>
                <w:bCs/>
                <w:color w:val="000080"/>
                <w:rtl/>
              </w:rPr>
              <w:t>בית משפט השלום ברחובות</w:t>
            </w:r>
          </w:p>
        </w:tc>
      </w:tr>
      <w:tr w:rsidR="000B3265" w:rsidRPr="00F17C31" w14:paraId="4B7E5E1A" w14:textId="77777777">
        <w:trPr>
          <w:trHeight w:val="337"/>
          <w:jc w:val="center"/>
        </w:trPr>
        <w:tc>
          <w:tcPr>
            <w:tcW w:w="5054" w:type="dxa"/>
          </w:tcPr>
          <w:p w14:paraId="1E7BC446" w14:textId="77777777" w:rsidR="000B3265" w:rsidRPr="00F17C31" w:rsidRDefault="000B3265" w:rsidP="00DB7F6B">
            <w:pPr>
              <w:rPr>
                <w:rFonts w:cs="FrankRuehl" w:hint="cs"/>
                <w:sz w:val="28"/>
                <w:szCs w:val="28"/>
                <w:rtl/>
              </w:rPr>
            </w:pPr>
            <w:r w:rsidRPr="00F17C31">
              <w:rPr>
                <w:rFonts w:cs="FrankRuehl"/>
                <w:sz w:val="28"/>
                <w:szCs w:val="28"/>
                <w:rtl/>
              </w:rPr>
              <w:t>ת"פ</w:t>
            </w:r>
            <w:r w:rsidRPr="00F17C31">
              <w:rPr>
                <w:rFonts w:cs="FrankRuehl" w:hint="cs"/>
                <w:sz w:val="28"/>
                <w:szCs w:val="28"/>
                <w:rtl/>
              </w:rPr>
              <w:t xml:space="preserve"> </w:t>
            </w:r>
            <w:r w:rsidRPr="00F17C31">
              <w:rPr>
                <w:rFonts w:cs="FrankRuehl"/>
                <w:sz w:val="28"/>
                <w:szCs w:val="28"/>
                <w:rtl/>
              </w:rPr>
              <w:t>64678-09-14</w:t>
            </w:r>
            <w:r w:rsidRPr="00F17C31">
              <w:rPr>
                <w:rFonts w:cs="FrankRuehl" w:hint="cs"/>
                <w:sz w:val="28"/>
                <w:szCs w:val="28"/>
                <w:rtl/>
              </w:rPr>
              <w:t xml:space="preserve"> </w:t>
            </w:r>
            <w:r w:rsidRPr="00F17C31">
              <w:rPr>
                <w:rFonts w:cs="FrankRuehl"/>
                <w:sz w:val="28"/>
                <w:szCs w:val="28"/>
                <w:rtl/>
              </w:rPr>
              <w:t xml:space="preserve">מדינת ישראל נ' </w:t>
            </w:r>
            <w:r w:rsidR="00DB7F6B">
              <w:rPr>
                <w:rFonts w:cs="FrankRuehl" w:hint="cs"/>
                <w:sz w:val="28"/>
                <w:szCs w:val="28"/>
                <w:rtl/>
              </w:rPr>
              <w:t>פלוני</w:t>
            </w:r>
          </w:p>
          <w:p w14:paraId="0D2575FE" w14:textId="77777777" w:rsidR="000B3265" w:rsidRPr="00F17C31" w:rsidRDefault="000B3265" w:rsidP="00F17C31">
            <w:pPr>
              <w:pStyle w:val="a3"/>
              <w:rPr>
                <w:rFonts w:cs="FrankRuehl"/>
                <w:sz w:val="28"/>
                <w:szCs w:val="28"/>
                <w:rtl/>
              </w:rPr>
            </w:pPr>
          </w:p>
        </w:tc>
        <w:tc>
          <w:tcPr>
            <w:tcW w:w="3667" w:type="dxa"/>
          </w:tcPr>
          <w:p w14:paraId="712C4C77" w14:textId="77777777" w:rsidR="000B3265" w:rsidRPr="00F17C31" w:rsidRDefault="000B3265" w:rsidP="00F17C31">
            <w:pPr>
              <w:pStyle w:val="a3"/>
              <w:jc w:val="right"/>
              <w:rPr>
                <w:rFonts w:cs="FrankRuehl"/>
                <w:sz w:val="28"/>
                <w:szCs w:val="28"/>
                <w:rtl/>
              </w:rPr>
            </w:pPr>
          </w:p>
        </w:tc>
      </w:tr>
    </w:tbl>
    <w:p w14:paraId="49ECE270" w14:textId="77777777" w:rsidR="000B3265" w:rsidRPr="00F17C31" w:rsidRDefault="000B3265" w:rsidP="000B3265">
      <w:pPr>
        <w:pStyle w:val="a3"/>
        <w:rPr>
          <w:rtl/>
        </w:rPr>
      </w:pPr>
      <w:r w:rsidRPr="00F17C31">
        <w:rPr>
          <w:rFonts w:hint="cs"/>
          <w:rtl/>
        </w:rPr>
        <w:t xml:space="preserve"> </w:t>
      </w:r>
    </w:p>
    <w:p w14:paraId="1FB7B81C" w14:textId="77777777" w:rsidR="000B3265" w:rsidRPr="00F17C31" w:rsidRDefault="000B3265" w:rsidP="000B3265">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B3265" w:rsidRPr="00F17C31" w14:paraId="64193681" w14:textId="77777777">
        <w:trPr>
          <w:trHeight w:val="295"/>
          <w:jc w:val="center"/>
        </w:trPr>
        <w:tc>
          <w:tcPr>
            <w:tcW w:w="923" w:type="dxa"/>
            <w:tcBorders>
              <w:top w:val="nil"/>
              <w:left w:val="nil"/>
              <w:bottom w:val="nil"/>
              <w:right w:val="nil"/>
            </w:tcBorders>
            <w:shd w:val="clear" w:color="auto" w:fill="auto"/>
          </w:tcPr>
          <w:p w14:paraId="661EC058" w14:textId="77777777" w:rsidR="000B3265" w:rsidRPr="00F17C31" w:rsidRDefault="000B3265" w:rsidP="00F17C31">
            <w:pPr>
              <w:spacing w:line="360" w:lineRule="auto"/>
              <w:jc w:val="both"/>
              <w:rPr>
                <w:rFonts w:ascii="Arial" w:hAnsi="Arial" w:cs="FrankRuehl"/>
                <w:b/>
                <w:bCs/>
                <w:sz w:val="28"/>
                <w:szCs w:val="28"/>
              </w:rPr>
            </w:pPr>
            <w:r w:rsidRPr="00F17C31">
              <w:rPr>
                <w:rFonts w:ascii="Arial" w:hAnsi="Arial" w:cs="FrankRuehl" w:hint="cs"/>
                <w:b/>
                <w:bCs/>
                <w:sz w:val="28"/>
                <w:szCs w:val="28"/>
                <w:rtl/>
              </w:rPr>
              <w:t>ב</w:t>
            </w:r>
            <w:r w:rsidRPr="00F17C31">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44C5D652" w14:textId="77777777" w:rsidR="000B3265" w:rsidRPr="00F17C31" w:rsidRDefault="000B3265" w:rsidP="00F17C31">
            <w:pPr>
              <w:spacing w:line="360" w:lineRule="auto"/>
              <w:jc w:val="both"/>
              <w:rPr>
                <w:rFonts w:ascii="Arial" w:hAnsi="Arial"/>
                <w:b/>
                <w:bCs/>
                <w:rtl/>
              </w:rPr>
            </w:pPr>
            <w:r w:rsidRPr="00F17C31">
              <w:rPr>
                <w:rFonts w:ascii="Arial" w:hAnsi="Arial" w:hint="cs"/>
                <w:b/>
                <w:bCs/>
                <w:rtl/>
              </w:rPr>
              <w:t>כבוד ה</w:t>
            </w:r>
            <w:r w:rsidRPr="00F17C31">
              <w:rPr>
                <w:rFonts w:hint="cs"/>
                <w:b/>
                <w:bCs/>
                <w:rtl/>
              </w:rPr>
              <w:t>שופטת - נשיאה</w:t>
            </w:r>
            <w:r w:rsidRPr="00F17C31">
              <w:rPr>
                <w:rFonts w:ascii="Arial" w:hAnsi="Arial" w:hint="cs"/>
                <w:b/>
                <w:bCs/>
                <w:rtl/>
              </w:rPr>
              <w:t xml:space="preserve">  </w:t>
            </w:r>
            <w:r w:rsidRPr="00F17C31">
              <w:rPr>
                <w:rFonts w:hint="cs"/>
                <w:b/>
                <w:bCs/>
                <w:rtl/>
              </w:rPr>
              <w:t>עינת רון</w:t>
            </w:r>
          </w:p>
          <w:p w14:paraId="74BBE645" w14:textId="77777777" w:rsidR="000B3265" w:rsidRPr="00F17C31" w:rsidRDefault="000B3265" w:rsidP="00F17C31">
            <w:pPr>
              <w:spacing w:line="360" w:lineRule="auto"/>
              <w:jc w:val="both"/>
              <w:rPr>
                <w:b/>
                <w:bCs/>
                <w:rtl/>
              </w:rPr>
            </w:pPr>
          </w:p>
          <w:p w14:paraId="677DE724" w14:textId="77777777" w:rsidR="000B3265" w:rsidRPr="00F17C31" w:rsidRDefault="000B3265" w:rsidP="00F17C31">
            <w:pPr>
              <w:spacing w:line="360" w:lineRule="auto"/>
              <w:jc w:val="both"/>
              <w:rPr>
                <w:rFonts w:ascii="Arial" w:hAnsi="Arial" w:cs="FrankRuehl"/>
                <w:b/>
                <w:bCs/>
                <w:sz w:val="28"/>
                <w:szCs w:val="28"/>
              </w:rPr>
            </w:pPr>
          </w:p>
        </w:tc>
      </w:tr>
      <w:tr w:rsidR="000B3265" w:rsidRPr="00F17C31" w14:paraId="0D2A6A8C" w14:textId="77777777">
        <w:trPr>
          <w:trHeight w:val="355"/>
          <w:jc w:val="center"/>
        </w:trPr>
        <w:tc>
          <w:tcPr>
            <w:tcW w:w="923" w:type="dxa"/>
            <w:tcBorders>
              <w:top w:val="nil"/>
              <w:left w:val="nil"/>
              <w:bottom w:val="nil"/>
              <w:right w:val="nil"/>
            </w:tcBorders>
            <w:shd w:val="clear" w:color="auto" w:fill="auto"/>
          </w:tcPr>
          <w:p w14:paraId="364CD851" w14:textId="77777777" w:rsidR="000B3265" w:rsidRPr="00F17C31" w:rsidRDefault="000B3265" w:rsidP="00F17C31">
            <w:pPr>
              <w:spacing w:line="360" w:lineRule="auto"/>
              <w:jc w:val="both"/>
              <w:rPr>
                <w:rFonts w:ascii="Arial" w:hAnsi="Arial" w:cs="FrankRuehl"/>
                <w:b/>
                <w:bCs/>
                <w:sz w:val="28"/>
                <w:szCs w:val="28"/>
              </w:rPr>
            </w:pPr>
            <w:bookmarkStart w:id="0" w:name="FirstAppellant"/>
            <w:bookmarkStart w:id="1" w:name="LastJudge"/>
            <w:bookmarkEnd w:id="1"/>
            <w:r w:rsidRPr="00F17C31">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3D137304" w14:textId="77777777" w:rsidR="000B3265" w:rsidRPr="00F17C31" w:rsidRDefault="000B3265" w:rsidP="00F17C31">
            <w:pPr>
              <w:spacing w:line="360" w:lineRule="auto"/>
              <w:jc w:val="both"/>
              <w:rPr>
                <w:b/>
                <w:bCs/>
              </w:rPr>
            </w:pPr>
            <w:r w:rsidRPr="00F17C31">
              <w:rPr>
                <w:rFonts w:hint="cs"/>
                <w:b/>
                <w:bCs/>
                <w:rtl/>
              </w:rPr>
              <w:t>מדינת ישראל</w:t>
            </w:r>
          </w:p>
        </w:tc>
        <w:tc>
          <w:tcPr>
            <w:tcW w:w="3771" w:type="dxa"/>
            <w:tcBorders>
              <w:top w:val="nil"/>
              <w:left w:val="nil"/>
              <w:bottom w:val="nil"/>
              <w:right w:val="nil"/>
            </w:tcBorders>
            <w:shd w:val="clear" w:color="auto" w:fill="auto"/>
          </w:tcPr>
          <w:p w14:paraId="2E304742" w14:textId="77777777" w:rsidR="000B3265" w:rsidRPr="00F17C31" w:rsidRDefault="000B3265" w:rsidP="00F17C31">
            <w:pPr>
              <w:spacing w:line="360" w:lineRule="auto"/>
              <w:jc w:val="both"/>
              <w:rPr>
                <w:rFonts w:ascii="Arial" w:hAnsi="Arial" w:cs="FrankRuehl"/>
                <w:b/>
                <w:bCs/>
                <w:sz w:val="28"/>
                <w:szCs w:val="28"/>
              </w:rPr>
            </w:pPr>
          </w:p>
        </w:tc>
      </w:tr>
      <w:bookmarkEnd w:id="0"/>
      <w:tr w:rsidR="000B3265" w:rsidRPr="00F17C31" w14:paraId="21E63741" w14:textId="77777777">
        <w:trPr>
          <w:trHeight w:val="355"/>
          <w:jc w:val="center"/>
        </w:trPr>
        <w:tc>
          <w:tcPr>
            <w:tcW w:w="923" w:type="dxa"/>
            <w:tcBorders>
              <w:top w:val="nil"/>
              <w:left w:val="nil"/>
              <w:bottom w:val="nil"/>
              <w:right w:val="nil"/>
            </w:tcBorders>
            <w:shd w:val="clear" w:color="auto" w:fill="auto"/>
          </w:tcPr>
          <w:p w14:paraId="2F463FD9" w14:textId="77777777" w:rsidR="000B3265" w:rsidRPr="00F17C31" w:rsidRDefault="000B3265" w:rsidP="00F17C31">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350C2A25" w14:textId="77777777" w:rsidR="000B3265" w:rsidRPr="00F17C31" w:rsidRDefault="000B3265" w:rsidP="00F17C31">
            <w:pPr>
              <w:spacing w:line="360" w:lineRule="auto"/>
              <w:jc w:val="both"/>
              <w:rPr>
                <w:b/>
                <w:bCs/>
                <w:rtl/>
              </w:rPr>
            </w:pPr>
          </w:p>
        </w:tc>
        <w:tc>
          <w:tcPr>
            <w:tcW w:w="3771" w:type="dxa"/>
            <w:tcBorders>
              <w:top w:val="nil"/>
              <w:left w:val="nil"/>
              <w:bottom w:val="nil"/>
              <w:right w:val="nil"/>
            </w:tcBorders>
            <w:shd w:val="clear" w:color="auto" w:fill="auto"/>
          </w:tcPr>
          <w:p w14:paraId="2EB99DC4" w14:textId="77777777" w:rsidR="000B3265" w:rsidRPr="00F17C31" w:rsidRDefault="000B3265" w:rsidP="00F17C31">
            <w:pPr>
              <w:spacing w:line="360" w:lineRule="auto"/>
              <w:jc w:val="both"/>
              <w:rPr>
                <w:rFonts w:ascii="Arial" w:hAnsi="Arial" w:cs="FrankRuehl"/>
                <w:b/>
                <w:bCs/>
                <w:sz w:val="28"/>
                <w:szCs w:val="28"/>
                <w:rtl/>
              </w:rPr>
            </w:pPr>
            <w:r w:rsidRPr="00F17C31">
              <w:rPr>
                <w:rFonts w:ascii="Arial" w:hAnsi="Arial" w:cs="FrankRuehl" w:hint="cs"/>
                <w:b/>
                <w:bCs/>
                <w:sz w:val="28"/>
                <w:szCs w:val="28"/>
                <w:rtl/>
              </w:rPr>
              <w:t>ה</w:t>
            </w:r>
            <w:r w:rsidRPr="00F17C31">
              <w:rPr>
                <w:rFonts w:hint="cs"/>
                <w:b/>
                <w:bCs/>
                <w:rtl/>
              </w:rPr>
              <w:t>מאשימה</w:t>
            </w:r>
          </w:p>
        </w:tc>
      </w:tr>
      <w:tr w:rsidR="000B3265" w:rsidRPr="00F17C31" w14:paraId="4CFB8ABC" w14:textId="77777777">
        <w:trPr>
          <w:trHeight w:val="355"/>
          <w:jc w:val="center"/>
        </w:trPr>
        <w:tc>
          <w:tcPr>
            <w:tcW w:w="923" w:type="dxa"/>
            <w:tcBorders>
              <w:top w:val="nil"/>
              <w:left w:val="nil"/>
              <w:bottom w:val="nil"/>
              <w:right w:val="nil"/>
            </w:tcBorders>
            <w:shd w:val="clear" w:color="auto" w:fill="auto"/>
          </w:tcPr>
          <w:p w14:paraId="17E2844B" w14:textId="77777777" w:rsidR="000B3265" w:rsidRPr="00F17C31" w:rsidRDefault="000B3265" w:rsidP="00F17C31">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67F9F641" w14:textId="77777777" w:rsidR="000B3265" w:rsidRPr="00F17C31" w:rsidRDefault="000B3265" w:rsidP="00F17C31">
            <w:pPr>
              <w:spacing w:line="360" w:lineRule="auto"/>
              <w:jc w:val="both"/>
              <w:rPr>
                <w:rFonts w:ascii="Arial" w:hAnsi="Arial" w:cs="FrankRuehl"/>
                <w:b/>
                <w:bCs/>
                <w:sz w:val="28"/>
                <w:szCs w:val="28"/>
                <w:rtl/>
              </w:rPr>
            </w:pPr>
          </w:p>
          <w:p w14:paraId="7B69009D" w14:textId="77777777" w:rsidR="000B3265" w:rsidRPr="00F17C31" w:rsidRDefault="000B3265" w:rsidP="00F17C31">
            <w:pPr>
              <w:spacing w:line="360" w:lineRule="auto"/>
              <w:jc w:val="both"/>
              <w:rPr>
                <w:rFonts w:ascii="Arial" w:hAnsi="Arial" w:cs="FrankRuehl"/>
                <w:b/>
                <w:bCs/>
                <w:sz w:val="28"/>
                <w:szCs w:val="28"/>
                <w:rtl/>
              </w:rPr>
            </w:pPr>
            <w:r w:rsidRPr="00F17C31">
              <w:rPr>
                <w:rFonts w:ascii="Arial" w:hAnsi="Arial" w:cs="FrankRuehl"/>
                <w:b/>
                <w:bCs/>
                <w:sz w:val="28"/>
                <w:szCs w:val="28"/>
                <w:rtl/>
              </w:rPr>
              <w:t>נגד</w:t>
            </w:r>
          </w:p>
          <w:p w14:paraId="0649818C" w14:textId="77777777" w:rsidR="000B3265" w:rsidRPr="00F17C31" w:rsidRDefault="000B3265" w:rsidP="00F17C31">
            <w:pPr>
              <w:spacing w:line="360" w:lineRule="auto"/>
              <w:jc w:val="both"/>
              <w:rPr>
                <w:rFonts w:ascii="Arial" w:hAnsi="Arial" w:cs="FrankRuehl"/>
                <w:b/>
                <w:bCs/>
                <w:sz w:val="28"/>
                <w:szCs w:val="28"/>
              </w:rPr>
            </w:pPr>
          </w:p>
        </w:tc>
      </w:tr>
      <w:tr w:rsidR="000B3265" w:rsidRPr="00F17C31" w14:paraId="1F79EEF6" w14:textId="77777777">
        <w:trPr>
          <w:trHeight w:val="355"/>
          <w:jc w:val="center"/>
        </w:trPr>
        <w:tc>
          <w:tcPr>
            <w:tcW w:w="923" w:type="dxa"/>
            <w:tcBorders>
              <w:top w:val="nil"/>
              <w:left w:val="nil"/>
              <w:bottom w:val="nil"/>
              <w:right w:val="nil"/>
            </w:tcBorders>
            <w:shd w:val="clear" w:color="auto" w:fill="auto"/>
          </w:tcPr>
          <w:p w14:paraId="690634F2" w14:textId="77777777" w:rsidR="000B3265" w:rsidRPr="00F17C31" w:rsidRDefault="000B3265" w:rsidP="00F17C31">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2E2A2246" w14:textId="77777777" w:rsidR="000B3265" w:rsidRPr="00F17C31" w:rsidRDefault="00DB7F6B" w:rsidP="00F17C31">
            <w:pPr>
              <w:spacing w:line="360" w:lineRule="auto"/>
              <w:jc w:val="both"/>
              <w:rPr>
                <w:b/>
                <w:bCs/>
                <w:rtl/>
              </w:rPr>
            </w:pPr>
            <w:r>
              <w:rPr>
                <w:rFonts w:hint="cs"/>
                <w:b/>
                <w:bCs/>
                <w:rtl/>
              </w:rPr>
              <w:t>פלוני</w:t>
            </w:r>
          </w:p>
        </w:tc>
        <w:tc>
          <w:tcPr>
            <w:tcW w:w="3771" w:type="dxa"/>
            <w:tcBorders>
              <w:top w:val="nil"/>
              <w:left w:val="nil"/>
              <w:bottom w:val="nil"/>
              <w:right w:val="nil"/>
            </w:tcBorders>
            <w:shd w:val="clear" w:color="auto" w:fill="auto"/>
          </w:tcPr>
          <w:p w14:paraId="2171A2A9" w14:textId="77777777" w:rsidR="000B3265" w:rsidRPr="00F17C31" w:rsidRDefault="000B3265" w:rsidP="00F17C31">
            <w:pPr>
              <w:spacing w:line="360" w:lineRule="auto"/>
              <w:jc w:val="both"/>
              <w:rPr>
                <w:rFonts w:ascii="Arial" w:hAnsi="Arial" w:cs="FrankRuehl"/>
                <w:b/>
                <w:bCs/>
                <w:sz w:val="28"/>
                <w:szCs w:val="28"/>
              </w:rPr>
            </w:pPr>
          </w:p>
        </w:tc>
      </w:tr>
      <w:tr w:rsidR="000B3265" w:rsidRPr="00F17C31" w14:paraId="2DCCC721" w14:textId="77777777">
        <w:trPr>
          <w:trHeight w:val="355"/>
          <w:jc w:val="center"/>
        </w:trPr>
        <w:tc>
          <w:tcPr>
            <w:tcW w:w="923" w:type="dxa"/>
            <w:tcBorders>
              <w:top w:val="nil"/>
              <w:left w:val="nil"/>
              <w:bottom w:val="nil"/>
              <w:right w:val="nil"/>
            </w:tcBorders>
            <w:shd w:val="clear" w:color="auto" w:fill="auto"/>
          </w:tcPr>
          <w:p w14:paraId="23D1045F" w14:textId="77777777" w:rsidR="000B3265" w:rsidRPr="00F17C31" w:rsidRDefault="000B3265" w:rsidP="00F17C31">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24A18269" w14:textId="77777777" w:rsidR="000B3265" w:rsidRPr="00F17C31" w:rsidRDefault="000B3265" w:rsidP="00F17C31">
            <w:pPr>
              <w:spacing w:line="360" w:lineRule="auto"/>
              <w:jc w:val="both"/>
              <w:rPr>
                <w:b/>
                <w:bCs/>
                <w:rtl/>
              </w:rPr>
            </w:pPr>
          </w:p>
        </w:tc>
        <w:tc>
          <w:tcPr>
            <w:tcW w:w="3771" w:type="dxa"/>
            <w:tcBorders>
              <w:top w:val="nil"/>
              <w:left w:val="nil"/>
              <w:bottom w:val="nil"/>
              <w:right w:val="nil"/>
            </w:tcBorders>
            <w:shd w:val="clear" w:color="auto" w:fill="auto"/>
          </w:tcPr>
          <w:p w14:paraId="6314BE13" w14:textId="77777777" w:rsidR="000B3265" w:rsidRPr="00F17C31" w:rsidRDefault="000B3265" w:rsidP="00F17C31">
            <w:pPr>
              <w:spacing w:line="360" w:lineRule="auto"/>
              <w:jc w:val="both"/>
              <w:rPr>
                <w:rFonts w:ascii="Arial" w:hAnsi="Arial" w:cs="FrankRuehl"/>
                <w:b/>
                <w:bCs/>
                <w:sz w:val="28"/>
                <w:szCs w:val="28"/>
              </w:rPr>
            </w:pPr>
            <w:r w:rsidRPr="00F17C31">
              <w:rPr>
                <w:rFonts w:ascii="Arial" w:hAnsi="Arial" w:cs="FrankRuehl" w:hint="cs"/>
                <w:b/>
                <w:bCs/>
                <w:sz w:val="28"/>
                <w:szCs w:val="28"/>
                <w:rtl/>
              </w:rPr>
              <w:t>ה</w:t>
            </w:r>
            <w:r w:rsidRPr="00F17C31">
              <w:rPr>
                <w:rFonts w:hint="cs"/>
                <w:b/>
                <w:bCs/>
                <w:rtl/>
              </w:rPr>
              <w:t>נאשם</w:t>
            </w:r>
          </w:p>
        </w:tc>
      </w:tr>
    </w:tbl>
    <w:p w14:paraId="240009DE" w14:textId="77777777" w:rsidR="000B3265" w:rsidRPr="00F17C31" w:rsidRDefault="000B3265" w:rsidP="000B3265">
      <w:pPr>
        <w:spacing w:line="360" w:lineRule="auto"/>
        <w:jc w:val="both"/>
        <w:rPr>
          <w:b/>
          <w:bCs/>
          <w:rtl/>
        </w:rPr>
      </w:pPr>
    </w:p>
    <w:p w14:paraId="30874B10" w14:textId="77777777" w:rsidR="000B3265" w:rsidRPr="00F17C31" w:rsidRDefault="000B3265" w:rsidP="000B3265">
      <w:pPr>
        <w:spacing w:line="360" w:lineRule="auto"/>
        <w:jc w:val="both"/>
        <w:rPr>
          <w:b/>
          <w:bCs/>
          <w:rtl/>
        </w:rPr>
      </w:pPr>
      <w:r w:rsidRPr="00F17C31">
        <w:rPr>
          <w:rFonts w:hint="cs"/>
          <w:b/>
          <w:bCs/>
          <w:rtl/>
        </w:rPr>
        <w:t>נוכחים:</w:t>
      </w:r>
    </w:p>
    <w:p w14:paraId="51576E3E" w14:textId="77777777" w:rsidR="000B3265" w:rsidRPr="00F17C31" w:rsidRDefault="000B3265" w:rsidP="000B3265">
      <w:pPr>
        <w:spacing w:line="360" w:lineRule="auto"/>
        <w:jc w:val="both"/>
        <w:rPr>
          <w:b/>
          <w:bCs/>
          <w:rtl/>
        </w:rPr>
      </w:pPr>
      <w:bookmarkStart w:id="2" w:name="FirstLawyer"/>
      <w:r w:rsidRPr="00F17C31">
        <w:rPr>
          <w:rFonts w:hint="cs"/>
          <w:b/>
          <w:bCs/>
          <w:rtl/>
        </w:rPr>
        <w:t>ב"כ</w:t>
      </w:r>
      <w:bookmarkEnd w:id="2"/>
      <w:r w:rsidRPr="00F17C31">
        <w:rPr>
          <w:rFonts w:hint="cs"/>
          <w:b/>
          <w:bCs/>
          <w:rtl/>
        </w:rPr>
        <w:t xml:space="preserve"> המאשימה עו"ד שרית כץ</w:t>
      </w:r>
    </w:p>
    <w:p w14:paraId="222D1AAA" w14:textId="77777777" w:rsidR="000B3265" w:rsidRPr="00F17C31" w:rsidRDefault="000B3265" w:rsidP="000B3265">
      <w:pPr>
        <w:spacing w:line="360" w:lineRule="auto"/>
        <w:jc w:val="both"/>
        <w:rPr>
          <w:b/>
          <w:bCs/>
          <w:rtl/>
        </w:rPr>
      </w:pPr>
      <w:r w:rsidRPr="00F17C31">
        <w:rPr>
          <w:rFonts w:hint="cs"/>
          <w:b/>
          <w:bCs/>
          <w:rtl/>
        </w:rPr>
        <w:t>ב"כ הנאשם עו"ד דמיטרי ברנשטיין</w:t>
      </w:r>
    </w:p>
    <w:p w14:paraId="3764B2F1" w14:textId="77777777" w:rsidR="008D673B" w:rsidRDefault="000B3265" w:rsidP="000B3265">
      <w:pPr>
        <w:spacing w:line="360" w:lineRule="auto"/>
        <w:jc w:val="both"/>
        <w:rPr>
          <w:rtl/>
        </w:rPr>
      </w:pPr>
      <w:r w:rsidRPr="00F17C31">
        <w:rPr>
          <w:rFonts w:hint="cs"/>
          <w:b/>
          <w:bCs/>
          <w:rtl/>
        </w:rPr>
        <w:t>הנאשם בעצמו</w:t>
      </w:r>
      <w:bookmarkStart w:id="3" w:name="LawTable"/>
      <w:bookmarkEnd w:id="3"/>
    </w:p>
    <w:p w14:paraId="2D319075" w14:textId="77777777" w:rsidR="008D673B" w:rsidRPr="008D673B" w:rsidRDefault="008D673B" w:rsidP="008D673B">
      <w:pPr>
        <w:spacing w:after="120" w:line="240" w:lineRule="exact"/>
        <w:ind w:left="283" w:hanging="283"/>
        <w:jc w:val="both"/>
        <w:rPr>
          <w:rFonts w:ascii="FrankRuehl" w:hAnsi="FrankRuehl" w:cs="FrankRuehl"/>
          <w:rtl/>
        </w:rPr>
      </w:pPr>
    </w:p>
    <w:p w14:paraId="617FA83A" w14:textId="77777777" w:rsidR="008D673B" w:rsidRPr="008D673B" w:rsidRDefault="008D673B" w:rsidP="008D673B">
      <w:pPr>
        <w:spacing w:after="120" w:line="240" w:lineRule="exact"/>
        <w:ind w:left="283" w:hanging="283"/>
        <w:jc w:val="both"/>
        <w:rPr>
          <w:rFonts w:ascii="FrankRuehl" w:hAnsi="FrankRuehl" w:cs="FrankRuehl"/>
          <w:rtl/>
        </w:rPr>
      </w:pPr>
      <w:r w:rsidRPr="008D673B">
        <w:rPr>
          <w:rFonts w:ascii="FrankRuehl" w:hAnsi="FrankRuehl" w:cs="FrankRuehl"/>
          <w:rtl/>
        </w:rPr>
        <w:t xml:space="preserve">חקיקה שאוזכרה: </w:t>
      </w:r>
    </w:p>
    <w:p w14:paraId="79659D19" w14:textId="77777777" w:rsidR="008D673B" w:rsidRPr="008D673B" w:rsidRDefault="008D673B" w:rsidP="008D673B">
      <w:pPr>
        <w:spacing w:after="120" w:line="240" w:lineRule="exact"/>
        <w:ind w:left="283" w:hanging="283"/>
        <w:jc w:val="both"/>
        <w:rPr>
          <w:rFonts w:ascii="FrankRuehl" w:hAnsi="FrankRuehl" w:cs="FrankRuehl"/>
          <w:rtl/>
        </w:rPr>
      </w:pPr>
      <w:hyperlink r:id="rId6" w:history="1">
        <w:r w:rsidRPr="008D673B">
          <w:rPr>
            <w:rFonts w:ascii="FrankRuehl" w:hAnsi="FrankRuehl" w:cs="FrankRuehl"/>
            <w:color w:val="0000FF"/>
            <w:u w:val="single"/>
            <w:rtl/>
          </w:rPr>
          <w:t>פקודת הסמים המסוכנים [נוסח חדש], תשל"ג-1973</w:t>
        </w:r>
      </w:hyperlink>
    </w:p>
    <w:p w14:paraId="4A48B4BA" w14:textId="77777777" w:rsidR="008D673B" w:rsidRPr="008D673B" w:rsidRDefault="008D673B" w:rsidP="008D673B">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B3265" w:rsidRPr="0067583B" w14:paraId="25FC3BE3" w14:textId="77777777">
        <w:trPr>
          <w:trHeight w:val="355"/>
          <w:jc w:val="center"/>
        </w:trPr>
        <w:tc>
          <w:tcPr>
            <w:tcW w:w="8820" w:type="dxa"/>
            <w:tcBorders>
              <w:top w:val="nil"/>
              <w:left w:val="nil"/>
              <w:bottom w:val="nil"/>
              <w:right w:val="nil"/>
            </w:tcBorders>
            <w:shd w:val="clear" w:color="auto" w:fill="auto"/>
          </w:tcPr>
          <w:p w14:paraId="624A2C18" w14:textId="77777777" w:rsidR="00F17C31" w:rsidRPr="00F17C31" w:rsidRDefault="00F17C31" w:rsidP="00F17C31">
            <w:pPr>
              <w:spacing w:line="360" w:lineRule="auto"/>
              <w:jc w:val="center"/>
              <w:rPr>
                <w:rFonts w:ascii="Arial" w:hAnsi="Arial" w:cs="FrankRuehl"/>
                <w:b/>
                <w:bCs/>
                <w:sz w:val="32"/>
                <w:szCs w:val="32"/>
                <w:u w:val="single"/>
                <w:rtl/>
              </w:rPr>
            </w:pPr>
            <w:bookmarkStart w:id="4" w:name="LawTable_End"/>
            <w:bookmarkStart w:id="5" w:name="PsakDin" w:colFirst="0" w:colLast="0"/>
            <w:bookmarkEnd w:id="4"/>
            <w:r w:rsidRPr="00F17C31">
              <w:rPr>
                <w:rFonts w:ascii="Arial" w:hAnsi="Arial" w:cs="FrankRuehl"/>
                <w:b/>
                <w:bCs/>
                <w:sz w:val="32"/>
                <w:szCs w:val="32"/>
                <w:u w:val="single"/>
                <w:rtl/>
              </w:rPr>
              <w:t>גזר דין</w:t>
            </w:r>
          </w:p>
          <w:p w14:paraId="528A7D78" w14:textId="77777777" w:rsidR="000B3265" w:rsidRPr="00F17C31" w:rsidRDefault="000B3265" w:rsidP="00F17C31">
            <w:pPr>
              <w:spacing w:line="360" w:lineRule="auto"/>
              <w:jc w:val="center"/>
              <w:rPr>
                <w:rFonts w:ascii="Arial" w:hAnsi="Arial" w:cs="FrankRuehl"/>
                <w:b/>
                <w:bCs/>
                <w:sz w:val="32"/>
                <w:szCs w:val="32"/>
                <w:u w:val="single"/>
                <w:rtl/>
              </w:rPr>
            </w:pPr>
          </w:p>
        </w:tc>
      </w:tr>
      <w:bookmarkEnd w:id="5"/>
    </w:tbl>
    <w:p w14:paraId="58923E64" w14:textId="77777777" w:rsidR="000B3265" w:rsidRPr="0067583B" w:rsidRDefault="000B3265" w:rsidP="000B3265">
      <w:pPr>
        <w:spacing w:line="360" w:lineRule="auto"/>
        <w:jc w:val="both"/>
        <w:rPr>
          <w:rFonts w:ascii="Arial" w:hAnsi="Arial"/>
          <w:b/>
          <w:bCs/>
          <w:rtl/>
        </w:rPr>
      </w:pPr>
    </w:p>
    <w:p w14:paraId="7D7074BD" w14:textId="77777777" w:rsidR="000B3265" w:rsidRPr="0067583B" w:rsidRDefault="000B3265" w:rsidP="000B3265">
      <w:pPr>
        <w:spacing w:line="360" w:lineRule="auto"/>
        <w:jc w:val="both"/>
        <w:rPr>
          <w:b/>
          <w:bCs/>
          <w:rtl/>
        </w:rPr>
      </w:pPr>
    </w:p>
    <w:p w14:paraId="5E3B84DF" w14:textId="77777777" w:rsidR="000B3265" w:rsidRPr="0067583B" w:rsidRDefault="000B3265" w:rsidP="000B3265">
      <w:pPr>
        <w:spacing w:line="360" w:lineRule="auto"/>
        <w:jc w:val="both"/>
        <w:rPr>
          <w:b/>
          <w:bCs/>
          <w:rtl/>
        </w:rPr>
      </w:pPr>
      <w:bookmarkStart w:id="6" w:name="ABSTRACT_START"/>
      <w:bookmarkEnd w:id="6"/>
      <w:r w:rsidRPr="0067583B">
        <w:rPr>
          <w:rFonts w:hint="cs"/>
          <w:b/>
          <w:bCs/>
          <w:rtl/>
        </w:rPr>
        <w:t>על פי הודאתו הורשע הנאשם בשלוש עבירות של תקיפת בת זוג, 2 עבירות של איומים ואחזקת סמים לצריכה עצמית.</w:t>
      </w:r>
    </w:p>
    <w:p w14:paraId="2C6555ED" w14:textId="77777777" w:rsidR="000B3265" w:rsidRPr="0067583B" w:rsidRDefault="000B3265" w:rsidP="000B3265">
      <w:pPr>
        <w:spacing w:line="360" w:lineRule="auto"/>
        <w:jc w:val="both"/>
        <w:rPr>
          <w:b/>
          <w:bCs/>
          <w:rtl/>
        </w:rPr>
      </w:pPr>
      <w:bookmarkStart w:id="7" w:name="ABSTRACT_END"/>
      <w:bookmarkEnd w:id="7"/>
      <w:r w:rsidRPr="0067583B">
        <w:rPr>
          <w:rFonts w:hint="cs"/>
          <w:b/>
          <w:bCs/>
          <w:rtl/>
        </w:rPr>
        <w:t xml:space="preserve">ביום 22.9.2014, התגלע ויכוח בין הנאשם למתלוננת, היא בת זוגו, עמה יש לו 3 ילדים משותפים, וזאת בעקבות כעסו של הנאשם כי המתלוננת לא העירה אותו לעבודתו. </w:t>
      </w:r>
    </w:p>
    <w:p w14:paraId="469E22B0" w14:textId="77777777" w:rsidR="000B3265" w:rsidRPr="0067583B" w:rsidRDefault="000B3265" w:rsidP="000B3265">
      <w:pPr>
        <w:spacing w:line="360" w:lineRule="auto"/>
        <w:jc w:val="both"/>
        <w:rPr>
          <w:b/>
          <w:bCs/>
          <w:rtl/>
        </w:rPr>
      </w:pPr>
      <w:r w:rsidRPr="0067583B">
        <w:rPr>
          <w:rFonts w:hint="cs"/>
          <w:b/>
          <w:bCs/>
          <w:rtl/>
        </w:rPr>
        <w:lastRenderedPageBreak/>
        <w:t>במהלך הוויכוח, קילל הנאשם את המתלוננת, הניף את ידו בעודו אוחז בחולצה לעברה של המתלוננת ופגע בה בחולצה, בתגובה לכך השליכה המתלוננת לעברו מסרק ובקבוק. לאחר מכן תקף הנאשם את המתלוננת, בנכוחות ילדם הפעוט, בכך שאחז בכתפיה ונער אותה, אחז בצווארה בשתי ידיו וניער אותה כשהוא מאיים שהוא יחנוק אותה ויוציא לה את הגרוגרת. כמו כן, איים עליה באומרו לה כי תמות, כי זה הסוף שלה וכי הוא יעשה ממנה אבק.</w:t>
      </w:r>
    </w:p>
    <w:p w14:paraId="3BA59F9E" w14:textId="77777777" w:rsidR="000B3265" w:rsidRPr="0067583B" w:rsidRDefault="000B3265" w:rsidP="000B3265">
      <w:pPr>
        <w:spacing w:line="360" w:lineRule="auto"/>
        <w:jc w:val="both"/>
        <w:rPr>
          <w:b/>
          <w:bCs/>
          <w:rtl/>
        </w:rPr>
      </w:pPr>
      <w:r w:rsidRPr="0067583B">
        <w:rPr>
          <w:rFonts w:hint="cs"/>
          <w:b/>
          <w:bCs/>
          <w:rtl/>
        </w:rPr>
        <w:t xml:space="preserve">במהלך ניסיון ההתגוננות של המתלוננת מפניו, היא שרטה אותו בכף ידו, בלחיו, בבטן ובחזה. </w:t>
      </w:r>
    </w:p>
    <w:p w14:paraId="5BE93688" w14:textId="77777777" w:rsidR="000B3265" w:rsidRPr="0067583B" w:rsidRDefault="000B3265" w:rsidP="000B3265">
      <w:pPr>
        <w:spacing w:line="360" w:lineRule="auto"/>
        <w:jc w:val="both"/>
        <w:rPr>
          <w:b/>
          <w:bCs/>
          <w:rtl/>
        </w:rPr>
      </w:pPr>
      <w:r w:rsidRPr="0067583B">
        <w:rPr>
          <w:rFonts w:hint="cs"/>
          <w:b/>
          <w:bCs/>
          <w:rtl/>
        </w:rPr>
        <w:t xml:space="preserve">באותן נסיבות, התקשרה המתלוננת למשטרה ואף בתם של בני הזוג שוחחה עם המשטרה. </w:t>
      </w:r>
    </w:p>
    <w:p w14:paraId="1CDDD9D9" w14:textId="77777777" w:rsidR="000B3265" w:rsidRPr="0067583B" w:rsidRDefault="000B3265" w:rsidP="000B3265">
      <w:pPr>
        <w:spacing w:line="360" w:lineRule="auto"/>
        <w:jc w:val="both"/>
        <w:rPr>
          <w:b/>
          <w:bCs/>
          <w:rtl/>
        </w:rPr>
      </w:pPr>
      <w:r w:rsidRPr="0067583B">
        <w:rPr>
          <w:rFonts w:hint="cs"/>
          <w:b/>
          <w:bCs/>
          <w:rtl/>
        </w:rPr>
        <w:t xml:space="preserve">לאחר זמן קצר, הגיע לבית שוטר אשר מצא בבית סם מסוכן מסוג חשיש, במשקל </w:t>
      </w:r>
      <w:smartTag w:uri="urn:schemas-microsoft-com:office:smarttags" w:element="metricconverter">
        <w:smartTagPr>
          <w:attr w:name="ProductID" w:val="0.35 גרם"/>
        </w:smartTagPr>
        <w:r w:rsidRPr="0067583B">
          <w:rPr>
            <w:rFonts w:hint="cs"/>
            <w:b/>
            <w:bCs/>
            <w:rtl/>
          </w:rPr>
          <w:t>0.35 גרם</w:t>
        </w:r>
      </w:smartTag>
      <w:r w:rsidRPr="0067583B">
        <w:rPr>
          <w:rFonts w:hint="cs"/>
          <w:b/>
          <w:bCs/>
          <w:rtl/>
        </w:rPr>
        <w:t xml:space="preserve"> השייך לנאשם. </w:t>
      </w:r>
    </w:p>
    <w:p w14:paraId="05FB1687" w14:textId="77777777" w:rsidR="000B3265" w:rsidRPr="0067583B" w:rsidRDefault="000B3265" w:rsidP="000B3265">
      <w:pPr>
        <w:spacing w:line="360" w:lineRule="auto"/>
        <w:jc w:val="both"/>
        <w:rPr>
          <w:b/>
          <w:bCs/>
          <w:rtl/>
        </w:rPr>
      </w:pPr>
      <w:r w:rsidRPr="0067583B">
        <w:rPr>
          <w:rFonts w:hint="cs"/>
          <w:b/>
          <w:bCs/>
          <w:rtl/>
        </w:rPr>
        <w:t xml:space="preserve">ביום 31.12.12 התגלע ויכוח בין הנאשם למתלוננת, במהלכו צעק הנאשם על המתלוננת, אחז בכתפייה, ניער אותה וניסה לחנוק אותה. בעקבות כך נמלטה המתלוננת מן הבית. </w:t>
      </w:r>
    </w:p>
    <w:p w14:paraId="0C9BF178" w14:textId="77777777" w:rsidR="000B3265" w:rsidRPr="0067583B" w:rsidRDefault="000B3265" w:rsidP="000B3265">
      <w:pPr>
        <w:spacing w:line="360" w:lineRule="auto"/>
        <w:jc w:val="both"/>
        <w:rPr>
          <w:b/>
          <w:bCs/>
          <w:rtl/>
        </w:rPr>
      </w:pPr>
      <w:r w:rsidRPr="0067583B">
        <w:rPr>
          <w:rFonts w:hint="cs"/>
          <w:b/>
          <w:bCs/>
          <w:rtl/>
        </w:rPr>
        <w:t>ביום 13.9.13, בהיותם בביתם, תקף הנאשם את המתלוננת בכך שבעט ברגליה ובבטנה.</w:t>
      </w:r>
    </w:p>
    <w:p w14:paraId="558B3374" w14:textId="77777777" w:rsidR="000B3265" w:rsidRPr="0067583B" w:rsidRDefault="000B3265" w:rsidP="000B3265">
      <w:pPr>
        <w:spacing w:line="360" w:lineRule="auto"/>
        <w:jc w:val="both"/>
        <w:rPr>
          <w:b/>
          <w:bCs/>
          <w:rtl/>
        </w:rPr>
      </w:pPr>
    </w:p>
    <w:p w14:paraId="5841BF15" w14:textId="77777777" w:rsidR="000B3265" w:rsidRPr="0067583B" w:rsidRDefault="000B3265" w:rsidP="000B3265">
      <w:pPr>
        <w:spacing w:line="360" w:lineRule="auto"/>
        <w:jc w:val="both"/>
        <w:rPr>
          <w:b/>
          <w:bCs/>
          <w:rtl/>
        </w:rPr>
      </w:pPr>
      <w:r w:rsidRPr="0067583B">
        <w:rPr>
          <w:rFonts w:hint="cs"/>
          <w:b/>
          <w:bCs/>
          <w:rtl/>
        </w:rPr>
        <w:t xml:space="preserve">במועד כלשהו בשנת 2013 התגלע ויכוח בין הנאשם לבין  המתלוננת, בשל יציאתה של המתלוננת לבילוי עם חברותיה. הנאשם התקשר לחברתה של המתלוננת וביקש לברר בצעקות האם המתלוננת יצאה עמה וכן איים על החברה באומרו לה כי יראה למתלוננת "מה זה" וכי המתלוננת תצטער על כך. </w:t>
      </w:r>
    </w:p>
    <w:p w14:paraId="6D4C6F94" w14:textId="77777777" w:rsidR="000B3265" w:rsidRPr="0067583B" w:rsidRDefault="000B3265" w:rsidP="000B3265">
      <w:pPr>
        <w:spacing w:line="360" w:lineRule="auto"/>
        <w:jc w:val="both"/>
        <w:rPr>
          <w:b/>
          <w:bCs/>
          <w:rtl/>
        </w:rPr>
      </w:pPr>
      <w:r w:rsidRPr="0067583B">
        <w:rPr>
          <w:rFonts w:hint="cs"/>
          <w:b/>
          <w:bCs/>
          <w:rtl/>
        </w:rPr>
        <w:t xml:space="preserve">הוא הוסיף וקילל את המתלוננת ואיים כי הוא יראה לה מה זה. בהמשך הדברים נטל הנאשם את מכשיר הטלפון של המתלוננת והשליך אותו לעבר הקיר. </w:t>
      </w:r>
    </w:p>
    <w:p w14:paraId="286170A3" w14:textId="77777777" w:rsidR="000B3265" w:rsidRPr="0067583B" w:rsidRDefault="000B3265" w:rsidP="000B3265">
      <w:pPr>
        <w:spacing w:line="360" w:lineRule="auto"/>
        <w:jc w:val="both"/>
        <w:rPr>
          <w:b/>
          <w:bCs/>
          <w:rtl/>
        </w:rPr>
      </w:pPr>
    </w:p>
    <w:p w14:paraId="3D2AD809" w14:textId="77777777" w:rsidR="000B3265" w:rsidRPr="0067583B" w:rsidRDefault="000B3265" w:rsidP="000B3265">
      <w:pPr>
        <w:spacing w:line="360" w:lineRule="auto"/>
        <w:jc w:val="both"/>
        <w:rPr>
          <w:b/>
          <w:bCs/>
          <w:rtl/>
        </w:rPr>
      </w:pPr>
      <w:r w:rsidRPr="0067583B">
        <w:rPr>
          <w:rFonts w:hint="cs"/>
          <w:b/>
          <w:bCs/>
          <w:rtl/>
        </w:rPr>
        <w:t>התביעה הדגישה את הערכים המוגנים בהם פגע הנאשם, והם הגנה על שלמות גופו ורכושו של אדם, הגנה על זכותו של הפרט כי לא יופנה כלפיו מלל מאיים, והגנה על הציבור מפני נגע הסמים.</w:t>
      </w:r>
    </w:p>
    <w:p w14:paraId="2FAE9B4D" w14:textId="77777777" w:rsidR="000B3265" w:rsidRPr="0067583B" w:rsidRDefault="000B3265" w:rsidP="000B3265">
      <w:pPr>
        <w:spacing w:line="360" w:lineRule="auto"/>
        <w:jc w:val="both"/>
        <w:rPr>
          <w:b/>
          <w:bCs/>
          <w:rtl/>
        </w:rPr>
      </w:pPr>
      <w:r w:rsidRPr="0067583B">
        <w:rPr>
          <w:rFonts w:hint="cs"/>
          <w:b/>
          <w:bCs/>
          <w:rtl/>
        </w:rPr>
        <w:t>התביעה הביאה מפסיקותיו של בימ"ש עליון באשר לערכים מוגנים אלה, וציינה כי מידת הפגיעה של הנאשם בערכים אלה משמעותית. כי מדובר במספר הזדמנויות לאורך זמן, וכי מדובר באיומים קשים ובקנאה אובססיבית. התביעה עתרה למתחם ענישה נפרד לכל פרט אישום, כדלקמן:</w:t>
      </w:r>
    </w:p>
    <w:p w14:paraId="58889E21" w14:textId="77777777" w:rsidR="000B3265" w:rsidRPr="0067583B" w:rsidRDefault="000B3265" w:rsidP="000B3265">
      <w:pPr>
        <w:spacing w:line="360" w:lineRule="auto"/>
        <w:jc w:val="both"/>
        <w:rPr>
          <w:b/>
          <w:bCs/>
          <w:rtl/>
        </w:rPr>
      </w:pPr>
      <w:r w:rsidRPr="0067583B">
        <w:rPr>
          <w:rFonts w:hint="cs"/>
          <w:b/>
          <w:bCs/>
          <w:rtl/>
        </w:rPr>
        <w:t>פרט אישום ראשון ממספר חודשי מאסר ועד 12 חודשי מאסר.</w:t>
      </w:r>
    </w:p>
    <w:p w14:paraId="0C274AEF" w14:textId="77777777" w:rsidR="000B3265" w:rsidRPr="0067583B" w:rsidRDefault="000B3265" w:rsidP="000B3265">
      <w:pPr>
        <w:spacing w:line="360" w:lineRule="auto"/>
        <w:jc w:val="both"/>
        <w:rPr>
          <w:b/>
          <w:bCs/>
          <w:rtl/>
        </w:rPr>
      </w:pPr>
      <w:r w:rsidRPr="0067583B">
        <w:rPr>
          <w:rFonts w:hint="cs"/>
          <w:b/>
          <w:bCs/>
          <w:rtl/>
        </w:rPr>
        <w:t>פרט אישום שני ממספר חודשי מאסר ועד 10 חודשי מאסר.</w:t>
      </w:r>
    </w:p>
    <w:p w14:paraId="5A72585D" w14:textId="77777777" w:rsidR="000B3265" w:rsidRPr="0067583B" w:rsidRDefault="000B3265" w:rsidP="000B3265">
      <w:pPr>
        <w:spacing w:line="360" w:lineRule="auto"/>
        <w:jc w:val="both"/>
        <w:rPr>
          <w:b/>
          <w:bCs/>
          <w:rtl/>
        </w:rPr>
      </w:pPr>
      <w:r w:rsidRPr="0067583B">
        <w:rPr>
          <w:rFonts w:hint="cs"/>
          <w:b/>
          <w:bCs/>
          <w:rtl/>
        </w:rPr>
        <w:t>פרט אישום שלישי, ממספר חודשי מאסר שיכול וירוצו בעבודות שירות ועד 8 חודשי מאסר.</w:t>
      </w:r>
    </w:p>
    <w:p w14:paraId="6FB4C1B2" w14:textId="77777777" w:rsidR="000B3265" w:rsidRPr="0067583B" w:rsidRDefault="000B3265" w:rsidP="000B3265">
      <w:pPr>
        <w:spacing w:line="360" w:lineRule="auto"/>
        <w:jc w:val="both"/>
        <w:rPr>
          <w:b/>
          <w:bCs/>
          <w:rtl/>
        </w:rPr>
      </w:pPr>
      <w:r w:rsidRPr="0067583B">
        <w:rPr>
          <w:rFonts w:hint="cs"/>
          <w:b/>
          <w:bCs/>
          <w:rtl/>
        </w:rPr>
        <w:t>פרט אישום רביעי ממאסר מותנה ועד מספר חודשי מאסר.</w:t>
      </w:r>
    </w:p>
    <w:p w14:paraId="0477C8AC" w14:textId="77777777" w:rsidR="000B3265" w:rsidRPr="0067583B" w:rsidRDefault="000B3265" w:rsidP="000B3265">
      <w:pPr>
        <w:spacing w:line="360" w:lineRule="auto"/>
        <w:jc w:val="both"/>
        <w:rPr>
          <w:b/>
          <w:bCs/>
          <w:rtl/>
        </w:rPr>
      </w:pPr>
      <w:r w:rsidRPr="0067583B">
        <w:rPr>
          <w:rFonts w:hint="cs"/>
          <w:b/>
          <w:bCs/>
          <w:rtl/>
        </w:rPr>
        <w:t xml:space="preserve">בצד כל אחד מאלה ביקשה להוסיף רכיבי ענישה של מאסר מותנה, קנס ופיצוי. </w:t>
      </w:r>
    </w:p>
    <w:p w14:paraId="025A1D78" w14:textId="77777777" w:rsidR="000B3265" w:rsidRPr="0067583B" w:rsidRDefault="000B3265" w:rsidP="000B3265">
      <w:pPr>
        <w:spacing w:line="360" w:lineRule="auto"/>
        <w:jc w:val="both"/>
        <w:rPr>
          <w:b/>
          <w:bCs/>
          <w:rtl/>
        </w:rPr>
      </w:pPr>
    </w:p>
    <w:p w14:paraId="562933CC" w14:textId="77777777" w:rsidR="000B3265" w:rsidRPr="0067583B" w:rsidRDefault="000B3265" w:rsidP="000B3265">
      <w:pPr>
        <w:spacing w:line="360" w:lineRule="auto"/>
        <w:jc w:val="both"/>
        <w:rPr>
          <w:b/>
          <w:bCs/>
          <w:rtl/>
        </w:rPr>
      </w:pPr>
    </w:p>
    <w:p w14:paraId="05B50397" w14:textId="77777777" w:rsidR="000B3265" w:rsidRPr="0067583B" w:rsidRDefault="000B3265" w:rsidP="000B3265">
      <w:pPr>
        <w:spacing w:line="360" w:lineRule="auto"/>
        <w:jc w:val="both"/>
        <w:rPr>
          <w:b/>
          <w:bCs/>
          <w:rtl/>
        </w:rPr>
      </w:pPr>
      <w:r w:rsidRPr="0067583B">
        <w:rPr>
          <w:rFonts w:hint="cs"/>
          <w:b/>
          <w:bCs/>
          <w:rtl/>
        </w:rPr>
        <w:t xml:space="preserve">התביעה ציינה כי הנאשם נעדר ה רשעות קודמות ואף עבר טיפול בהצלחה אך יחד עם זאת לא מצאה לסטות ממתחם העונש ההולם. עם זאת, תוך התחשבות בהליך טיפולי אותו עבר הנאשם, </w:t>
      </w:r>
      <w:r w:rsidRPr="0067583B">
        <w:rPr>
          <w:rFonts w:hint="cs"/>
          <w:b/>
          <w:bCs/>
          <w:rtl/>
        </w:rPr>
        <w:lastRenderedPageBreak/>
        <w:t xml:space="preserve">עברו הנקי לצד עמדת המתלוננת, עתרה התביעה להטיל על הנאשם  10 חודשי מאסר בפועל, מאסר מותנה, קנס ופיצוי. </w:t>
      </w:r>
    </w:p>
    <w:p w14:paraId="0C57603F" w14:textId="77777777" w:rsidR="000B3265" w:rsidRPr="0067583B" w:rsidRDefault="000B3265" w:rsidP="000B3265">
      <w:pPr>
        <w:spacing w:line="360" w:lineRule="auto"/>
        <w:jc w:val="both"/>
        <w:rPr>
          <w:b/>
          <w:bCs/>
          <w:rtl/>
        </w:rPr>
      </w:pPr>
    </w:p>
    <w:p w14:paraId="0F1400B2" w14:textId="77777777" w:rsidR="000B3265" w:rsidRPr="0067583B" w:rsidRDefault="000B3265" w:rsidP="000B3265">
      <w:pPr>
        <w:spacing w:line="360" w:lineRule="auto"/>
        <w:jc w:val="both"/>
        <w:rPr>
          <w:b/>
          <w:bCs/>
          <w:rtl/>
        </w:rPr>
      </w:pPr>
    </w:p>
    <w:p w14:paraId="0D6B5BCC" w14:textId="77777777" w:rsidR="000B3265" w:rsidRPr="0067583B" w:rsidRDefault="000B3265" w:rsidP="000B3265">
      <w:pPr>
        <w:spacing w:line="360" w:lineRule="auto"/>
        <w:jc w:val="both"/>
        <w:rPr>
          <w:b/>
          <w:bCs/>
          <w:rtl/>
        </w:rPr>
      </w:pPr>
      <w:r w:rsidRPr="0067583B">
        <w:rPr>
          <w:rFonts w:hint="cs"/>
          <w:b/>
          <w:bCs/>
          <w:rtl/>
        </w:rPr>
        <w:t xml:space="preserve">ב"כ הנאשם הדגיש בעיקר את האמור בתסקירי שירות המבחן לגבי הנאשם, לרבות פירוט נסיבותיו האישיות והמשפחתיות וכן עמדת המתלוננת שאף היא הובאה בתסקירים אלה. </w:t>
      </w:r>
    </w:p>
    <w:p w14:paraId="6AAD5E40" w14:textId="77777777" w:rsidR="000B3265" w:rsidRPr="0067583B" w:rsidRDefault="000B3265" w:rsidP="000B3265">
      <w:pPr>
        <w:spacing w:line="360" w:lineRule="auto"/>
        <w:jc w:val="both"/>
        <w:rPr>
          <w:b/>
          <w:bCs/>
          <w:rtl/>
        </w:rPr>
      </w:pPr>
      <w:r w:rsidRPr="0067583B">
        <w:rPr>
          <w:rFonts w:hint="cs"/>
          <w:b/>
          <w:bCs/>
          <w:rtl/>
        </w:rPr>
        <w:t xml:space="preserve">הוא הדגיש כי כעולה מן התסקיר, התנהגותו האלימה של הנאשם היא חריגה ואין מדובר במי שהוא בעל קווים אלימות עבריינים והמתלוננת אינה חשה איום מפניו. יתר על כן, הנאשם עבר הליך טיפולי בהצלחה, ואף שירות המבחן ממליץ לסיים את ההליך בדרכי טיפול. </w:t>
      </w:r>
    </w:p>
    <w:p w14:paraId="18059F7C" w14:textId="77777777" w:rsidR="000B3265" w:rsidRPr="0067583B" w:rsidRDefault="000B3265" w:rsidP="000B3265">
      <w:pPr>
        <w:spacing w:line="360" w:lineRule="auto"/>
        <w:jc w:val="both"/>
        <w:rPr>
          <w:b/>
          <w:bCs/>
          <w:rtl/>
        </w:rPr>
      </w:pPr>
      <w:r w:rsidRPr="0067583B">
        <w:rPr>
          <w:rFonts w:hint="cs"/>
          <w:b/>
          <w:bCs/>
          <w:rtl/>
        </w:rPr>
        <w:t xml:space="preserve">לטעמו של ב"כ הנאשם, מדובר במעשים המצויים ברף הנמוך של מעשים מסוג זה,  ואף רמת הענישה הנוהגת במעשים מאין אלה, נעה בין מאסרים מותנים למאסרים קצרים בדרך של עבודות שירות. </w:t>
      </w:r>
    </w:p>
    <w:p w14:paraId="2AC4108B" w14:textId="77777777" w:rsidR="000B3265" w:rsidRPr="0067583B" w:rsidRDefault="000B3265" w:rsidP="000B3265">
      <w:pPr>
        <w:spacing w:line="360" w:lineRule="auto"/>
        <w:jc w:val="both"/>
        <w:rPr>
          <w:b/>
          <w:bCs/>
          <w:rtl/>
        </w:rPr>
      </w:pPr>
      <w:r w:rsidRPr="0067583B">
        <w:rPr>
          <w:rFonts w:hint="cs"/>
          <w:b/>
          <w:bCs/>
          <w:rtl/>
        </w:rPr>
        <w:t xml:space="preserve">עוד ציין ב"כ הנאשם, כי בני הזוג התגרשו, הנאשם עובד לפרנסתו משלם מזונות באופן סדיר. שליחתו למאסר ולו בדרך של עבודות שירות, תוציא אותו ממעגל העבודה ותפגע פגיעה קשה במשפחתו ובכלל זה במתלוננת. </w:t>
      </w:r>
    </w:p>
    <w:p w14:paraId="3EBB7CB0" w14:textId="77777777" w:rsidR="000B3265" w:rsidRPr="0067583B" w:rsidRDefault="000B3265" w:rsidP="000B3265">
      <w:pPr>
        <w:spacing w:line="360" w:lineRule="auto"/>
        <w:jc w:val="both"/>
        <w:rPr>
          <w:b/>
          <w:bCs/>
          <w:rtl/>
        </w:rPr>
      </w:pPr>
      <w:r w:rsidRPr="0067583B">
        <w:rPr>
          <w:rFonts w:hint="cs"/>
          <w:b/>
          <w:bCs/>
          <w:rtl/>
        </w:rPr>
        <w:t xml:space="preserve">ב"כ הנאשם סבור כי במקרה זה יש לאמץ את המלצות שירות המבחן וכי על כל פנים, יש לסטות ממתחם עונש בשל שיקולי שיקום. </w:t>
      </w:r>
    </w:p>
    <w:p w14:paraId="39AB3DC3" w14:textId="77777777" w:rsidR="000B3265" w:rsidRPr="0067583B" w:rsidRDefault="000B3265" w:rsidP="000B3265">
      <w:pPr>
        <w:spacing w:line="360" w:lineRule="auto"/>
        <w:jc w:val="both"/>
        <w:rPr>
          <w:b/>
          <w:bCs/>
          <w:rtl/>
        </w:rPr>
      </w:pPr>
    </w:p>
    <w:p w14:paraId="796D22CD" w14:textId="77777777" w:rsidR="000B3265" w:rsidRPr="0067583B" w:rsidRDefault="000B3265" w:rsidP="000B3265">
      <w:pPr>
        <w:spacing w:line="360" w:lineRule="auto"/>
        <w:jc w:val="both"/>
        <w:rPr>
          <w:b/>
          <w:bCs/>
          <w:rtl/>
        </w:rPr>
      </w:pPr>
      <w:r w:rsidRPr="0067583B">
        <w:rPr>
          <w:rFonts w:hint="cs"/>
          <w:b/>
          <w:bCs/>
          <w:rtl/>
        </w:rPr>
        <w:t xml:space="preserve">שני תסקירי שירות מבחן הוגשו בעניינו של הנאשם. </w:t>
      </w:r>
    </w:p>
    <w:p w14:paraId="6ADCFED1" w14:textId="77777777" w:rsidR="000B3265" w:rsidRPr="0067583B" w:rsidRDefault="000B3265" w:rsidP="000B3265">
      <w:pPr>
        <w:spacing w:line="360" w:lineRule="auto"/>
        <w:jc w:val="both"/>
        <w:rPr>
          <w:b/>
          <w:bCs/>
          <w:rtl/>
        </w:rPr>
      </w:pPr>
      <w:r w:rsidRPr="0067583B">
        <w:rPr>
          <w:rFonts w:hint="cs"/>
          <w:b/>
          <w:bCs/>
          <w:rtl/>
        </w:rPr>
        <w:t xml:space="preserve">עולה מן התסקיר כי הנאשם בן 41, גרוש ואב לשלושה, בעל רקע של מכור לסמים, עובד כשכיר במוסך. הנאשם לקח אחריות על המיוחס לו בכתב האישום וציין כי באותה תקופה היה נתון במשבר רגשי, צבר תסכולים וזעם והביע חרטה על התנהגותו. לדבריו, מדובר בהתנהגות שאינה אופיינית לו והתפרצה על רקע משבר נקודתי, כאשר בדרך כלל תפקודו תקין ללא שימוש באלימות. יחד עם זאת הוא מבין שהוא זקוק לסיוע על מנת לבחון את מצבו. </w:t>
      </w:r>
    </w:p>
    <w:p w14:paraId="3B288AF1" w14:textId="77777777" w:rsidR="000B3265" w:rsidRPr="0067583B" w:rsidRDefault="000B3265" w:rsidP="000B3265">
      <w:pPr>
        <w:spacing w:line="360" w:lineRule="auto"/>
        <w:jc w:val="both"/>
        <w:rPr>
          <w:b/>
          <w:bCs/>
          <w:rtl/>
        </w:rPr>
      </w:pPr>
      <w:r w:rsidRPr="0067583B">
        <w:rPr>
          <w:rFonts w:hint="cs"/>
          <w:b/>
          <w:bCs/>
          <w:rtl/>
        </w:rPr>
        <w:t>גם המתלוננת תיארה כי הנאשם אינו בעל מאפיינים אלימים וכי התנהגותו הקצינה בתקופה שקדמה לגירושין, לתפיסתה בעיקר על רקע המשבר האישי שעבר, כאשר היה ללא עבודה מסודרת ועשה שימוש בסמים, דבר שהחמיר את מצבו.</w:t>
      </w:r>
    </w:p>
    <w:p w14:paraId="1D671280" w14:textId="77777777" w:rsidR="000B3265" w:rsidRPr="0067583B" w:rsidRDefault="000B3265" w:rsidP="000B3265">
      <w:pPr>
        <w:spacing w:line="360" w:lineRule="auto"/>
        <w:jc w:val="both"/>
        <w:rPr>
          <w:b/>
          <w:bCs/>
          <w:rtl/>
        </w:rPr>
      </w:pPr>
      <w:r w:rsidRPr="0067583B">
        <w:rPr>
          <w:rFonts w:hint="cs"/>
          <w:b/>
          <w:bCs/>
          <w:rtl/>
        </w:rPr>
        <w:t xml:space="preserve">מאז הגירושין הם שומרים על יחסים חיוביים והיא אינה חשה איום או פחד מפניו. הנאשם משלם מזונות באופן סדיר, מקפיד על הסדרי ראיה ומגלה אכפתיות כלפי הילדים. היא הביעה חשש כי אם יוטל עליו עונש מאסר ,הדבר יפגע בכל אלה. </w:t>
      </w:r>
    </w:p>
    <w:p w14:paraId="163D6EE7" w14:textId="77777777" w:rsidR="000B3265" w:rsidRPr="0067583B" w:rsidRDefault="000B3265" w:rsidP="000B3265">
      <w:pPr>
        <w:spacing w:line="360" w:lineRule="auto"/>
        <w:jc w:val="both"/>
        <w:rPr>
          <w:b/>
          <w:bCs/>
          <w:rtl/>
        </w:rPr>
      </w:pPr>
      <w:r w:rsidRPr="0067583B">
        <w:rPr>
          <w:rFonts w:hint="cs"/>
          <w:b/>
          <w:bCs/>
          <w:rtl/>
        </w:rPr>
        <w:t xml:space="preserve">שירות המבחן סבר כי הנאשם נזקק לטיפול, והנאשם הביע נכונות להשתלב בטיפול כזה  ועל כן הוחלט ליתן אורכה על מנת ששירות המבחן ימשיך ויעכב אחר השתלבות הנאשם בהליך הטיפולי. מסתבר כי הנאשם אכן מסר בדיקות שתן שנמצאו נקיות מסמים, שיתף פעולה באופן מלא בהליך הטיפולי, והתקדם באופן חיובי ביותר בתכנית זו. </w:t>
      </w:r>
    </w:p>
    <w:p w14:paraId="4DD44273" w14:textId="77777777" w:rsidR="000B3265" w:rsidRPr="0067583B" w:rsidRDefault="000B3265" w:rsidP="000B3265">
      <w:pPr>
        <w:spacing w:line="360" w:lineRule="auto"/>
        <w:jc w:val="both"/>
        <w:rPr>
          <w:b/>
          <w:bCs/>
          <w:rtl/>
        </w:rPr>
      </w:pPr>
      <w:r w:rsidRPr="0067583B">
        <w:rPr>
          <w:rFonts w:hint="cs"/>
          <w:b/>
          <w:bCs/>
          <w:rtl/>
        </w:rPr>
        <w:t xml:space="preserve">בהתאם לכך סבור שירות המבחן, פחת הסיכון להישנות עבירות. שירות המבחן המליץ לסיים את ההליך המשפטי בדרכי טיפול ולהטיל על הנאשם צו מבחן במהלכו ימשיך את הטיפול. כמו כן, כעונש מרתיע ומציב גבולות, המליץ להטיל עליו מאסר על תנאי. </w:t>
      </w:r>
    </w:p>
    <w:p w14:paraId="630607E6" w14:textId="77777777" w:rsidR="000B3265" w:rsidRPr="0067583B" w:rsidRDefault="000B3265" w:rsidP="000B3265">
      <w:pPr>
        <w:spacing w:line="360" w:lineRule="auto"/>
        <w:jc w:val="both"/>
        <w:rPr>
          <w:b/>
          <w:bCs/>
          <w:rtl/>
        </w:rPr>
      </w:pPr>
    </w:p>
    <w:p w14:paraId="7969DF63" w14:textId="77777777" w:rsidR="000B3265" w:rsidRPr="0067583B" w:rsidRDefault="000B3265" w:rsidP="000B3265">
      <w:pPr>
        <w:spacing w:line="360" w:lineRule="auto"/>
        <w:jc w:val="both"/>
        <w:rPr>
          <w:b/>
          <w:bCs/>
          <w:rtl/>
        </w:rPr>
      </w:pPr>
      <w:r w:rsidRPr="0067583B">
        <w:rPr>
          <w:rFonts w:hint="cs"/>
          <w:b/>
          <w:bCs/>
          <w:rtl/>
        </w:rPr>
        <w:t>במעשיו פגע הנאשם בתא המשפחתי, פגע בגופה של המתלונ</w:t>
      </w:r>
      <w:r>
        <w:rPr>
          <w:rFonts w:hint="cs"/>
          <w:b/>
          <w:bCs/>
          <w:rtl/>
        </w:rPr>
        <w:t>נת ובכבודה, בשלומה ובשלוות חייה.</w:t>
      </w:r>
      <w:r w:rsidRPr="0067583B">
        <w:rPr>
          <w:rFonts w:hint="cs"/>
          <w:b/>
          <w:bCs/>
          <w:rtl/>
        </w:rPr>
        <w:t xml:space="preserve"> ביתה האמור להיות מבצרה ומקום מבטחה, הפך להיות המקום בו היא נפגעת ועל ידי מי שאמור להגן עליה. </w:t>
      </w:r>
    </w:p>
    <w:p w14:paraId="6DABDB30" w14:textId="77777777" w:rsidR="000B3265" w:rsidRPr="0067583B" w:rsidRDefault="000B3265" w:rsidP="000B3265">
      <w:pPr>
        <w:spacing w:line="360" w:lineRule="auto"/>
        <w:jc w:val="both"/>
        <w:rPr>
          <w:b/>
          <w:bCs/>
          <w:rtl/>
        </w:rPr>
      </w:pPr>
      <w:r w:rsidRPr="0067583B">
        <w:rPr>
          <w:rFonts w:hint="cs"/>
          <w:b/>
          <w:bCs/>
          <w:rtl/>
        </w:rPr>
        <w:t xml:space="preserve">מתחם הענישה הראוי לכל אחד מן המעשים נע בין מספר חודשים בדרך של עבודות שירות ועד ל- 8 חודשי מאסר בפועל. </w:t>
      </w:r>
    </w:p>
    <w:p w14:paraId="7504B4F3" w14:textId="77777777" w:rsidR="000B3265" w:rsidRPr="0067583B" w:rsidRDefault="000B3265" w:rsidP="000B3265">
      <w:pPr>
        <w:spacing w:line="360" w:lineRule="auto"/>
        <w:jc w:val="both"/>
        <w:rPr>
          <w:b/>
          <w:bCs/>
          <w:rtl/>
        </w:rPr>
      </w:pPr>
    </w:p>
    <w:p w14:paraId="509EB980" w14:textId="77777777" w:rsidR="000B3265" w:rsidRPr="0067583B" w:rsidRDefault="000B3265" w:rsidP="000B3265">
      <w:pPr>
        <w:spacing w:line="360" w:lineRule="auto"/>
        <w:jc w:val="both"/>
        <w:rPr>
          <w:b/>
          <w:bCs/>
          <w:rtl/>
        </w:rPr>
      </w:pPr>
      <w:r w:rsidRPr="0067583B">
        <w:rPr>
          <w:rFonts w:hint="cs"/>
          <w:b/>
          <w:bCs/>
          <w:rtl/>
        </w:rPr>
        <w:t xml:space="preserve">אין המדובר במעידה חד פעמית או בהתפרצות רגעית, אלא מדובר בארבעה מעשים שבוצעו ב- 4 הזדמנויות שונות בתקופה העולה על שנה וחצי. </w:t>
      </w:r>
    </w:p>
    <w:p w14:paraId="743F3AA4" w14:textId="77777777" w:rsidR="000B3265" w:rsidRPr="0067583B" w:rsidRDefault="000B3265" w:rsidP="000B3265">
      <w:pPr>
        <w:spacing w:line="360" w:lineRule="auto"/>
        <w:jc w:val="both"/>
        <w:rPr>
          <w:b/>
          <w:bCs/>
          <w:rtl/>
        </w:rPr>
      </w:pPr>
      <w:r w:rsidRPr="0067583B">
        <w:rPr>
          <w:rFonts w:hint="cs"/>
          <w:b/>
          <w:bCs/>
          <w:rtl/>
        </w:rPr>
        <w:t xml:space="preserve">הנאשם לא בחל בשימוש באלימות, ואף לא בשימוש באיומים כאשר המדובר באיומים בוטים וקשים. גם האלימות היא אלימות ממשית, לרבות אחיזתה של המתלוננת בצווארה וניסיונות לחנוק אותה. </w:t>
      </w:r>
    </w:p>
    <w:p w14:paraId="38B988EF" w14:textId="77777777" w:rsidR="000B3265" w:rsidRPr="0067583B" w:rsidRDefault="000B3265" w:rsidP="000B3265">
      <w:pPr>
        <w:spacing w:line="360" w:lineRule="auto"/>
        <w:jc w:val="both"/>
        <w:rPr>
          <w:b/>
          <w:bCs/>
          <w:rtl/>
        </w:rPr>
      </w:pPr>
    </w:p>
    <w:p w14:paraId="40C70D45" w14:textId="77777777" w:rsidR="000B3265" w:rsidRPr="0067583B" w:rsidRDefault="000B3265" w:rsidP="000B3265">
      <w:pPr>
        <w:spacing w:line="360" w:lineRule="auto"/>
        <w:jc w:val="both"/>
        <w:rPr>
          <w:b/>
          <w:bCs/>
          <w:rtl/>
        </w:rPr>
      </w:pPr>
      <w:r>
        <w:rPr>
          <w:rFonts w:hint="cs"/>
          <w:b/>
          <w:bCs/>
          <w:rtl/>
        </w:rPr>
        <w:t>מעשים מע</w:t>
      </w:r>
      <w:r w:rsidRPr="0067583B">
        <w:rPr>
          <w:rFonts w:hint="cs"/>
          <w:b/>
          <w:bCs/>
          <w:rtl/>
        </w:rPr>
        <w:t>ין אלה מביאים בדרך כלל נאשמים לרף העל</w:t>
      </w:r>
      <w:r>
        <w:rPr>
          <w:rFonts w:hint="cs"/>
          <w:b/>
          <w:bCs/>
          <w:rtl/>
        </w:rPr>
        <w:t>יון של מתחמי הענישה שהוזכרו, אלא שבעניינ</w:t>
      </w:r>
      <w:r w:rsidRPr="0067583B">
        <w:rPr>
          <w:rFonts w:hint="cs"/>
          <w:b/>
          <w:bCs/>
          <w:rtl/>
        </w:rPr>
        <w:t xml:space="preserve">נו קיימות נסיבות לקולא, מעבר לכך שהנאשם הודה באשמה, נטל אחריות, כתב האישום תוקן באופן משמעותי לקולא, הרי שהנאשם נעדר עבר פלילי ומדובר במעשים שהאחרון שבהם בוצע לפני למעלה משנה וחצי וחשוב מכל אלה, הוא כי הנאשם נרתם להליך טיפולי ארוך ושיתף עמו פעולה באופן מלא, כך שהליך טיפולי זה אף נשא פירות.  הכל כמפורט בתסקירי שירות  המבחן. </w:t>
      </w:r>
    </w:p>
    <w:p w14:paraId="2F54DEBE" w14:textId="77777777" w:rsidR="000B3265" w:rsidRPr="0067583B" w:rsidRDefault="000B3265" w:rsidP="000B3265">
      <w:pPr>
        <w:spacing w:line="360" w:lineRule="auto"/>
        <w:jc w:val="both"/>
        <w:rPr>
          <w:b/>
          <w:bCs/>
          <w:rtl/>
        </w:rPr>
      </w:pPr>
      <w:r w:rsidRPr="0067583B">
        <w:rPr>
          <w:rFonts w:hint="cs"/>
          <w:b/>
          <w:bCs/>
          <w:rtl/>
        </w:rPr>
        <w:t>עם זאת, לא יכולתי לקבל את המלצות שירות המבחן במלואן. שירות המבחן אמון על שיקוליו של הנאשם ועל אלה בלבד, בית המשפט הוא שאמון על מכלול השיקולים לרבות האינטרסים הציבוריים.</w:t>
      </w:r>
    </w:p>
    <w:p w14:paraId="65F1EE38" w14:textId="77777777" w:rsidR="000B3265" w:rsidRPr="0067583B" w:rsidRDefault="000B3265" w:rsidP="000B3265">
      <w:pPr>
        <w:spacing w:line="360" w:lineRule="auto"/>
        <w:jc w:val="both"/>
        <w:rPr>
          <w:b/>
          <w:bCs/>
          <w:rtl/>
        </w:rPr>
      </w:pPr>
      <w:r w:rsidRPr="0067583B">
        <w:rPr>
          <w:rFonts w:hint="cs"/>
          <w:b/>
          <w:bCs/>
          <w:rtl/>
        </w:rPr>
        <w:t xml:space="preserve">בבואו לגזור דינו של נאשם, ישקול </w:t>
      </w:r>
      <w:r>
        <w:rPr>
          <w:rFonts w:hint="cs"/>
          <w:b/>
          <w:bCs/>
          <w:rtl/>
        </w:rPr>
        <w:t>את המלצות שירות המבחן אך יעשה זאת</w:t>
      </w:r>
      <w:r w:rsidRPr="0067583B">
        <w:rPr>
          <w:rFonts w:hint="cs"/>
          <w:b/>
          <w:bCs/>
          <w:rtl/>
        </w:rPr>
        <w:t xml:space="preserve"> כשיקול במכלול השיקולים ולא כשיקול בלעדי. </w:t>
      </w:r>
    </w:p>
    <w:p w14:paraId="0D4CDA53" w14:textId="77777777" w:rsidR="000B3265" w:rsidRPr="0067583B" w:rsidRDefault="000B3265" w:rsidP="000B3265">
      <w:pPr>
        <w:spacing w:line="360" w:lineRule="auto"/>
        <w:jc w:val="both"/>
        <w:rPr>
          <w:b/>
          <w:bCs/>
          <w:rtl/>
        </w:rPr>
      </w:pPr>
      <w:r w:rsidRPr="0067583B">
        <w:rPr>
          <w:rFonts w:hint="cs"/>
          <w:b/>
          <w:bCs/>
          <w:rtl/>
        </w:rPr>
        <w:t xml:space="preserve">בענייננו, יש לתת משקל נכבד </w:t>
      </w:r>
      <w:r>
        <w:rPr>
          <w:rFonts w:hint="cs"/>
          <w:b/>
          <w:bCs/>
          <w:rtl/>
        </w:rPr>
        <w:t>לאינטרס</w:t>
      </w:r>
      <w:r w:rsidRPr="0067583B">
        <w:rPr>
          <w:rFonts w:hint="cs"/>
          <w:b/>
          <w:bCs/>
          <w:rtl/>
        </w:rPr>
        <w:t>ים הציבוריי</w:t>
      </w:r>
      <w:r>
        <w:rPr>
          <w:rFonts w:hint="cs"/>
          <w:b/>
          <w:bCs/>
          <w:rtl/>
        </w:rPr>
        <w:t>ם ולחשיבות הוקעת אלימות ואיומים</w:t>
      </w:r>
      <w:r w:rsidRPr="0067583B">
        <w:rPr>
          <w:rFonts w:hint="cs"/>
          <w:b/>
          <w:bCs/>
          <w:rtl/>
        </w:rPr>
        <w:t xml:space="preserve"> בתא המשפחתי ולעקירתה משורש</w:t>
      </w:r>
      <w:r>
        <w:rPr>
          <w:rFonts w:hint="cs"/>
          <w:b/>
          <w:bCs/>
          <w:rtl/>
        </w:rPr>
        <w:t xml:space="preserve"> של תופעה זו</w:t>
      </w:r>
      <w:r w:rsidRPr="0067583B">
        <w:rPr>
          <w:rFonts w:hint="cs"/>
          <w:b/>
          <w:bCs/>
          <w:rtl/>
        </w:rPr>
        <w:t xml:space="preserve"> באמצעות ענישה מתאימה. </w:t>
      </w:r>
    </w:p>
    <w:p w14:paraId="58605EEB" w14:textId="77777777" w:rsidR="000B3265" w:rsidRPr="0067583B" w:rsidRDefault="000B3265" w:rsidP="000B3265">
      <w:pPr>
        <w:spacing w:line="360" w:lineRule="auto"/>
        <w:jc w:val="both"/>
        <w:rPr>
          <w:b/>
          <w:bCs/>
          <w:rtl/>
        </w:rPr>
      </w:pPr>
      <w:r w:rsidRPr="0067583B">
        <w:rPr>
          <w:rFonts w:hint="cs"/>
          <w:b/>
          <w:bCs/>
          <w:rtl/>
        </w:rPr>
        <w:t>ועוד אציין, כהלכת בית המשפט העליון, כי שיקום אינו חז</w:t>
      </w:r>
      <w:r>
        <w:rPr>
          <w:rFonts w:hint="cs"/>
          <w:b/>
          <w:bCs/>
          <w:rtl/>
        </w:rPr>
        <w:t>ות הכל ואין הוא יכול להחליף את עקרון ההלימה</w:t>
      </w:r>
      <w:r w:rsidRPr="0067583B">
        <w:rPr>
          <w:rFonts w:hint="cs"/>
          <w:b/>
          <w:bCs/>
          <w:rtl/>
        </w:rPr>
        <w:t>.</w:t>
      </w:r>
      <w:r>
        <w:rPr>
          <w:rFonts w:hint="cs"/>
          <w:b/>
          <w:bCs/>
          <w:rtl/>
        </w:rPr>
        <w:t xml:space="preserve"> </w:t>
      </w:r>
      <w:r w:rsidRPr="0067583B">
        <w:rPr>
          <w:rFonts w:hint="cs"/>
          <w:b/>
          <w:bCs/>
          <w:rtl/>
        </w:rPr>
        <w:t>לאפיק השיקומי יינתן משקל, ואף משקל ניכר ועל כן יהיה בו כדי להביא לחריגה ממתחם הענישה ואף לחריגה משמעותית, אך לא יהיה בו כדי להביא עד כדי קבלת המלצות שירות המבחן במלואן, יהיה בו כדי להביא להקלה ני</w:t>
      </w:r>
      <w:r>
        <w:rPr>
          <w:rFonts w:hint="cs"/>
          <w:b/>
          <w:bCs/>
          <w:rtl/>
        </w:rPr>
        <w:t>כרת במידת העונש ואף ב</w:t>
      </w:r>
      <w:r w:rsidRPr="0067583B">
        <w:rPr>
          <w:rFonts w:hint="cs"/>
          <w:b/>
          <w:bCs/>
          <w:rtl/>
        </w:rPr>
        <w:t>דרך ריצויו.</w:t>
      </w:r>
    </w:p>
    <w:p w14:paraId="04264321" w14:textId="77777777" w:rsidR="000B3265" w:rsidRPr="0067583B" w:rsidRDefault="000B3265" w:rsidP="000B3265">
      <w:pPr>
        <w:spacing w:line="360" w:lineRule="auto"/>
        <w:jc w:val="both"/>
        <w:rPr>
          <w:b/>
          <w:bCs/>
          <w:rtl/>
        </w:rPr>
      </w:pPr>
    </w:p>
    <w:p w14:paraId="4AE9EFBA" w14:textId="77777777" w:rsidR="000B3265" w:rsidRPr="0067583B" w:rsidRDefault="000B3265" w:rsidP="000B3265">
      <w:pPr>
        <w:spacing w:line="360" w:lineRule="auto"/>
        <w:jc w:val="both"/>
        <w:rPr>
          <w:b/>
          <w:bCs/>
          <w:rtl/>
        </w:rPr>
      </w:pPr>
    </w:p>
    <w:p w14:paraId="0B9E88E4" w14:textId="77777777" w:rsidR="000B3265" w:rsidRPr="0067583B" w:rsidRDefault="000B3265" w:rsidP="000B3265">
      <w:pPr>
        <w:spacing w:line="360" w:lineRule="auto"/>
        <w:jc w:val="both"/>
        <w:rPr>
          <w:b/>
          <w:bCs/>
          <w:rtl/>
        </w:rPr>
      </w:pPr>
      <w:r w:rsidRPr="0067583B">
        <w:rPr>
          <w:rFonts w:hint="cs"/>
          <w:b/>
          <w:bCs/>
          <w:rtl/>
        </w:rPr>
        <w:t>אני גוזרת על הנאשם 4 חודשי מאסר לריצוי בפועל, בדרך של עבודות שירות כפי שהמליץ הממונה על עבודות השירות בחוות דעתו מיום</w:t>
      </w:r>
      <w:r>
        <w:rPr>
          <w:rFonts w:hint="cs"/>
          <w:b/>
          <w:bCs/>
          <w:rtl/>
        </w:rPr>
        <w:t xml:space="preserve"> 18.5.16.</w:t>
      </w:r>
    </w:p>
    <w:p w14:paraId="5BF64FE5" w14:textId="77777777" w:rsidR="000B3265" w:rsidRPr="0067583B" w:rsidRDefault="000B3265" w:rsidP="000B3265">
      <w:pPr>
        <w:spacing w:line="360" w:lineRule="auto"/>
        <w:jc w:val="both"/>
        <w:rPr>
          <w:b/>
          <w:bCs/>
          <w:rtl/>
        </w:rPr>
      </w:pPr>
      <w:r w:rsidRPr="0067583B">
        <w:rPr>
          <w:rFonts w:hint="cs"/>
          <w:b/>
          <w:bCs/>
          <w:rtl/>
        </w:rPr>
        <w:t xml:space="preserve">6 חודשי מאסר על תנאי למשך 3 שנים לבל יעבור עבירה כלשהי שעניינה אלימות או איומים או עבירה כלשהי לפי </w:t>
      </w:r>
      <w:hyperlink r:id="rId7" w:history="1">
        <w:r w:rsidR="00F17C31" w:rsidRPr="00F17C31">
          <w:rPr>
            <w:b/>
            <w:bCs/>
            <w:color w:val="0000FF"/>
            <w:u w:val="single"/>
            <w:rtl/>
          </w:rPr>
          <w:t>פקודת הסמים המסוכנים</w:t>
        </w:r>
      </w:hyperlink>
      <w:r w:rsidRPr="0067583B">
        <w:rPr>
          <w:rFonts w:hint="cs"/>
          <w:b/>
          <w:bCs/>
          <w:rtl/>
        </w:rPr>
        <w:t>.</w:t>
      </w:r>
    </w:p>
    <w:p w14:paraId="1363DF75" w14:textId="77777777" w:rsidR="000B3265" w:rsidRPr="0067583B" w:rsidRDefault="000B3265" w:rsidP="000B3265">
      <w:pPr>
        <w:spacing w:line="360" w:lineRule="auto"/>
        <w:jc w:val="both"/>
        <w:rPr>
          <w:b/>
          <w:bCs/>
          <w:rtl/>
        </w:rPr>
      </w:pPr>
      <w:r w:rsidRPr="0067583B">
        <w:rPr>
          <w:rFonts w:hint="cs"/>
          <w:b/>
          <w:bCs/>
          <w:rtl/>
        </w:rPr>
        <w:t xml:space="preserve">קנס בסכום של 750 ₪ או 5 ימי מאסר תמורתו. </w:t>
      </w:r>
      <w:r>
        <w:rPr>
          <w:rFonts w:hint="cs"/>
          <w:b/>
          <w:bCs/>
          <w:rtl/>
        </w:rPr>
        <w:t xml:space="preserve">בהסכמת הנאשם יקוזז סכום הקנס מהפקדה במזומן מתיק </w:t>
      </w:r>
      <w:hyperlink r:id="rId8" w:history="1">
        <w:r w:rsidR="00F17C31" w:rsidRPr="00F17C31">
          <w:rPr>
            <w:b/>
            <w:bCs/>
            <w:color w:val="0000FF"/>
            <w:u w:val="single"/>
            <w:rtl/>
          </w:rPr>
          <w:t>מ"ת 64695-09-14</w:t>
        </w:r>
      </w:hyperlink>
      <w:r>
        <w:rPr>
          <w:rFonts w:hint="cs"/>
          <w:b/>
          <w:bCs/>
          <w:rtl/>
        </w:rPr>
        <w:t xml:space="preserve">. </w:t>
      </w:r>
    </w:p>
    <w:p w14:paraId="7980481E" w14:textId="77777777" w:rsidR="000B3265" w:rsidRDefault="000B3265" w:rsidP="000B3265">
      <w:pPr>
        <w:spacing w:line="360" w:lineRule="auto"/>
        <w:jc w:val="both"/>
        <w:rPr>
          <w:b/>
          <w:bCs/>
          <w:rtl/>
        </w:rPr>
      </w:pPr>
      <w:r w:rsidRPr="0067583B">
        <w:rPr>
          <w:rFonts w:hint="cs"/>
          <w:b/>
          <w:bCs/>
          <w:rtl/>
        </w:rPr>
        <w:t>אני מחייבת את הנאשם בפיצוי למתלוננת בסכום של 1,000 ₪. סכום זה י</w:t>
      </w:r>
      <w:r>
        <w:rPr>
          <w:rFonts w:hint="cs"/>
          <w:b/>
          <w:bCs/>
          <w:rtl/>
        </w:rPr>
        <w:t xml:space="preserve">קוזז בהסכמת הנאש/ם מהפקדה במזומן בתיק </w:t>
      </w:r>
      <w:hyperlink r:id="rId9" w:history="1">
        <w:r w:rsidR="00F17C31" w:rsidRPr="00F17C31">
          <w:rPr>
            <w:b/>
            <w:bCs/>
            <w:color w:val="0000FF"/>
            <w:u w:val="single"/>
            <w:rtl/>
          </w:rPr>
          <w:t>מ"ת 64695-09-14</w:t>
        </w:r>
      </w:hyperlink>
      <w:r>
        <w:rPr>
          <w:rFonts w:hint="cs"/>
          <w:b/>
          <w:bCs/>
          <w:rtl/>
        </w:rPr>
        <w:t xml:space="preserve"> </w:t>
      </w:r>
    </w:p>
    <w:p w14:paraId="495BA514" w14:textId="77777777" w:rsidR="000B3265" w:rsidRDefault="000B3265" w:rsidP="000B3265">
      <w:pPr>
        <w:spacing w:line="360" w:lineRule="auto"/>
        <w:jc w:val="both"/>
        <w:rPr>
          <w:b/>
          <w:bCs/>
          <w:rtl/>
        </w:rPr>
      </w:pPr>
      <w:r>
        <w:rPr>
          <w:rFonts w:hint="cs"/>
          <w:b/>
          <w:bCs/>
          <w:rtl/>
        </w:rPr>
        <w:t>יתרת ההפקדה במזומן תוחזר לנאשם.</w:t>
      </w:r>
    </w:p>
    <w:p w14:paraId="5BD8C59C" w14:textId="77777777" w:rsidR="000B3265" w:rsidRPr="0067583B" w:rsidRDefault="000B3265" w:rsidP="000B3265">
      <w:pPr>
        <w:spacing w:line="360" w:lineRule="auto"/>
        <w:jc w:val="both"/>
        <w:rPr>
          <w:b/>
          <w:bCs/>
          <w:rtl/>
        </w:rPr>
      </w:pPr>
    </w:p>
    <w:p w14:paraId="2621C73E" w14:textId="77777777" w:rsidR="000B3265" w:rsidRPr="0067583B" w:rsidRDefault="000B3265" w:rsidP="000B3265">
      <w:pPr>
        <w:spacing w:line="360" w:lineRule="auto"/>
        <w:jc w:val="both"/>
        <w:rPr>
          <w:b/>
          <w:bCs/>
          <w:rtl/>
        </w:rPr>
      </w:pPr>
      <w:r w:rsidRPr="0067583B">
        <w:rPr>
          <w:rFonts w:hint="cs"/>
          <w:b/>
          <w:bCs/>
          <w:rtl/>
        </w:rPr>
        <w:t>הנאשם יתייצב לריצוי עונשו ביום</w:t>
      </w:r>
      <w:r>
        <w:rPr>
          <w:rFonts w:hint="cs"/>
          <w:b/>
          <w:bCs/>
          <w:rtl/>
        </w:rPr>
        <w:t xml:space="preserve"> 20.7.16 </w:t>
      </w:r>
      <w:r w:rsidRPr="0067583B">
        <w:rPr>
          <w:rFonts w:hint="cs"/>
          <w:b/>
          <w:bCs/>
          <w:rtl/>
        </w:rPr>
        <w:t>בשעה 08:0</w:t>
      </w:r>
      <w:r>
        <w:rPr>
          <w:rFonts w:hint="cs"/>
          <w:b/>
          <w:bCs/>
          <w:rtl/>
        </w:rPr>
        <w:t>0</w:t>
      </w:r>
      <w:r w:rsidRPr="0067583B">
        <w:rPr>
          <w:rFonts w:hint="cs"/>
          <w:b/>
          <w:bCs/>
          <w:rtl/>
        </w:rPr>
        <w:t xml:space="preserve"> ביחידה לעבודות שירות ב</w:t>
      </w:r>
      <w:r>
        <w:rPr>
          <w:rFonts w:hint="cs"/>
          <w:b/>
          <w:bCs/>
          <w:rtl/>
        </w:rPr>
        <w:t xml:space="preserve">מפקדת </w:t>
      </w:r>
      <w:r w:rsidRPr="0067583B">
        <w:rPr>
          <w:rFonts w:hint="cs"/>
          <w:b/>
          <w:bCs/>
          <w:rtl/>
        </w:rPr>
        <w:t>מחוז מרכז</w:t>
      </w:r>
      <w:r>
        <w:rPr>
          <w:rFonts w:hint="cs"/>
          <w:b/>
          <w:bCs/>
          <w:rtl/>
        </w:rPr>
        <w:t xml:space="preserve"> ברמלה</w:t>
      </w:r>
      <w:r w:rsidRPr="0067583B">
        <w:rPr>
          <w:rFonts w:hint="cs"/>
          <w:b/>
          <w:bCs/>
          <w:rtl/>
        </w:rPr>
        <w:t>.</w:t>
      </w:r>
    </w:p>
    <w:p w14:paraId="78E559A1" w14:textId="77777777" w:rsidR="000B3265" w:rsidRPr="0067583B" w:rsidRDefault="000B3265" w:rsidP="000B3265">
      <w:pPr>
        <w:spacing w:line="360" w:lineRule="auto"/>
        <w:jc w:val="both"/>
        <w:rPr>
          <w:b/>
          <w:bCs/>
          <w:rtl/>
        </w:rPr>
      </w:pPr>
      <w:r w:rsidRPr="0067583B">
        <w:rPr>
          <w:rFonts w:hint="cs"/>
          <w:b/>
          <w:bCs/>
          <w:rtl/>
        </w:rPr>
        <w:t>מובהר לנאשם כי עליו לעמוד בכל תנאי עבודות השירות וביקורות הפתע שייערכו בהן. כל הפרה של תנאי מתנאי עבודות השירות תביא להפסקתן המנהלית ולריצוי העונש בכליאה ממשית.</w:t>
      </w:r>
    </w:p>
    <w:p w14:paraId="11AC79F7" w14:textId="77777777" w:rsidR="000B3265" w:rsidRDefault="000B3265" w:rsidP="000B3265">
      <w:pPr>
        <w:spacing w:line="360" w:lineRule="auto"/>
        <w:jc w:val="both"/>
        <w:rPr>
          <w:b/>
          <w:bCs/>
          <w:rtl/>
        </w:rPr>
      </w:pPr>
    </w:p>
    <w:p w14:paraId="20CFB19A" w14:textId="77777777" w:rsidR="000B3265" w:rsidRDefault="000B3265" w:rsidP="000B3265">
      <w:pPr>
        <w:spacing w:line="360" w:lineRule="auto"/>
        <w:jc w:val="both"/>
        <w:rPr>
          <w:b/>
          <w:bCs/>
          <w:rtl/>
        </w:rPr>
      </w:pPr>
      <w:r>
        <w:rPr>
          <w:rFonts w:hint="cs"/>
          <w:b/>
          <w:bCs/>
          <w:rtl/>
        </w:rPr>
        <w:t>עותק גזר הדין יועבר לממונה על עבודות השירות.</w:t>
      </w:r>
    </w:p>
    <w:p w14:paraId="5ADD359D" w14:textId="77777777" w:rsidR="000B3265" w:rsidRPr="0067583B" w:rsidRDefault="000B3265" w:rsidP="000B3265">
      <w:pPr>
        <w:spacing w:line="360" w:lineRule="auto"/>
        <w:jc w:val="both"/>
        <w:rPr>
          <w:b/>
          <w:bCs/>
          <w:rtl/>
        </w:rPr>
      </w:pPr>
    </w:p>
    <w:p w14:paraId="735EAB9D" w14:textId="77777777" w:rsidR="000B3265" w:rsidRPr="0067583B" w:rsidRDefault="000B3265" w:rsidP="000B3265">
      <w:pPr>
        <w:spacing w:line="360" w:lineRule="auto"/>
        <w:jc w:val="both"/>
        <w:rPr>
          <w:b/>
          <w:bCs/>
          <w:rtl/>
        </w:rPr>
      </w:pPr>
      <w:r w:rsidRPr="0067583B">
        <w:rPr>
          <w:rFonts w:hint="cs"/>
          <w:b/>
          <w:bCs/>
          <w:rtl/>
        </w:rPr>
        <w:t>זכות ערעור כחוק.</w:t>
      </w:r>
    </w:p>
    <w:p w14:paraId="11EA8F3D" w14:textId="77777777" w:rsidR="000B3265" w:rsidRPr="0067583B" w:rsidRDefault="000B3265" w:rsidP="000B3265">
      <w:pPr>
        <w:spacing w:line="360" w:lineRule="auto"/>
        <w:jc w:val="both"/>
        <w:rPr>
          <w:b/>
          <w:bCs/>
          <w:rtl/>
        </w:rPr>
      </w:pPr>
    </w:p>
    <w:p w14:paraId="6E85CB88" w14:textId="77777777" w:rsidR="000B3265" w:rsidRPr="0067583B" w:rsidRDefault="000B3265" w:rsidP="000B3265">
      <w:pPr>
        <w:spacing w:line="360" w:lineRule="auto"/>
        <w:jc w:val="both"/>
        <w:rPr>
          <w:b/>
          <w:bCs/>
          <w:rtl/>
        </w:rPr>
      </w:pPr>
    </w:p>
    <w:p w14:paraId="1DDE1F56" w14:textId="77777777" w:rsidR="000B3265" w:rsidRPr="0067583B" w:rsidRDefault="00F17C31" w:rsidP="000B3265">
      <w:pPr>
        <w:spacing w:line="360" w:lineRule="auto"/>
        <w:jc w:val="both"/>
        <w:rPr>
          <w:rFonts w:cs="FrankRuehl"/>
          <w:b/>
          <w:bCs/>
          <w:sz w:val="28"/>
          <w:szCs w:val="28"/>
          <w:rtl/>
        </w:rPr>
      </w:pPr>
      <w:r w:rsidRPr="00F17C31">
        <w:rPr>
          <w:rFonts w:ascii="Arial" w:hAnsi="Arial"/>
          <w:b/>
          <w:bCs/>
          <w:color w:val="FFFFFF"/>
          <w:sz w:val="2"/>
          <w:szCs w:val="2"/>
          <w:rtl/>
        </w:rPr>
        <w:t>5129371</w:t>
      </w:r>
      <w:r>
        <w:rPr>
          <w:rFonts w:ascii="Arial" w:hAnsi="Arial"/>
          <w:b/>
          <w:bCs/>
          <w:rtl/>
        </w:rPr>
        <w:t xml:space="preserve">ניתן היום,  ט"ו אייר תשע"ו, 23 מאי 2016, במעמד הצדדים. </w:t>
      </w:r>
    </w:p>
    <w:p w14:paraId="6D64F4B1" w14:textId="77777777" w:rsidR="000B3265" w:rsidRPr="00F17C31" w:rsidRDefault="00F17C31" w:rsidP="000B3265">
      <w:pPr>
        <w:spacing w:line="360" w:lineRule="auto"/>
        <w:jc w:val="both"/>
        <w:rPr>
          <w:color w:val="FFFFFF"/>
          <w:sz w:val="2"/>
          <w:szCs w:val="2"/>
        </w:rPr>
      </w:pPr>
      <w:r w:rsidRPr="00F17C31">
        <w:rPr>
          <w:b/>
          <w:bCs/>
          <w:color w:val="FFFFFF"/>
          <w:sz w:val="2"/>
          <w:szCs w:val="2"/>
          <w:rtl/>
        </w:rPr>
        <w:t>54678313</w:t>
      </w:r>
      <w:r w:rsidR="000B3265" w:rsidRPr="00F17C31">
        <w:rPr>
          <w:rFonts w:hint="cs"/>
          <w:b/>
          <w:bCs/>
          <w:color w:val="FFFFFF"/>
          <w:sz w:val="2"/>
          <w:szCs w:val="2"/>
          <w:rtl/>
        </w:rPr>
        <w:t xml:space="preserve">   </w:t>
      </w:r>
      <w:r w:rsidR="000B3265" w:rsidRPr="00F17C31">
        <w:rPr>
          <w:rFonts w:hint="cs"/>
          <w:b/>
          <w:bCs/>
          <w:color w:val="FFFFFF"/>
          <w:sz w:val="2"/>
          <w:szCs w:val="2"/>
          <w:rtl/>
        </w:rPr>
        <w:tab/>
      </w:r>
      <w:r w:rsidR="000B3265" w:rsidRPr="00F17C31">
        <w:rPr>
          <w:rFonts w:hint="cs"/>
          <w:b/>
          <w:bCs/>
          <w:color w:val="FFFFFF"/>
          <w:sz w:val="2"/>
          <w:szCs w:val="2"/>
          <w:rtl/>
        </w:rPr>
        <w:tab/>
      </w:r>
      <w:r w:rsidR="000B3265" w:rsidRPr="00F17C31">
        <w:rPr>
          <w:rFonts w:hint="cs"/>
          <w:b/>
          <w:bCs/>
          <w:color w:val="FFFFFF"/>
          <w:sz w:val="2"/>
          <w:szCs w:val="2"/>
          <w:rtl/>
        </w:rPr>
        <w:tab/>
      </w:r>
      <w:r w:rsidR="000B3265" w:rsidRPr="00F17C31">
        <w:rPr>
          <w:rFonts w:hint="cs"/>
          <w:b/>
          <w:bCs/>
          <w:color w:val="FFFFFF"/>
          <w:sz w:val="2"/>
          <w:szCs w:val="2"/>
          <w:rtl/>
        </w:rPr>
        <w:tab/>
      </w:r>
      <w:r w:rsidR="000B3265" w:rsidRPr="00F17C31">
        <w:rPr>
          <w:rFonts w:hint="cs"/>
          <w:b/>
          <w:bCs/>
          <w:color w:val="FFFFFF"/>
          <w:sz w:val="2"/>
          <w:szCs w:val="2"/>
          <w:rtl/>
        </w:rPr>
        <w:tab/>
      </w:r>
    </w:p>
    <w:p w14:paraId="550C0AF5" w14:textId="77777777" w:rsidR="000B3265" w:rsidRPr="0067583B" w:rsidRDefault="000B3265" w:rsidP="000B3265">
      <w:pPr>
        <w:spacing w:line="360" w:lineRule="auto"/>
        <w:jc w:val="both"/>
        <w:rPr>
          <w:rFonts w:ascii="Arial" w:hAnsi="Arial" w:cs="FrankRuehl"/>
          <w:b/>
          <w:bCs/>
          <w:sz w:val="28"/>
          <w:szCs w:val="28"/>
          <w:rtl/>
        </w:rPr>
      </w:pPr>
    </w:p>
    <w:p w14:paraId="4A0D3F22" w14:textId="77777777" w:rsidR="000B3265" w:rsidRPr="0067583B" w:rsidRDefault="000B3265" w:rsidP="000B3265">
      <w:pPr>
        <w:spacing w:line="360" w:lineRule="auto"/>
        <w:jc w:val="both"/>
        <w:rPr>
          <w:rFonts w:cs="FrankRuehl"/>
          <w:b/>
          <w:bCs/>
          <w:sz w:val="28"/>
          <w:szCs w:val="28"/>
          <w:rtl/>
        </w:rPr>
      </w:pPr>
    </w:p>
    <w:p w14:paraId="793BC4EE" w14:textId="77777777" w:rsidR="000B3265" w:rsidRPr="0067583B" w:rsidRDefault="000B3265" w:rsidP="000B3265">
      <w:pPr>
        <w:pStyle w:val="a3"/>
        <w:spacing w:line="360" w:lineRule="auto"/>
        <w:jc w:val="both"/>
        <w:rPr>
          <w:b/>
          <w:bCs/>
          <w:rtl/>
        </w:rPr>
      </w:pPr>
    </w:p>
    <w:p w14:paraId="04FEC68A" w14:textId="77777777" w:rsidR="000B3265" w:rsidRPr="00DB7F6B" w:rsidRDefault="00DB7F6B" w:rsidP="000B3265">
      <w:pPr>
        <w:pStyle w:val="a3"/>
        <w:spacing w:line="360" w:lineRule="auto"/>
        <w:jc w:val="both"/>
        <w:rPr>
          <w:b/>
          <w:bCs/>
          <w:color w:val="FFFFFF"/>
          <w:sz w:val="2"/>
          <w:szCs w:val="2"/>
        </w:rPr>
      </w:pPr>
      <w:r w:rsidRPr="00DB7F6B">
        <w:rPr>
          <w:b/>
          <w:bCs/>
          <w:color w:val="FFFFFF"/>
          <w:sz w:val="2"/>
          <w:szCs w:val="2"/>
          <w:rtl/>
        </w:rPr>
        <w:t>5129371</w:t>
      </w:r>
    </w:p>
    <w:p w14:paraId="3D135B26" w14:textId="77777777" w:rsidR="00F17C31" w:rsidRPr="00DB7F6B" w:rsidRDefault="00DB7F6B" w:rsidP="00F17C31">
      <w:pPr>
        <w:keepNext/>
        <w:rPr>
          <w:rFonts w:ascii="David" w:hAnsi="David"/>
          <w:color w:val="FFFFFF"/>
          <w:sz w:val="2"/>
          <w:szCs w:val="2"/>
          <w:rtl/>
        </w:rPr>
      </w:pPr>
      <w:r w:rsidRPr="00DB7F6B">
        <w:rPr>
          <w:rFonts w:ascii="David" w:hAnsi="David"/>
          <w:color w:val="FFFFFF"/>
          <w:sz w:val="2"/>
          <w:szCs w:val="2"/>
          <w:rtl/>
        </w:rPr>
        <w:t>54678313</w:t>
      </w:r>
    </w:p>
    <w:p w14:paraId="2A9C916E" w14:textId="77777777" w:rsidR="00F17C31" w:rsidRPr="00F17C31" w:rsidRDefault="00F17C31" w:rsidP="00F17C31">
      <w:pPr>
        <w:keepNext/>
        <w:rPr>
          <w:rFonts w:ascii="David" w:hAnsi="David"/>
          <w:color w:val="000000"/>
          <w:sz w:val="22"/>
          <w:szCs w:val="22"/>
          <w:rtl/>
        </w:rPr>
      </w:pPr>
      <w:r w:rsidRPr="00F17C31">
        <w:rPr>
          <w:rFonts w:ascii="David" w:hAnsi="David"/>
          <w:color w:val="000000"/>
          <w:sz w:val="22"/>
          <w:szCs w:val="22"/>
          <w:rtl/>
        </w:rPr>
        <w:t>ה עינת רון 54678313</w:t>
      </w:r>
    </w:p>
    <w:p w14:paraId="5383ED85" w14:textId="77777777" w:rsidR="00F17C31" w:rsidRDefault="00F17C31" w:rsidP="00F17C31">
      <w:r w:rsidRPr="00F17C31">
        <w:rPr>
          <w:color w:val="000000"/>
          <w:rtl/>
        </w:rPr>
        <w:t>נוסח מסמך זה כפוף לשינויי ניסוח ועריכה</w:t>
      </w:r>
    </w:p>
    <w:p w14:paraId="073BE8E0" w14:textId="77777777" w:rsidR="00F17C31" w:rsidRDefault="00F17C31" w:rsidP="00F17C31">
      <w:pPr>
        <w:rPr>
          <w:rtl/>
        </w:rPr>
      </w:pPr>
    </w:p>
    <w:p w14:paraId="20619FE3" w14:textId="77777777" w:rsidR="00F17C31" w:rsidRDefault="00F17C31" w:rsidP="00F17C31">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r w:rsidR="008169CF">
        <w:rPr>
          <w:rFonts w:hint="cs"/>
          <w:color w:val="0000FF"/>
          <w:u w:val="single"/>
          <w:rtl/>
        </w:rPr>
        <w:t xml:space="preserve"> </w:t>
      </w:r>
    </w:p>
    <w:p w14:paraId="5C3F7804" w14:textId="77777777" w:rsidR="00DB7F6B" w:rsidRPr="00DB7F6B" w:rsidRDefault="00DB7F6B" w:rsidP="00DB7F6B">
      <w:pPr>
        <w:keepNext/>
        <w:rPr>
          <w:rFonts w:ascii="David" w:hAnsi="David"/>
          <w:color w:val="000000"/>
          <w:sz w:val="22"/>
          <w:szCs w:val="22"/>
          <w:rtl/>
        </w:rPr>
      </w:pPr>
    </w:p>
    <w:p w14:paraId="09EC2645" w14:textId="77777777" w:rsidR="00DB7F6B" w:rsidRPr="00DB7F6B" w:rsidRDefault="00DB7F6B" w:rsidP="00DB7F6B">
      <w:pPr>
        <w:keepNext/>
        <w:rPr>
          <w:rFonts w:ascii="David" w:hAnsi="David"/>
          <w:color w:val="000000"/>
          <w:sz w:val="22"/>
          <w:szCs w:val="22"/>
          <w:rtl/>
        </w:rPr>
      </w:pPr>
      <w:r w:rsidRPr="00DB7F6B">
        <w:rPr>
          <w:rFonts w:ascii="David" w:hAnsi="David"/>
          <w:color w:val="000000"/>
          <w:sz w:val="22"/>
          <w:szCs w:val="22"/>
          <w:rtl/>
        </w:rPr>
        <w:t>ה עינת רון 54678313-/</w:t>
      </w:r>
    </w:p>
    <w:p w14:paraId="4384DF5C" w14:textId="77777777" w:rsidR="00B1215F" w:rsidRPr="00F17C31" w:rsidRDefault="00DB7F6B" w:rsidP="00DB7F6B">
      <w:pPr>
        <w:rPr>
          <w:color w:val="0000FF"/>
          <w:u w:val="single"/>
        </w:rPr>
      </w:pPr>
      <w:r w:rsidRPr="00DB7F6B">
        <w:rPr>
          <w:color w:val="000000"/>
          <w:u w:val="single"/>
          <w:rtl/>
        </w:rPr>
        <w:t>נוסח מסמך זה כפוף לשינויי ניסוח ועריכה</w:t>
      </w:r>
    </w:p>
    <w:sectPr w:rsidR="00B1215F" w:rsidRPr="00F17C31" w:rsidSect="00DB7F6B">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46BF3" w14:textId="77777777" w:rsidR="007C3026" w:rsidRDefault="007C3026">
      <w:r>
        <w:separator/>
      </w:r>
    </w:p>
  </w:endnote>
  <w:endnote w:type="continuationSeparator" w:id="0">
    <w:p w14:paraId="2FEB5556" w14:textId="77777777" w:rsidR="007C3026" w:rsidRDefault="007C3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DDF3A" w14:textId="77777777" w:rsidR="00DB7F6B" w:rsidRDefault="00DB7F6B" w:rsidP="00DB7F6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5799327" w14:textId="77777777" w:rsidR="00F72A64" w:rsidRPr="00DB7F6B" w:rsidRDefault="00DB7F6B" w:rsidP="00DB7F6B">
    <w:pPr>
      <w:pStyle w:val="a4"/>
      <w:pBdr>
        <w:top w:val="single" w:sz="4" w:space="1" w:color="auto"/>
        <w:between w:val="single" w:sz="4" w:space="0" w:color="auto"/>
      </w:pBdr>
      <w:spacing w:after="60"/>
      <w:jc w:val="center"/>
      <w:rPr>
        <w:rFonts w:ascii="FrankRuehl" w:hAnsi="FrankRuehl" w:cs="FrankRuehl"/>
        <w:color w:val="000000"/>
      </w:rPr>
    </w:pPr>
    <w:r w:rsidRPr="00DB7F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1F229" w14:textId="77777777" w:rsidR="00DB7F6B" w:rsidRDefault="00DB7F6B" w:rsidP="00DB7F6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24791">
      <w:rPr>
        <w:rFonts w:ascii="FrankRuehl" w:hAnsi="FrankRuehl" w:cs="FrankRuehl"/>
        <w:noProof/>
        <w:rtl/>
      </w:rPr>
      <w:t>2</w:t>
    </w:r>
    <w:r>
      <w:rPr>
        <w:rFonts w:ascii="FrankRuehl" w:hAnsi="FrankRuehl" w:cs="FrankRuehl"/>
        <w:rtl/>
      </w:rPr>
      <w:fldChar w:fldCharType="end"/>
    </w:r>
  </w:p>
  <w:p w14:paraId="4253F758" w14:textId="77777777" w:rsidR="00F72A64" w:rsidRPr="00DB7F6B" w:rsidRDefault="00DB7F6B" w:rsidP="00DB7F6B">
    <w:pPr>
      <w:pStyle w:val="a4"/>
      <w:pBdr>
        <w:top w:val="single" w:sz="4" w:space="1" w:color="auto"/>
        <w:between w:val="single" w:sz="4" w:space="0" w:color="auto"/>
      </w:pBdr>
      <w:spacing w:after="60"/>
      <w:jc w:val="center"/>
      <w:rPr>
        <w:rFonts w:ascii="FrankRuehl" w:hAnsi="FrankRuehl" w:cs="FrankRuehl"/>
        <w:color w:val="000000"/>
      </w:rPr>
    </w:pPr>
    <w:r w:rsidRPr="00DB7F6B">
      <w:rPr>
        <w:rFonts w:ascii="FrankRuehl" w:hAnsi="FrankRuehl" w:cs="FrankRuehl"/>
        <w:color w:val="000000"/>
      </w:rPr>
      <w:pict w14:anchorId="55B8B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DD50F" w14:textId="77777777" w:rsidR="007C3026" w:rsidRDefault="007C3026">
      <w:r>
        <w:separator/>
      </w:r>
    </w:p>
  </w:footnote>
  <w:footnote w:type="continuationSeparator" w:id="0">
    <w:p w14:paraId="6CF593C1" w14:textId="77777777" w:rsidR="007C3026" w:rsidRDefault="007C3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587C8" w14:textId="77777777" w:rsidR="00F72A64" w:rsidRPr="00DB7F6B" w:rsidRDefault="00DB7F6B" w:rsidP="00DB7F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64678-09-14</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63975" w14:textId="77777777" w:rsidR="00F72A64" w:rsidRPr="00DB7F6B" w:rsidRDefault="00DB7F6B" w:rsidP="00DB7F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64678-09-14</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B3265"/>
    <w:rsid w:val="00051FC7"/>
    <w:rsid w:val="000B3265"/>
    <w:rsid w:val="00174FB2"/>
    <w:rsid w:val="0053559E"/>
    <w:rsid w:val="0070413E"/>
    <w:rsid w:val="007C3026"/>
    <w:rsid w:val="008169CF"/>
    <w:rsid w:val="008B550A"/>
    <w:rsid w:val="008D673B"/>
    <w:rsid w:val="00B1215F"/>
    <w:rsid w:val="00B7523E"/>
    <w:rsid w:val="00C24791"/>
    <w:rsid w:val="00DB7F6B"/>
    <w:rsid w:val="00E309F1"/>
    <w:rsid w:val="00E842EE"/>
    <w:rsid w:val="00EC589A"/>
    <w:rsid w:val="00F17C31"/>
    <w:rsid w:val="00F72A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5A171CE"/>
  <w15:chartTrackingRefBased/>
  <w15:docId w15:val="{72AA0D62-2604-4459-8D4E-9FDE2999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B326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B3265"/>
    <w:pPr>
      <w:tabs>
        <w:tab w:val="center" w:pos="4153"/>
        <w:tab w:val="right" w:pos="8306"/>
      </w:tabs>
    </w:pPr>
  </w:style>
  <w:style w:type="paragraph" w:styleId="a4">
    <w:name w:val="footer"/>
    <w:basedOn w:val="a"/>
    <w:rsid w:val="000B3265"/>
    <w:pPr>
      <w:tabs>
        <w:tab w:val="center" w:pos="4153"/>
        <w:tab w:val="right" w:pos="8306"/>
      </w:tabs>
    </w:pPr>
  </w:style>
  <w:style w:type="character" w:styleId="a5">
    <w:name w:val="page number"/>
    <w:basedOn w:val="a0"/>
    <w:rsid w:val="000B3265"/>
  </w:style>
  <w:style w:type="character" w:styleId="Hyperlink">
    <w:name w:val="Hyperlink"/>
    <w:rsid w:val="00F17C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8075252"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case/18075252"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1353</Words>
  <Characters>6765</Characters>
  <Application>Microsoft Office Word</Application>
  <DocSecurity>0</DocSecurity>
  <Lines>56</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8102</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3211385</vt:i4>
      </vt:variant>
      <vt:variant>
        <vt:i4>9</vt:i4>
      </vt:variant>
      <vt:variant>
        <vt:i4>0</vt:i4>
      </vt:variant>
      <vt:variant>
        <vt:i4>5</vt:i4>
      </vt:variant>
      <vt:variant>
        <vt:lpwstr>http://www.nevo.co.il/case/18075252</vt:lpwstr>
      </vt:variant>
      <vt:variant>
        <vt:lpwstr/>
      </vt:variant>
      <vt:variant>
        <vt:i4>3211385</vt:i4>
      </vt:variant>
      <vt:variant>
        <vt:i4>6</vt:i4>
      </vt:variant>
      <vt:variant>
        <vt:i4>0</vt:i4>
      </vt:variant>
      <vt:variant>
        <vt:i4>5</vt:i4>
      </vt:variant>
      <vt:variant>
        <vt:lpwstr>http://www.nevo.co.il/case/18075252</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2025-04-22T22:26:00Z</dcterms:created>
  <dcterms:modified xsi:type="dcterms:W3CDTF">2025-04-22T22:26:00Z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64678</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שרית כץ;דמיטרי ברנשטיין</vt:lpwstr>
  </property>
  <property fmtid="{D5CDD505-2E9C-101B-9397-08002B2CF9AE}" pid="11" name="JUDGE">
    <vt:lpwstr>ה עינת רון</vt:lpwstr>
  </property>
  <property fmtid="{D5CDD505-2E9C-101B-9397-08002B2CF9AE}" pid="12" name="CITY">
    <vt:lpwstr>רח'</vt:lpwstr>
  </property>
  <property fmtid="{D5CDD505-2E9C-101B-9397-08002B2CF9AE}" pid="13" name="DATE">
    <vt:lpwstr>20160523</vt:lpwstr>
  </property>
  <property fmtid="{D5CDD505-2E9C-101B-9397-08002B2CF9AE}" pid="14" name="TYPE_N_DATE">
    <vt:lpwstr>38020160523</vt:lpwstr>
  </property>
  <property fmtid="{D5CDD505-2E9C-101B-9397-08002B2CF9AE}" pid="15" name="CASESLISTTMP1">
    <vt:lpwstr>18075252:2</vt:lpwstr>
  </property>
  <property fmtid="{D5CDD505-2E9C-101B-9397-08002B2CF9AE}" pid="16" name="WORDNUMPAGES">
    <vt:lpwstr>5</vt:lpwstr>
  </property>
  <property fmtid="{D5CDD505-2E9C-101B-9397-08002B2CF9AE}" pid="17" name="TYPE_ABS_DATE">
    <vt:lpwstr>380020160523</vt:lpwstr>
  </property>
  <property fmtid="{D5CDD505-2E9C-101B-9397-08002B2CF9AE}" pid="18" name="ISABSTRACT">
    <vt:lpwstr>Y</vt:lpwstr>
  </property>
  <property fmtid="{D5CDD505-2E9C-101B-9397-08002B2CF9AE}" pid="19" name="LAWLISTTMP1">
    <vt:lpwstr>4216</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