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805"/>
        <w:gridCol w:w="236"/>
        <w:gridCol w:w="3679"/>
      </w:tblGrid>
      <w:tr w:rsidR="002C31DC" w:rsidRPr="006C0D60" w14:paraId="30CE10D9" w14:textId="77777777">
        <w:trPr>
          <w:trHeight w:hRule="exact" w:val="418"/>
          <w:jc w:val="center"/>
        </w:trPr>
        <w:tc>
          <w:tcPr>
            <w:tcW w:w="8720" w:type="dxa"/>
            <w:gridSpan w:val="3"/>
          </w:tcPr>
          <w:p w14:paraId="4E9B2458" w14:textId="77777777" w:rsidR="002C31DC" w:rsidRPr="006C0D60" w:rsidRDefault="006C0D60">
            <w:pPr>
              <w:pStyle w:val="a4"/>
              <w:tabs>
                <w:tab w:val="clear" w:pos="8306"/>
              </w:tabs>
              <w:jc w:val="center"/>
              <w:rPr>
                <w:rFonts w:ascii="Tahoma" w:hAnsi="Tahoma" w:cs="Tahoma"/>
                <w:b/>
                <w:bCs/>
                <w:color w:val="000080"/>
                <w:sz w:val="20"/>
                <w:szCs w:val="20"/>
                <w:rtl/>
              </w:rPr>
            </w:pPr>
            <w:bookmarkStart w:id="0" w:name="LastJudge"/>
            <w:r w:rsidRPr="006C0D60">
              <w:rPr>
                <w:rFonts w:ascii="Tahoma" w:hAnsi="Tahoma" w:cs="Tahoma" w:hint="cs"/>
                <w:b/>
                <w:bCs/>
                <w:color w:val="000080"/>
                <w:sz w:val="20"/>
                <w:szCs w:val="20"/>
                <w:rtl/>
              </w:rPr>
              <w:t>בתי המשפט</w:t>
            </w:r>
          </w:p>
        </w:tc>
      </w:tr>
      <w:tr w:rsidR="002C31DC" w:rsidRPr="006C0D60" w14:paraId="2BB146D1" w14:textId="77777777">
        <w:trPr>
          <w:trHeight w:val="709"/>
          <w:jc w:val="center"/>
        </w:trPr>
        <w:tc>
          <w:tcPr>
            <w:tcW w:w="4805" w:type="dxa"/>
          </w:tcPr>
          <w:p w14:paraId="6C69163E" w14:textId="77777777" w:rsidR="002C31DC" w:rsidRPr="006C0D60" w:rsidRDefault="006C0D60">
            <w:pPr>
              <w:rPr>
                <w:b/>
                <w:bCs/>
                <w:sz w:val="28"/>
                <w:szCs w:val="28"/>
                <w:rtl/>
              </w:rPr>
            </w:pPr>
            <w:r w:rsidRPr="006C0D60">
              <w:rPr>
                <w:rFonts w:hint="cs"/>
                <w:b/>
                <w:bCs/>
                <w:sz w:val="28"/>
                <w:szCs w:val="28"/>
                <w:rtl/>
              </w:rPr>
              <w:t>בית משפט השלום קריית גת</w:t>
            </w:r>
          </w:p>
        </w:tc>
        <w:tc>
          <w:tcPr>
            <w:tcW w:w="236" w:type="dxa"/>
            <w:vMerge w:val="restart"/>
          </w:tcPr>
          <w:p w14:paraId="16873852" w14:textId="77777777" w:rsidR="002C31DC" w:rsidRPr="006C0D60" w:rsidRDefault="002C31DC">
            <w:pPr>
              <w:pStyle w:val="a4"/>
              <w:jc w:val="right"/>
              <w:rPr>
                <w:b/>
                <w:bCs/>
                <w:sz w:val="28"/>
                <w:szCs w:val="28"/>
                <w:rtl/>
              </w:rPr>
            </w:pPr>
          </w:p>
        </w:tc>
        <w:tc>
          <w:tcPr>
            <w:tcW w:w="3679" w:type="dxa"/>
            <w:vMerge w:val="restart"/>
          </w:tcPr>
          <w:p w14:paraId="5C885590" w14:textId="77777777" w:rsidR="002C31DC" w:rsidRPr="006C0D60" w:rsidRDefault="006C0D60">
            <w:pPr>
              <w:jc w:val="right"/>
              <w:rPr>
                <w:b/>
                <w:bCs/>
                <w:sz w:val="28"/>
                <w:szCs w:val="28"/>
                <w:rtl/>
              </w:rPr>
            </w:pPr>
            <w:r w:rsidRPr="006C0D60">
              <w:rPr>
                <w:b/>
                <w:bCs/>
                <w:sz w:val="28"/>
                <w:szCs w:val="28"/>
                <w:rtl/>
              </w:rPr>
              <w:t>ת"פ</w:t>
            </w:r>
            <w:r w:rsidRPr="006C0D60">
              <w:rPr>
                <w:rFonts w:hint="cs"/>
                <w:b/>
                <w:bCs/>
                <w:sz w:val="28"/>
                <w:szCs w:val="28"/>
                <w:rtl/>
              </w:rPr>
              <w:t xml:space="preserve"> </w:t>
            </w:r>
            <w:r w:rsidRPr="006C0D60">
              <w:rPr>
                <w:b/>
                <w:bCs/>
                <w:sz w:val="28"/>
                <w:szCs w:val="28"/>
                <w:rtl/>
              </w:rPr>
              <w:t>12202-10-14</w:t>
            </w:r>
          </w:p>
          <w:p w14:paraId="754762DB" w14:textId="77777777" w:rsidR="002C31DC" w:rsidRPr="006C0D60" w:rsidRDefault="002C31DC">
            <w:pPr>
              <w:pStyle w:val="a4"/>
              <w:tabs>
                <w:tab w:val="clear" w:pos="4153"/>
              </w:tabs>
              <w:jc w:val="right"/>
              <w:rPr>
                <w:b/>
                <w:bCs/>
                <w:sz w:val="20"/>
                <w:szCs w:val="20"/>
                <w:rtl/>
              </w:rPr>
            </w:pPr>
          </w:p>
          <w:p w14:paraId="4EA85AD4" w14:textId="77777777" w:rsidR="002C31DC" w:rsidRPr="006C0D60" w:rsidRDefault="006C0D60">
            <w:pPr>
              <w:pStyle w:val="a4"/>
              <w:tabs>
                <w:tab w:val="clear" w:pos="4153"/>
              </w:tabs>
              <w:jc w:val="right"/>
              <w:rPr>
                <w:b/>
                <w:bCs/>
                <w:sz w:val="28"/>
                <w:szCs w:val="28"/>
                <w:rtl/>
              </w:rPr>
            </w:pPr>
            <w:r w:rsidRPr="006C0D60">
              <w:rPr>
                <w:b/>
                <w:bCs/>
                <w:sz w:val="28"/>
                <w:szCs w:val="28"/>
                <w:rtl/>
              </w:rPr>
              <w:t>05 יולי 2015</w:t>
            </w:r>
          </w:p>
        </w:tc>
      </w:tr>
      <w:tr w:rsidR="002C31DC" w:rsidRPr="006C0D60" w14:paraId="3C4EB332" w14:textId="77777777">
        <w:trPr>
          <w:trHeight w:val="547"/>
          <w:jc w:val="center"/>
        </w:trPr>
        <w:tc>
          <w:tcPr>
            <w:tcW w:w="4805" w:type="dxa"/>
          </w:tcPr>
          <w:p w14:paraId="4AF6848F" w14:textId="77777777" w:rsidR="002C31DC" w:rsidRPr="006C0D60" w:rsidRDefault="006C0D60">
            <w:pPr>
              <w:rPr>
                <w:b/>
                <w:bCs/>
                <w:sz w:val="28"/>
                <w:szCs w:val="28"/>
                <w:rtl/>
              </w:rPr>
            </w:pPr>
            <w:r w:rsidRPr="006C0D60">
              <w:rPr>
                <w:rFonts w:hint="cs"/>
                <w:b/>
                <w:bCs/>
                <w:sz w:val="28"/>
                <w:szCs w:val="28"/>
                <w:rtl/>
              </w:rPr>
              <w:t>בפני: כב' ה</w:t>
            </w:r>
            <w:r w:rsidRPr="006C0D60">
              <w:rPr>
                <w:b/>
                <w:bCs/>
                <w:sz w:val="28"/>
                <w:szCs w:val="28"/>
                <w:rtl/>
              </w:rPr>
              <w:t>שופטת בכירה רובין לביא</w:t>
            </w:r>
          </w:p>
        </w:tc>
        <w:tc>
          <w:tcPr>
            <w:tcW w:w="236" w:type="dxa"/>
            <w:vMerge/>
          </w:tcPr>
          <w:p w14:paraId="6E484A79" w14:textId="77777777" w:rsidR="002C31DC" w:rsidRPr="006C0D60" w:rsidRDefault="002C31DC">
            <w:pPr>
              <w:pStyle w:val="a4"/>
              <w:jc w:val="right"/>
              <w:rPr>
                <w:b/>
                <w:bCs/>
                <w:sz w:val="28"/>
                <w:szCs w:val="28"/>
                <w:rtl/>
              </w:rPr>
            </w:pPr>
          </w:p>
        </w:tc>
        <w:tc>
          <w:tcPr>
            <w:tcW w:w="3679" w:type="dxa"/>
            <w:vMerge/>
          </w:tcPr>
          <w:p w14:paraId="665DECB4" w14:textId="77777777" w:rsidR="002C31DC" w:rsidRPr="006C0D60" w:rsidRDefault="002C31DC">
            <w:pPr>
              <w:jc w:val="right"/>
              <w:rPr>
                <w:b/>
                <w:bCs/>
                <w:sz w:val="28"/>
                <w:szCs w:val="28"/>
                <w:rtl/>
              </w:rPr>
            </w:pPr>
          </w:p>
        </w:tc>
      </w:tr>
    </w:tbl>
    <w:p w14:paraId="323D5E08" w14:textId="77777777" w:rsidR="002C31DC" w:rsidRPr="006C0D60" w:rsidRDefault="002C31DC">
      <w:pPr>
        <w:pStyle w:val="a4"/>
        <w:jc w:val="center"/>
        <w:rPr>
          <w:rFonts w:ascii="Tahoma" w:hAnsi="Tahoma" w:cs="Tahoma"/>
          <w:b/>
          <w:bCs/>
          <w:color w:val="000080"/>
          <w:sz w:val="20"/>
          <w:szCs w:val="20"/>
          <w:rtl/>
        </w:rPr>
      </w:pPr>
    </w:p>
    <w:p w14:paraId="774D1CB7" w14:textId="77777777" w:rsidR="002C31DC" w:rsidRPr="006C0D60" w:rsidRDefault="002C31DC">
      <w:pPr>
        <w:rPr>
          <w:rFonts w:ascii="Arial" w:hAnsi="Arial"/>
          <w:b/>
          <w:bCs/>
          <w:sz w:val="26"/>
          <w:rtl/>
        </w:rPr>
      </w:pPr>
    </w:p>
    <w:tbl>
      <w:tblPr>
        <w:bidiVisual/>
        <w:tblW w:w="8802" w:type="dxa"/>
        <w:tblInd w:w="-28" w:type="dxa"/>
        <w:tblLook w:val="01E0" w:firstRow="1" w:lastRow="1" w:firstColumn="1" w:lastColumn="1" w:noHBand="0" w:noVBand="0"/>
      </w:tblPr>
      <w:tblGrid>
        <w:gridCol w:w="945"/>
        <w:gridCol w:w="6416"/>
        <w:gridCol w:w="19"/>
        <w:gridCol w:w="1316"/>
        <w:gridCol w:w="106"/>
      </w:tblGrid>
      <w:tr w:rsidR="002C31DC" w:rsidRPr="006C0D60" w14:paraId="781D55B7" w14:textId="77777777">
        <w:tc>
          <w:tcPr>
            <w:tcW w:w="945" w:type="dxa"/>
            <w:shd w:val="clear" w:color="auto" w:fill="auto"/>
          </w:tcPr>
          <w:p w14:paraId="64538114" w14:textId="77777777" w:rsidR="002C31DC" w:rsidRPr="006C0D60" w:rsidRDefault="006C0D60">
            <w:pPr>
              <w:jc w:val="left"/>
              <w:rPr>
                <w:rFonts w:ascii="Times New Roman" w:eastAsia="Times New Roman" w:hAnsi="Times New Roman"/>
                <w:b/>
                <w:bCs/>
                <w:sz w:val="26"/>
                <w:rtl/>
              </w:rPr>
            </w:pPr>
            <w:bookmarkStart w:id="1" w:name="FirstAppellant"/>
            <w:r w:rsidRPr="006C0D60">
              <w:rPr>
                <w:rFonts w:ascii="Times New Roman" w:eastAsia="Times New Roman" w:hAnsi="Times New Roman" w:hint="cs"/>
                <w:b/>
                <w:bCs/>
                <w:sz w:val="26"/>
                <w:rtl/>
              </w:rPr>
              <w:t>בעניין:</w:t>
            </w:r>
          </w:p>
        </w:tc>
        <w:tc>
          <w:tcPr>
            <w:tcW w:w="7857" w:type="dxa"/>
            <w:gridSpan w:val="4"/>
            <w:shd w:val="clear" w:color="auto" w:fill="auto"/>
          </w:tcPr>
          <w:p w14:paraId="728BCBFB" w14:textId="77777777" w:rsidR="002C31DC" w:rsidRPr="006C0D60" w:rsidRDefault="006C0D60">
            <w:pPr>
              <w:jc w:val="left"/>
              <w:rPr>
                <w:rFonts w:ascii="Times New Roman" w:eastAsia="Times New Roman" w:hAnsi="Times New Roman"/>
                <w:b/>
                <w:bCs/>
                <w:sz w:val="26"/>
                <w:rtl/>
              </w:rPr>
            </w:pPr>
            <w:r w:rsidRPr="006C0D60">
              <w:rPr>
                <w:rFonts w:ascii="Times New Roman" w:eastAsia="Times New Roman" w:hAnsi="Times New Roman" w:hint="cs"/>
                <w:b/>
                <w:bCs/>
                <w:sz w:val="26"/>
                <w:rtl/>
              </w:rPr>
              <w:t>מדינת ישראל</w:t>
            </w:r>
          </w:p>
        </w:tc>
      </w:tr>
      <w:bookmarkEnd w:id="1"/>
      <w:tr w:rsidR="002C31DC" w:rsidRPr="006C0D60" w14:paraId="2D4CBAFB" w14:textId="77777777">
        <w:trPr>
          <w:gridAfter w:val="1"/>
          <w:wAfter w:w="106" w:type="dxa"/>
        </w:trPr>
        <w:tc>
          <w:tcPr>
            <w:tcW w:w="945" w:type="dxa"/>
            <w:shd w:val="clear" w:color="auto" w:fill="auto"/>
          </w:tcPr>
          <w:p w14:paraId="186E3F4D" w14:textId="77777777" w:rsidR="002C31DC" w:rsidRPr="006C0D60" w:rsidRDefault="002C31DC">
            <w:pPr>
              <w:ind w:left="26"/>
              <w:jc w:val="left"/>
              <w:rPr>
                <w:rFonts w:ascii="Times New Roman" w:eastAsia="Times New Roman" w:hAnsi="Times New Roman"/>
                <w:b/>
                <w:bCs/>
                <w:sz w:val="26"/>
                <w:rtl/>
              </w:rPr>
            </w:pPr>
          </w:p>
        </w:tc>
        <w:tc>
          <w:tcPr>
            <w:tcW w:w="6416" w:type="dxa"/>
            <w:shd w:val="clear" w:color="auto" w:fill="auto"/>
          </w:tcPr>
          <w:p w14:paraId="587F1D26" w14:textId="77777777" w:rsidR="002C31DC" w:rsidRPr="006C0D60" w:rsidRDefault="002C31DC">
            <w:pPr>
              <w:jc w:val="left"/>
              <w:rPr>
                <w:rFonts w:ascii="Times New Roman" w:eastAsia="Times New Roman" w:hAnsi="Times New Roman"/>
                <w:b/>
                <w:bCs/>
                <w:sz w:val="26"/>
                <w:rtl/>
              </w:rPr>
            </w:pPr>
          </w:p>
        </w:tc>
        <w:tc>
          <w:tcPr>
            <w:tcW w:w="1335" w:type="dxa"/>
            <w:gridSpan w:val="2"/>
            <w:shd w:val="clear" w:color="auto" w:fill="auto"/>
          </w:tcPr>
          <w:p w14:paraId="1F8E3324" w14:textId="77777777" w:rsidR="002C31DC" w:rsidRPr="006C0D60" w:rsidRDefault="006C0D60">
            <w:pPr>
              <w:ind w:left="26"/>
              <w:jc w:val="left"/>
              <w:rPr>
                <w:rFonts w:ascii="Times New Roman" w:eastAsia="Times New Roman" w:hAnsi="Times New Roman"/>
                <w:b/>
                <w:bCs/>
                <w:sz w:val="26"/>
                <w:rtl/>
              </w:rPr>
            </w:pPr>
            <w:r w:rsidRPr="006C0D60">
              <w:rPr>
                <w:rFonts w:ascii="Times New Roman" w:eastAsia="Times New Roman" w:hAnsi="Times New Roman" w:hint="cs"/>
                <w:b/>
                <w:bCs/>
                <w:sz w:val="26"/>
                <w:rtl/>
              </w:rPr>
              <w:t>המאשימה</w:t>
            </w:r>
          </w:p>
        </w:tc>
      </w:tr>
      <w:tr w:rsidR="002C31DC" w:rsidRPr="006C0D60" w14:paraId="72670D59" w14:textId="77777777">
        <w:trPr>
          <w:gridAfter w:val="1"/>
          <w:wAfter w:w="106" w:type="dxa"/>
        </w:trPr>
        <w:tc>
          <w:tcPr>
            <w:tcW w:w="8696" w:type="dxa"/>
            <w:gridSpan w:val="4"/>
            <w:shd w:val="clear" w:color="auto" w:fill="auto"/>
          </w:tcPr>
          <w:p w14:paraId="73ADECEC" w14:textId="77777777" w:rsidR="002C31DC" w:rsidRPr="006C0D60" w:rsidRDefault="006C0D60">
            <w:pPr>
              <w:jc w:val="center"/>
              <w:rPr>
                <w:rFonts w:ascii="Arial" w:eastAsia="Times New Roman" w:hAnsi="Arial"/>
                <w:b/>
                <w:bCs/>
                <w:sz w:val="26"/>
              </w:rPr>
            </w:pPr>
            <w:r w:rsidRPr="006C0D60">
              <w:rPr>
                <w:rFonts w:ascii="Arial" w:eastAsia="Times New Roman" w:hAnsi="Arial"/>
                <w:b/>
                <w:bCs/>
                <w:sz w:val="26"/>
                <w:rtl/>
              </w:rPr>
              <w:t>נ</w:t>
            </w:r>
            <w:r w:rsidRPr="006C0D60">
              <w:rPr>
                <w:rFonts w:ascii="Arial" w:eastAsia="Times New Roman" w:hAnsi="Arial" w:hint="cs"/>
                <w:b/>
                <w:bCs/>
                <w:sz w:val="26"/>
                <w:rtl/>
              </w:rPr>
              <w:t xml:space="preserve"> </w:t>
            </w:r>
            <w:r w:rsidRPr="006C0D60">
              <w:rPr>
                <w:rFonts w:ascii="Arial" w:eastAsia="Times New Roman" w:hAnsi="Arial"/>
                <w:b/>
                <w:bCs/>
                <w:sz w:val="26"/>
                <w:rtl/>
              </w:rPr>
              <w:t>ג</w:t>
            </w:r>
            <w:r w:rsidRPr="006C0D60">
              <w:rPr>
                <w:rFonts w:ascii="Arial" w:eastAsia="Times New Roman" w:hAnsi="Arial" w:hint="cs"/>
                <w:b/>
                <w:bCs/>
                <w:sz w:val="26"/>
                <w:rtl/>
              </w:rPr>
              <w:t xml:space="preserve"> </w:t>
            </w:r>
            <w:r w:rsidRPr="006C0D60">
              <w:rPr>
                <w:rFonts w:ascii="Arial" w:eastAsia="Times New Roman" w:hAnsi="Arial"/>
                <w:b/>
                <w:bCs/>
                <w:sz w:val="26"/>
                <w:rtl/>
              </w:rPr>
              <w:t>ד</w:t>
            </w:r>
          </w:p>
        </w:tc>
      </w:tr>
      <w:tr w:rsidR="002C31DC" w:rsidRPr="006C0D60" w14:paraId="4FF84FAF" w14:textId="77777777">
        <w:trPr>
          <w:gridAfter w:val="1"/>
          <w:wAfter w:w="106" w:type="dxa"/>
        </w:trPr>
        <w:tc>
          <w:tcPr>
            <w:tcW w:w="945" w:type="dxa"/>
            <w:shd w:val="clear" w:color="auto" w:fill="auto"/>
          </w:tcPr>
          <w:p w14:paraId="7677F3A8" w14:textId="77777777" w:rsidR="002C31DC" w:rsidRPr="006C0D60" w:rsidRDefault="002C31DC">
            <w:pPr>
              <w:ind w:left="26"/>
              <w:rPr>
                <w:rFonts w:ascii="Times New Roman" w:eastAsia="Times New Roman" w:hAnsi="Times New Roman"/>
                <w:b/>
                <w:bCs/>
                <w:sz w:val="26"/>
                <w:rtl/>
              </w:rPr>
            </w:pPr>
          </w:p>
        </w:tc>
        <w:tc>
          <w:tcPr>
            <w:tcW w:w="6435" w:type="dxa"/>
            <w:gridSpan w:val="2"/>
            <w:shd w:val="clear" w:color="auto" w:fill="auto"/>
          </w:tcPr>
          <w:p w14:paraId="72CB7C9F" w14:textId="77777777" w:rsidR="002C31DC" w:rsidRPr="006C0D60" w:rsidRDefault="006C0D60">
            <w:pPr>
              <w:jc w:val="left"/>
              <w:rPr>
                <w:b/>
                <w:bCs/>
                <w:sz w:val="26"/>
                <w:rtl/>
              </w:rPr>
            </w:pPr>
            <w:r w:rsidRPr="006C0D60">
              <w:rPr>
                <w:rFonts w:ascii="Times New Roman" w:eastAsia="Times New Roman" w:hAnsi="Times New Roman" w:hint="cs"/>
                <w:rtl/>
              </w:rPr>
              <w:t>רן נתן</w:t>
            </w:r>
            <w:r w:rsidRPr="006C0D60">
              <w:rPr>
                <w:rFonts w:ascii="Times New Roman" w:eastAsia="Times New Roman" w:hAnsi="Times New Roman" w:hint="cs"/>
                <w:b/>
                <w:bCs/>
                <w:sz w:val="26"/>
                <w:rtl/>
              </w:rPr>
              <w:t xml:space="preserve"> </w:t>
            </w:r>
            <w:r w:rsidRPr="006C0D60">
              <w:rPr>
                <w:rFonts w:ascii="Times New Roman" w:eastAsia="Times New Roman" w:hAnsi="Times New Roman" w:hint="cs"/>
                <w:rtl/>
              </w:rPr>
              <w:t>ת.ז.</w:t>
            </w:r>
            <w:r w:rsidRPr="006C0D60">
              <w:rPr>
                <w:rFonts w:ascii="Times New Roman" w:eastAsia="Times New Roman" w:hAnsi="Times New Roman" w:hint="cs"/>
                <w:b/>
                <w:bCs/>
                <w:sz w:val="26"/>
                <w:rtl/>
              </w:rPr>
              <w:t xml:space="preserve"> </w:t>
            </w:r>
            <w:r w:rsidRPr="006C0D60">
              <w:rPr>
                <w:rFonts w:ascii="Times New Roman" w:eastAsia="Times New Roman" w:hAnsi="Times New Roman" w:hint="cs"/>
                <w:rtl/>
              </w:rPr>
              <w:t>037397130</w:t>
            </w:r>
          </w:p>
        </w:tc>
        <w:tc>
          <w:tcPr>
            <w:tcW w:w="1316" w:type="dxa"/>
            <w:shd w:val="clear" w:color="auto" w:fill="auto"/>
          </w:tcPr>
          <w:p w14:paraId="0378E510" w14:textId="77777777" w:rsidR="002C31DC" w:rsidRPr="006C0D60" w:rsidRDefault="002C31DC">
            <w:pPr>
              <w:rPr>
                <w:rFonts w:ascii="Times New Roman" w:eastAsia="Times New Roman" w:hAnsi="Times New Roman"/>
                <w:b/>
                <w:bCs/>
                <w:sz w:val="26"/>
                <w:rtl/>
              </w:rPr>
            </w:pPr>
          </w:p>
        </w:tc>
      </w:tr>
      <w:tr w:rsidR="002C31DC" w:rsidRPr="006C0D60" w14:paraId="0B694DAF" w14:textId="77777777">
        <w:trPr>
          <w:gridAfter w:val="1"/>
          <w:wAfter w:w="106" w:type="dxa"/>
        </w:trPr>
        <w:tc>
          <w:tcPr>
            <w:tcW w:w="945" w:type="dxa"/>
            <w:shd w:val="clear" w:color="auto" w:fill="auto"/>
          </w:tcPr>
          <w:p w14:paraId="0415C13F" w14:textId="77777777" w:rsidR="002C31DC" w:rsidRPr="006C0D60" w:rsidRDefault="002C31DC">
            <w:pPr>
              <w:ind w:left="26"/>
              <w:jc w:val="left"/>
              <w:rPr>
                <w:rFonts w:ascii="Times New Roman" w:eastAsia="Times New Roman" w:hAnsi="Times New Roman"/>
                <w:b/>
                <w:bCs/>
                <w:sz w:val="26"/>
                <w:rtl/>
              </w:rPr>
            </w:pPr>
          </w:p>
        </w:tc>
        <w:tc>
          <w:tcPr>
            <w:tcW w:w="6435" w:type="dxa"/>
            <w:gridSpan w:val="2"/>
            <w:shd w:val="clear" w:color="auto" w:fill="auto"/>
          </w:tcPr>
          <w:p w14:paraId="51A34B1A" w14:textId="77777777" w:rsidR="002C31DC" w:rsidRPr="006C0D60" w:rsidRDefault="002C31DC">
            <w:pPr>
              <w:jc w:val="left"/>
              <w:rPr>
                <w:rFonts w:ascii="Times New Roman" w:eastAsia="Times New Roman" w:hAnsi="Times New Roman"/>
                <w:b/>
                <w:bCs/>
                <w:sz w:val="26"/>
                <w:rtl/>
              </w:rPr>
            </w:pPr>
          </w:p>
        </w:tc>
        <w:tc>
          <w:tcPr>
            <w:tcW w:w="1316" w:type="dxa"/>
            <w:shd w:val="clear" w:color="auto" w:fill="auto"/>
          </w:tcPr>
          <w:p w14:paraId="00850DA6" w14:textId="77777777" w:rsidR="002C31DC" w:rsidRPr="006C0D60" w:rsidRDefault="006C0D60">
            <w:pPr>
              <w:jc w:val="left"/>
              <w:rPr>
                <w:rFonts w:ascii="Times New Roman" w:eastAsia="Times New Roman" w:hAnsi="Times New Roman"/>
                <w:b/>
                <w:bCs/>
                <w:sz w:val="26"/>
                <w:rtl/>
              </w:rPr>
            </w:pPr>
            <w:r w:rsidRPr="006C0D60">
              <w:rPr>
                <w:rFonts w:ascii="Times New Roman" w:eastAsia="Times New Roman" w:hAnsi="Times New Roman" w:hint="cs"/>
                <w:b/>
                <w:bCs/>
                <w:sz w:val="26"/>
                <w:rtl/>
              </w:rPr>
              <w:t>הנאשם</w:t>
            </w:r>
          </w:p>
        </w:tc>
      </w:tr>
    </w:tbl>
    <w:p w14:paraId="61D5E4C7" w14:textId="77777777" w:rsidR="002C31DC" w:rsidRPr="006C0D60" w:rsidRDefault="002C31DC">
      <w:pPr>
        <w:rPr>
          <w:rFonts w:ascii="Arial" w:hAnsi="Arial"/>
          <w:b/>
          <w:bCs/>
          <w:sz w:val="26"/>
          <w:rtl/>
        </w:rPr>
      </w:pPr>
    </w:p>
    <w:p w14:paraId="65B68018" w14:textId="77777777" w:rsidR="002C31DC" w:rsidRPr="006C0D60" w:rsidRDefault="006C0D60">
      <w:pPr>
        <w:rPr>
          <w:rFonts w:ascii="Arial" w:hAnsi="Arial"/>
          <w:b/>
          <w:bCs/>
          <w:sz w:val="26"/>
          <w:rtl/>
        </w:rPr>
      </w:pPr>
      <w:r w:rsidRPr="006C0D60">
        <w:rPr>
          <w:rFonts w:ascii="Arial" w:hAnsi="Arial" w:hint="cs"/>
          <w:b/>
          <w:bCs/>
          <w:sz w:val="26"/>
          <w:rtl/>
        </w:rPr>
        <w:t>נוכחים:</w:t>
      </w:r>
    </w:p>
    <w:p w14:paraId="255CFA21" w14:textId="77777777" w:rsidR="002C31DC" w:rsidRPr="006C0D60" w:rsidRDefault="006C0D60">
      <w:pPr>
        <w:rPr>
          <w:rtl/>
        </w:rPr>
      </w:pPr>
      <w:bookmarkStart w:id="2" w:name="FirstLawyer"/>
      <w:r w:rsidRPr="006C0D60">
        <w:rPr>
          <w:rFonts w:hint="cs"/>
          <w:rtl/>
        </w:rPr>
        <w:t>ב"כ</w:t>
      </w:r>
      <w:bookmarkEnd w:id="2"/>
      <w:r w:rsidRPr="006C0D60">
        <w:rPr>
          <w:rFonts w:hint="cs"/>
          <w:rtl/>
        </w:rPr>
        <w:t xml:space="preserve"> המאשימה עו"ד </w:t>
      </w:r>
      <w:r w:rsidRPr="006C0D60">
        <w:rPr>
          <w:rtl/>
        </w:rPr>
        <w:t>–</w:t>
      </w:r>
      <w:r w:rsidRPr="006C0D60">
        <w:rPr>
          <w:rFonts w:hint="cs"/>
          <w:rtl/>
        </w:rPr>
        <w:t xml:space="preserve"> אביעד כ"ץ</w:t>
      </w:r>
    </w:p>
    <w:p w14:paraId="7AF47C8E" w14:textId="77777777" w:rsidR="002C31DC" w:rsidRPr="006C0D60" w:rsidRDefault="006C0D60">
      <w:pPr>
        <w:rPr>
          <w:rtl/>
        </w:rPr>
      </w:pPr>
      <w:r w:rsidRPr="006C0D60">
        <w:rPr>
          <w:rFonts w:hint="cs"/>
          <w:rtl/>
        </w:rPr>
        <w:t xml:space="preserve">הנאשם -    בעצמו              ובא כוחו עו"ד </w:t>
      </w:r>
      <w:r w:rsidRPr="006C0D60">
        <w:rPr>
          <w:rtl/>
        </w:rPr>
        <w:t>–</w:t>
      </w:r>
      <w:r w:rsidRPr="006C0D60">
        <w:rPr>
          <w:rFonts w:hint="cs"/>
          <w:rtl/>
        </w:rPr>
        <w:t xml:space="preserve"> שרון ווקנין </w:t>
      </w:r>
    </w:p>
    <w:p w14:paraId="105B591D" w14:textId="77777777" w:rsidR="002C31DC" w:rsidRPr="006C0D60" w:rsidRDefault="006C0D60">
      <w:pPr>
        <w:rPr>
          <w:sz w:val="6"/>
          <w:szCs w:val="6"/>
          <w:rtl/>
        </w:rPr>
      </w:pPr>
      <w:r w:rsidRPr="006C0D60">
        <w:rPr>
          <w:sz w:val="6"/>
          <w:szCs w:val="6"/>
          <w:rtl/>
        </w:rPr>
        <w:t>&lt;#1#&gt;</w:t>
      </w:r>
    </w:p>
    <w:p w14:paraId="1B765506" w14:textId="77777777" w:rsidR="002C31DC" w:rsidRPr="006C0D60" w:rsidRDefault="002C31DC">
      <w:pPr>
        <w:pStyle w:val="12"/>
        <w:rPr>
          <w:b w:val="0"/>
          <w:bCs w:val="0"/>
          <w:u w:val="none"/>
          <w:rtl/>
        </w:rPr>
      </w:pPr>
    </w:p>
    <w:p w14:paraId="25A89675" w14:textId="77777777" w:rsidR="00DA2269" w:rsidRDefault="006C0D60">
      <w:pPr>
        <w:jc w:val="center"/>
        <w:rPr>
          <w:rFonts w:ascii="Arial" w:hAnsi="Arial"/>
          <w:sz w:val="28"/>
          <w:szCs w:val="28"/>
          <w:rtl/>
        </w:rPr>
      </w:pPr>
      <w:r w:rsidRPr="006C0D60">
        <w:rPr>
          <w:rFonts w:ascii="Arial" w:hAnsi="Arial"/>
          <w:b/>
          <w:color w:val="FF0000"/>
          <w:sz w:val="28"/>
          <w:szCs w:val="24"/>
          <w:rtl/>
        </w:rPr>
        <w:t>במסמך זה הושמטו פרוטוקולים</w:t>
      </w:r>
      <w:bookmarkStart w:id="3" w:name="LawTable"/>
      <w:bookmarkEnd w:id="3"/>
    </w:p>
    <w:p w14:paraId="4FA0C0B9" w14:textId="77777777" w:rsidR="00DA2269" w:rsidRPr="00DA2269" w:rsidRDefault="00DA2269" w:rsidP="00DA2269">
      <w:pPr>
        <w:spacing w:after="120" w:line="240" w:lineRule="exact"/>
        <w:ind w:left="283" w:hanging="283"/>
        <w:rPr>
          <w:rFonts w:ascii="FrankRuehl" w:hAnsi="FrankRuehl" w:cs="FrankRuehl"/>
          <w:szCs w:val="24"/>
          <w:rtl/>
        </w:rPr>
      </w:pPr>
    </w:p>
    <w:p w14:paraId="650E5837" w14:textId="77777777" w:rsidR="00DA2269" w:rsidRPr="00DA2269" w:rsidRDefault="00DA2269" w:rsidP="00DA2269">
      <w:pPr>
        <w:spacing w:after="120" w:line="240" w:lineRule="exact"/>
        <w:ind w:left="283" w:hanging="283"/>
        <w:rPr>
          <w:rFonts w:ascii="FrankRuehl" w:hAnsi="FrankRuehl" w:cs="FrankRuehl"/>
          <w:szCs w:val="24"/>
          <w:rtl/>
        </w:rPr>
      </w:pPr>
      <w:r w:rsidRPr="00DA2269">
        <w:rPr>
          <w:rFonts w:ascii="FrankRuehl" w:hAnsi="FrankRuehl" w:cs="FrankRuehl"/>
          <w:szCs w:val="24"/>
          <w:rtl/>
        </w:rPr>
        <w:t xml:space="preserve">חקיקה שאוזכרה: </w:t>
      </w:r>
    </w:p>
    <w:p w14:paraId="725B1C1B" w14:textId="77777777" w:rsidR="00DA2269" w:rsidRPr="00DA2269" w:rsidRDefault="00DA2269" w:rsidP="00DA2269">
      <w:pPr>
        <w:spacing w:after="120" w:line="240" w:lineRule="exact"/>
        <w:ind w:left="283" w:hanging="283"/>
        <w:rPr>
          <w:rFonts w:ascii="FrankRuehl" w:hAnsi="FrankRuehl" w:cs="FrankRuehl"/>
          <w:szCs w:val="24"/>
          <w:rtl/>
        </w:rPr>
      </w:pPr>
      <w:hyperlink r:id="rId6" w:history="1">
        <w:r w:rsidRPr="00DA2269">
          <w:rPr>
            <w:rFonts w:ascii="FrankRuehl" w:hAnsi="FrankRuehl" w:cs="FrankRuehl"/>
            <w:color w:val="0000FF"/>
            <w:szCs w:val="24"/>
            <w:u w:val="single"/>
            <w:rtl/>
          </w:rPr>
          <w:t>חוק העונשין, תשל"ז-1977</w:t>
        </w:r>
      </w:hyperlink>
    </w:p>
    <w:p w14:paraId="2C5227C1" w14:textId="77777777" w:rsidR="00DA2269" w:rsidRPr="00DA2269" w:rsidRDefault="00DA2269" w:rsidP="00DA2269">
      <w:pPr>
        <w:spacing w:after="120" w:line="240" w:lineRule="exact"/>
        <w:ind w:left="283" w:hanging="283"/>
        <w:rPr>
          <w:rFonts w:ascii="FrankRuehl" w:hAnsi="FrankRuehl" w:cs="FrankRuehl"/>
          <w:szCs w:val="24"/>
          <w:rtl/>
        </w:rPr>
      </w:pPr>
      <w:hyperlink r:id="rId7" w:history="1">
        <w:r w:rsidRPr="00DA2269">
          <w:rPr>
            <w:rFonts w:ascii="FrankRuehl" w:hAnsi="FrankRuehl" w:cs="FrankRuehl"/>
            <w:color w:val="0000FF"/>
            <w:szCs w:val="24"/>
            <w:u w:val="single"/>
            <w:rtl/>
          </w:rPr>
          <w:t>פקודת הסמים המסוכנים [נוסח חדש], תשל"ג-1973</w:t>
        </w:r>
      </w:hyperlink>
    </w:p>
    <w:p w14:paraId="66CBD8F9" w14:textId="77777777" w:rsidR="00DA2269" w:rsidRPr="00DA2269" w:rsidRDefault="00DA2269" w:rsidP="00DA2269">
      <w:pPr>
        <w:spacing w:after="120" w:line="240" w:lineRule="exact"/>
        <w:ind w:left="283" w:hanging="283"/>
        <w:rPr>
          <w:rFonts w:ascii="FrankRuehl" w:hAnsi="FrankRuehl" w:cs="FrankRuehl"/>
          <w:szCs w:val="24"/>
          <w:rtl/>
        </w:rPr>
      </w:pPr>
    </w:p>
    <w:p w14:paraId="354FBBB3" w14:textId="77777777" w:rsidR="006C0D60" w:rsidRPr="006C0D60" w:rsidRDefault="006C0D60" w:rsidP="006C0D60">
      <w:pPr>
        <w:jc w:val="center"/>
        <w:rPr>
          <w:rFonts w:ascii="Arial" w:hAnsi="Arial"/>
          <w:b/>
          <w:bCs/>
          <w:sz w:val="28"/>
          <w:szCs w:val="28"/>
          <w:u w:val="single"/>
          <w:rtl/>
        </w:rPr>
      </w:pPr>
      <w:bookmarkStart w:id="4" w:name="LawTable_End"/>
      <w:bookmarkStart w:id="5" w:name="PsakDin"/>
      <w:bookmarkEnd w:id="0"/>
      <w:bookmarkEnd w:id="4"/>
      <w:r w:rsidRPr="006C0D60">
        <w:rPr>
          <w:rFonts w:ascii="Arial" w:hAnsi="Arial"/>
          <w:b/>
          <w:bCs/>
          <w:sz w:val="28"/>
          <w:szCs w:val="28"/>
          <w:u w:val="single"/>
          <w:rtl/>
        </w:rPr>
        <w:t>גזר דין</w:t>
      </w:r>
    </w:p>
    <w:bookmarkEnd w:id="5"/>
    <w:p w14:paraId="4EE08370" w14:textId="77777777" w:rsidR="002C31DC" w:rsidRDefault="002C31DC">
      <w:pPr>
        <w:rPr>
          <w:rFonts w:ascii="Arial" w:hAnsi="Arial"/>
          <w:rtl/>
        </w:rPr>
      </w:pPr>
    </w:p>
    <w:p w14:paraId="161F4F7C" w14:textId="77777777" w:rsidR="002C31DC" w:rsidRDefault="006C0D60">
      <w:pPr>
        <w:rPr>
          <w:rFonts w:ascii="Arial" w:hAnsi="Arial"/>
          <w:rtl/>
        </w:rPr>
      </w:pPr>
      <w:bookmarkStart w:id="6" w:name="ABSTRACT_START"/>
      <w:bookmarkEnd w:id="6"/>
      <w:r>
        <w:rPr>
          <w:rFonts w:ascii="Arial" w:hAnsi="Arial" w:hint="cs"/>
          <w:rtl/>
        </w:rPr>
        <w:t xml:space="preserve">הנאשם הודה והורשע במסגרת הסדר טיעון שכלל תיקון כתב האישום, בכך שב- 30.9.14 בבוקר, החזיק בביתו סם מסוכן מסוג קוקאין במשקל 4.6462 נטו שלא לצריכתו העצמית וניסה להכניס את הסם לגרב, אלא ששוטר הבחין בו תפס את ידו ו מנע ממנו לעשות כן. </w:t>
      </w:r>
    </w:p>
    <w:p w14:paraId="4A38FBD2" w14:textId="77777777" w:rsidR="002C31DC" w:rsidRDefault="006C0D60">
      <w:pPr>
        <w:rPr>
          <w:rFonts w:ascii="Arial" w:hAnsi="Arial"/>
          <w:rtl/>
        </w:rPr>
      </w:pPr>
      <w:r>
        <w:rPr>
          <w:rFonts w:ascii="Arial" w:hAnsi="Arial" w:hint="cs"/>
          <w:rtl/>
        </w:rPr>
        <w:t xml:space="preserve">במסגרת ההסדר הגבילה התביעה עתירתה ל- 7 חודשי מאסר ורכיבים נלווים, בעוד טיעונים הסניגור חופשים. כמו כן, היתה הסכמה שהתנאים המגבילים יבוטלו. </w:t>
      </w:r>
    </w:p>
    <w:p w14:paraId="072194D7" w14:textId="77777777" w:rsidR="002C31DC" w:rsidRDefault="002C31DC">
      <w:pPr>
        <w:rPr>
          <w:rFonts w:ascii="Arial" w:hAnsi="Arial"/>
          <w:rtl/>
        </w:rPr>
      </w:pPr>
      <w:bookmarkStart w:id="7" w:name="ABSTRACT_END"/>
      <w:bookmarkEnd w:id="7"/>
    </w:p>
    <w:p w14:paraId="2E579EA6" w14:textId="77777777" w:rsidR="002C31DC" w:rsidRDefault="006C0D60">
      <w:pPr>
        <w:rPr>
          <w:rFonts w:ascii="Arial" w:hAnsi="Arial"/>
          <w:rtl/>
        </w:rPr>
      </w:pPr>
      <w:r>
        <w:rPr>
          <w:rFonts w:ascii="Arial" w:hAnsi="Arial" w:hint="cs"/>
          <w:rtl/>
        </w:rPr>
        <w:t>נתקבל תסקיר ונתקבלה חוות דעת ממונה.</w:t>
      </w:r>
    </w:p>
    <w:p w14:paraId="726E1607" w14:textId="77777777" w:rsidR="002C31DC" w:rsidRDefault="002C31DC">
      <w:pPr>
        <w:rPr>
          <w:rFonts w:ascii="Arial" w:hAnsi="Arial"/>
          <w:rtl/>
        </w:rPr>
      </w:pPr>
    </w:p>
    <w:p w14:paraId="044FEE94" w14:textId="77777777" w:rsidR="002C31DC" w:rsidRDefault="006C0D60">
      <w:pPr>
        <w:rPr>
          <w:rFonts w:ascii="Arial" w:hAnsi="Arial"/>
          <w:rtl/>
        </w:rPr>
      </w:pPr>
      <w:r>
        <w:rPr>
          <w:rFonts w:ascii="Arial" w:hAnsi="Arial" w:hint="cs"/>
          <w:rtl/>
        </w:rPr>
        <w:lastRenderedPageBreak/>
        <w:t xml:space="preserve">מהתסקיר עולה כי הנאשם בן 37, נשוי, אב ל- 5 בגילאים שנה וחצי עד 11, גר עם משפחתו במושב חלץ, עובד כפקיד בחב' הובלות של אחיו. לדבריו, בוגר 12 שנות לימוד, אך לא שירת בצבא בשל עברו. </w:t>
      </w:r>
    </w:p>
    <w:p w14:paraId="098043C3" w14:textId="77777777" w:rsidR="002C31DC" w:rsidRDefault="006C0D60">
      <w:pPr>
        <w:rPr>
          <w:rFonts w:ascii="Arial" w:hAnsi="Arial"/>
          <w:rtl/>
        </w:rPr>
      </w:pPr>
      <w:r>
        <w:rPr>
          <w:rFonts w:ascii="Arial" w:hAnsi="Arial" w:hint="cs"/>
          <w:rtl/>
        </w:rPr>
        <w:t xml:space="preserve">אשתו עובדת כפקידה אף היא בחב' ההובלות. הוא תיאר מערכת זוגית טובה. </w:t>
      </w:r>
    </w:p>
    <w:p w14:paraId="18B458D3" w14:textId="77777777" w:rsidR="002C31DC" w:rsidRDefault="002C31DC">
      <w:pPr>
        <w:rPr>
          <w:rFonts w:ascii="Arial" w:hAnsi="Arial"/>
          <w:rtl/>
        </w:rPr>
      </w:pPr>
    </w:p>
    <w:p w14:paraId="59C046FB" w14:textId="77777777" w:rsidR="002C31DC" w:rsidRDefault="006C0D60">
      <w:pPr>
        <w:rPr>
          <w:rFonts w:ascii="Arial" w:hAnsi="Arial"/>
          <w:rtl/>
        </w:rPr>
      </w:pPr>
      <w:r>
        <w:rPr>
          <w:rFonts w:ascii="Arial" w:hAnsi="Arial" w:hint="cs"/>
          <w:rtl/>
        </w:rPr>
        <w:t>אף שהנאשם מודה בביצוע עבירות, הוא מטשטש מחומרת המעשים וטוען כי הרקע היותו נוהג לצרוך חומרים משני תודעה במסיבות ובאמצעות חבר הגיע לסוחר והעדיף לרכוש כמות גדולה במקום כמות קטנה.</w:t>
      </w:r>
    </w:p>
    <w:p w14:paraId="406FEB18" w14:textId="77777777" w:rsidR="002C31DC" w:rsidRDefault="006C0D60">
      <w:pPr>
        <w:rPr>
          <w:rFonts w:ascii="Arial" w:hAnsi="Arial"/>
          <w:rtl/>
        </w:rPr>
      </w:pPr>
      <w:r>
        <w:rPr>
          <w:rFonts w:ascii="Arial" w:hAnsi="Arial" w:hint="cs"/>
          <w:rtl/>
        </w:rPr>
        <w:t xml:space="preserve">לדבריו, לא היתה לו כוונה לסחור בסם. </w:t>
      </w:r>
    </w:p>
    <w:p w14:paraId="209ABE61" w14:textId="77777777" w:rsidR="002C31DC" w:rsidRDefault="006C0D60">
      <w:pPr>
        <w:rPr>
          <w:rFonts w:ascii="Arial" w:hAnsi="Arial"/>
          <w:rtl/>
        </w:rPr>
      </w:pPr>
      <w:r>
        <w:rPr>
          <w:rFonts w:ascii="Arial" w:hAnsi="Arial" w:hint="cs"/>
          <w:rtl/>
        </w:rPr>
        <w:t xml:space="preserve">הסניגור הסביר שלמעשה הודה בשל החזקה הקבועה בחוק בהתיחס לכמות הגדולה. </w:t>
      </w:r>
    </w:p>
    <w:p w14:paraId="6B864DBA" w14:textId="77777777" w:rsidR="002C31DC" w:rsidRDefault="006C0D60">
      <w:pPr>
        <w:rPr>
          <w:rFonts w:ascii="Arial" w:hAnsi="Arial"/>
          <w:rtl/>
        </w:rPr>
      </w:pPr>
      <w:r>
        <w:rPr>
          <w:rFonts w:ascii="Arial" w:hAnsi="Arial" w:hint="cs"/>
          <w:rtl/>
        </w:rPr>
        <w:t xml:space="preserve">הביע חרטה, מודע למחיר שמשלם, אך עומד על כך שלמעשה שינה את אורח חייו וכי מה שעשה זה פוגע בו ולא באחרים. </w:t>
      </w:r>
    </w:p>
    <w:p w14:paraId="1A60C525" w14:textId="77777777" w:rsidR="002C31DC" w:rsidRDefault="006C0D60">
      <w:pPr>
        <w:rPr>
          <w:rFonts w:ascii="Arial" w:hAnsi="Arial"/>
          <w:rtl/>
        </w:rPr>
      </w:pPr>
      <w:r>
        <w:rPr>
          <w:rFonts w:ascii="Arial" w:hAnsi="Arial" w:hint="cs"/>
          <w:rtl/>
        </w:rPr>
        <w:t xml:space="preserve">כפי הנראה התקופה שהיה אסיר בעבר היתה משמעותי וגרמה לכך שנמנע מלעבור עבירות תקופה ארוכה. התיחסותו מאופיינת מהתעלמות וטשטוש ותחושת קורבנות, תוך שמתקשה לבחון מעשיו לעומק. </w:t>
      </w:r>
    </w:p>
    <w:p w14:paraId="0D77D790" w14:textId="77777777" w:rsidR="002C31DC" w:rsidRDefault="006C0D60">
      <w:pPr>
        <w:rPr>
          <w:rFonts w:ascii="Arial" w:hAnsi="Arial"/>
          <w:rtl/>
        </w:rPr>
      </w:pPr>
      <w:r>
        <w:rPr>
          <w:rFonts w:ascii="Arial" w:hAnsi="Arial" w:hint="cs"/>
          <w:rtl/>
        </w:rPr>
        <w:t>הוא מגלה אדישות שכן לא סבור שמדובר בהתנהגות עבריינית, וודאי לא חמורה.</w:t>
      </w:r>
    </w:p>
    <w:p w14:paraId="49956EDA" w14:textId="77777777" w:rsidR="002C31DC" w:rsidRDefault="002C31DC">
      <w:pPr>
        <w:rPr>
          <w:rFonts w:ascii="Arial" w:hAnsi="Arial"/>
          <w:rtl/>
        </w:rPr>
      </w:pPr>
    </w:p>
    <w:p w14:paraId="04CA7C3D" w14:textId="77777777" w:rsidR="002C31DC" w:rsidRDefault="006C0D60">
      <w:pPr>
        <w:rPr>
          <w:rFonts w:ascii="Arial" w:hAnsi="Arial"/>
          <w:rtl/>
        </w:rPr>
      </w:pPr>
      <w:r>
        <w:rPr>
          <w:rFonts w:ascii="Arial" w:hAnsi="Arial" w:hint="cs"/>
          <w:rtl/>
        </w:rPr>
        <w:t>לדבריו, מאז נעצר בתיק זה אינו צורך סמים. הוא שותה אלכוהול במסיבות, אך נמנע ממצבי שכרות קיצוניים.</w:t>
      </w:r>
    </w:p>
    <w:p w14:paraId="670CD7DF" w14:textId="77777777" w:rsidR="002C31DC" w:rsidRDefault="006C0D60">
      <w:pPr>
        <w:rPr>
          <w:rFonts w:ascii="Arial" w:hAnsi="Arial"/>
          <w:rtl/>
        </w:rPr>
      </w:pPr>
      <w:r>
        <w:rPr>
          <w:rFonts w:ascii="Arial" w:hAnsi="Arial" w:hint="cs"/>
          <w:rtl/>
        </w:rPr>
        <w:t xml:space="preserve">בדיקות שנערכו נמצאו תקינות. </w:t>
      </w:r>
    </w:p>
    <w:p w14:paraId="72C26A30" w14:textId="77777777" w:rsidR="002C31DC" w:rsidRDefault="006C0D60">
      <w:pPr>
        <w:rPr>
          <w:rFonts w:ascii="Arial" w:hAnsi="Arial"/>
          <w:rtl/>
        </w:rPr>
      </w:pPr>
      <w:r>
        <w:rPr>
          <w:rFonts w:ascii="Arial" w:hAnsi="Arial" w:hint="cs"/>
          <w:rtl/>
        </w:rPr>
        <w:t>שירות המבחן התרשמו מאדם מבוגר, בעל יכולות תקינות, אך מאפייני אישיות ילדותיים בלתי בשלים, המתקשה לדחות סיפוקים והנוטה להפחית מחומרת מעשיו ולהגמיש עמדותיו על פי צרכיו, דבר מהווה גורם סיכון להתנהגות עוברת חוק. מאידך גיסא, נמנע מלעבור עבירות שנים, תוך שעורך ניסיון להשתקם, לעבוד ולשקם את משפחתו לאחר תקופת מאסר קודמת.</w:t>
      </w:r>
    </w:p>
    <w:p w14:paraId="2770AE06" w14:textId="77777777" w:rsidR="002C31DC" w:rsidRDefault="006C0D60">
      <w:pPr>
        <w:rPr>
          <w:rFonts w:ascii="Arial" w:hAnsi="Arial"/>
          <w:rtl/>
        </w:rPr>
      </w:pPr>
      <w:r>
        <w:rPr>
          <w:rFonts w:ascii="Arial" w:hAnsi="Arial" w:hint="cs"/>
          <w:rtl/>
        </w:rPr>
        <w:t xml:space="preserve">בנסיבות אלה, הם סברו שיש מקום לשלבו בהליך טפולי, אך מתקשה לבטא צורך לכך וסברו שהוא שיקם את חייו באופן עצמאי. </w:t>
      </w:r>
    </w:p>
    <w:p w14:paraId="28D0D5F3" w14:textId="77777777" w:rsidR="002C31DC" w:rsidRDefault="002C31DC">
      <w:pPr>
        <w:rPr>
          <w:rFonts w:ascii="Arial" w:hAnsi="Arial"/>
          <w:rtl/>
        </w:rPr>
      </w:pPr>
    </w:p>
    <w:p w14:paraId="6EACA6D6" w14:textId="77777777" w:rsidR="002C31DC" w:rsidRDefault="006C0D60">
      <w:pPr>
        <w:rPr>
          <w:rFonts w:ascii="Arial" w:hAnsi="Arial"/>
          <w:rtl/>
        </w:rPr>
      </w:pPr>
      <w:r>
        <w:rPr>
          <w:rFonts w:ascii="Arial" w:hAnsi="Arial" w:hint="cs"/>
          <w:rtl/>
        </w:rPr>
        <w:t xml:space="preserve">בנסיבות אלה, לא באו בהמלצה להעמידו בצו מבחן, אולם המליצו להימנע ממאסר בכלא שרק ישוב ויפגע ביציבות התעסוקתית ובאשתו וילדיו הקטינים. </w:t>
      </w:r>
    </w:p>
    <w:p w14:paraId="70895E98" w14:textId="77777777" w:rsidR="002C31DC" w:rsidRDefault="002C31DC">
      <w:pPr>
        <w:rPr>
          <w:rFonts w:ascii="Arial" w:hAnsi="Arial"/>
          <w:rtl/>
        </w:rPr>
      </w:pPr>
    </w:p>
    <w:p w14:paraId="60FEDAFD" w14:textId="77777777" w:rsidR="002C31DC" w:rsidRDefault="006C0D60">
      <w:pPr>
        <w:rPr>
          <w:rFonts w:ascii="Arial" w:hAnsi="Arial"/>
          <w:rtl/>
        </w:rPr>
      </w:pPr>
      <w:r>
        <w:rPr>
          <w:rFonts w:ascii="Arial" w:hAnsi="Arial" w:hint="cs"/>
          <w:rtl/>
        </w:rPr>
        <w:t>הם סבורים שעונש מאסר בעבודות שירות יחדד גבולות והמחיר להתנהגותו, אך בד בבד יאפשר לו להמשיך ולגור בביתו.</w:t>
      </w:r>
    </w:p>
    <w:p w14:paraId="2C23F9CC" w14:textId="77777777" w:rsidR="002C31DC" w:rsidRDefault="002C31DC">
      <w:pPr>
        <w:rPr>
          <w:rFonts w:ascii="Arial" w:hAnsi="Arial"/>
          <w:rtl/>
        </w:rPr>
      </w:pPr>
    </w:p>
    <w:p w14:paraId="7B32D16F" w14:textId="77777777" w:rsidR="002C31DC" w:rsidRDefault="006C0D60">
      <w:pPr>
        <w:rPr>
          <w:rFonts w:ascii="Arial" w:hAnsi="Arial"/>
          <w:rtl/>
        </w:rPr>
      </w:pPr>
      <w:r>
        <w:rPr>
          <w:rFonts w:ascii="Arial" w:hAnsi="Arial" w:hint="cs"/>
          <w:rtl/>
        </w:rPr>
        <w:lastRenderedPageBreak/>
        <w:t xml:space="preserve">לדברי הנאשם, בכוונתו לעבוד בשעות הערב לאחר שיבצע עבודות השירות. </w:t>
      </w:r>
    </w:p>
    <w:p w14:paraId="679996B8" w14:textId="77777777" w:rsidR="002C31DC" w:rsidRDefault="002C31DC">
      <w:pPr>
        <w:rPr>
          <w:rFonts w:ascii="Arial" w:hAnsi="Arial"/>
          <w:rtl/>
        </w:rPr>
      </w:pPr>
    </w:p>
    <w:p w14:paraId="0A37F361" w14:textId="77777777" w:rsidR="002C31DC" w:rsidRDefault="006C0D60">
      <w:pPr>
        <w:rPr>
          <w:rFonts w:ascii="Arial" w:hAnsi="Arial"/>
          <w:rtl/>
        </w:rPr>
      </w:pPr>
      <w:r>
        <w:rPr>
          <w:rFonts w:ascii="Arial" w:hAnsi="Arial" w:hint="cs"/>
          <w:rtl/>
        </w:rPr>
        <w:t xml:space="preserve">התובע עומד על עתירת התביעה ל- 7 חודשי מאסר ורכיבים הרתעתיים והציג בפני בית המשפט </w:t>
      </w:r>
      <w:hyperlink r:id="rId8" w:history="1">
        <w:r w:rsidRPr="006C0D60">
          <w:rPr>
            <w:rFonts w:ascii="Arial" w:hAnsi="Arial"/>
            <w:color w:val="0000FF"/>
            <w:u w:val="single"/>
            <w:rtl/>
          </w:rPr>
          <w:t>ת.פ. 58633-03-14</w:t>
        </w:r>
      </w:hyperlink>
      <w:r>
        <w:rPr>
          <w:rFonts w:ascii="Arial" w:hAnsi="Arial" w:hint="cs"/>
          <w:rtl/>
        </w:rPr>
        <w:t xml:space="preserve">, בית משפט שלום באר שבע, מיום 7.7.14, שם בית המשפט סוקר המדיניות העונשית הקיימת בגין עבירה זו וקובע מתחם עונשי הנע בין 6 חודשים ל- 14 חודשי מאסר. </w:t>
      </w:r>
    </w:p>
    <w:p w14:paraId="1F807E3F" w14:textId="77777777" w:rsidR="002C31DC" w:rsidRDefault="002C31DC">
      <w:pPr>
        <w:rPr>
          <w:rFonts w:ascii="Arial" w:hAnsi="Arial"/>
          <w:rtl/>
        </w:rPr>
      </w:pPr>
    </w:p>
    <w:p w14:paraId="1F77FE98" w14:textId="77777777" w:rsidR="002C31DC" w:rsidRDefault="006C0D60">
      <w:pPr>
        <w:rPr>
          <w:rFonts w:ascii="Arial" w:hAnsi="Arial"/>
          <w:sz w:val="26"/>
          <w:rtl/>
        </w:rPr>
      </w:pPr>
      <w:r>
        <w:rPr>
          <w:rFonts w:ascii="Arial" w:hAnsi="Arial"/>
          <w:sz w:val="26"/>
          <w:rtl/>
        </w:rPr>
        <w:t xml:space="preserve"> תיקון 113 ל</w:t>
      </w:r>
      <w:hyperlink r:id="rId9" w:history="1">
        <w:r w:rsidRPr="006C0D60">
          <w:rPr>
            <w:rFonts w:ascii="Arial" w:hAnsi="Arial"/>
            <w:color w:val="0000FF"/>
            <w:sz w:val="26"/>
            <w:u w:val="single"/>
            <w:rtl/>
          </w:rPr>
          <w:t>חוק העונשין</w:t>
        </w:r>
      </w:hyperlink>
      <w:r>
        <w:rPr>
          <w:rFonts w:ascii="Arial" w:hAnsi="Arial"/>
          <w:sz w:val="26"/>
          <w:rtl/>
        </w:rPr>
        <w:t xml:space="preserve"> תשל"ז-1977 העיקרון המנחה בענישה הינו עקרון ההלימה, כלומר יחס הולם בין חומרת המעשה , נסיבותיו ומידת האשם , לבין סוג ומידת העונש המוטל על הנאשם .</w:t>
      </w:r>
    </w:p>
    <w:p w14:paraId="596EE08A" w14:textId="77777777" w:rsidR="002C31DC" w:rsidRDefault="006C0D60">
      <w:pPr>
        <w:rPr>
          <w:rFonts w:ascii="Arial" w:hAnsi="Arial"/>
          <w:sz w:val="26"/>
          <w:rtl/>
        </w:rPr>
      </w:pPr>
      <w:r>
        <w:rPr>
          <w:rFonts w:ascii="Arial" w:hAnsi="Arial"/>
          <w:sz w:val="26"/>
          <w:rtl/>
        </w:rPr>
        <w:t>הערך החברתי המוגן במקרה שלפניי, הינו החובה להגן על בריאותו ושלומו הפיסי והנפשי של הציבור,  והצורך למנוע הפגיעה והנזק לחברה, שנגרמים מהתופעה הקשה של ההתמכרות לחומרים פסיכואקטיביים, משני תודעה.  הנזק נגרם גם במעשי עבירה , הנלווים  לעבירה זו  ונובעים מהצורך להשביע הרעב הבלתי נדלה לסמים . הסכנה הנשקפת לכן ממי שמהווה חוליה בשרשרת הפצת הסמים , ידועה, ולא בכדי קבע המחוקק בצד העבירה מאסר לתקופה ארוכה</w:t>
      </w:r>
      <w:r>
        <w:rPr>
          <w:rFonts w:ascii="Arial" w:hAnsi="Arial" w:hint="cs"/>
          <w:sz w:val="26"/>
          <w:rtl/>
        </w:rPr>
        <w:t>.</w:t>
      </w:r>
      <w:r>
        <w:rPr>
          <w:rFonts w:ascii="Arial" w:hAnsi="Arial"/>
          <w:sz w:val="26"/>
          <w:rtl/>
        </w:rPr>
        <w:t xml:space="preserve"> </w:t>
      </w:r>
    </w:p>
    <w:p w14:paraId="0DA8E760" w14:textId="77777777" w:rsidR="002C31DC" w:rsidRDefault="002C31DC">
      <w:pPr>
        <w:rPr>
          <w:rFonts w:ascii="Arial" w:hAnsi="Arial"/>
          <w:sz w:val="26"/>
          <w:rtl/>
        </w:rPr>
      </w:pPr>
    </w:p>
    <w:p w14:paraId="23C10E2A" w14:textId="77777777" w:rsidR="002C31DC" w:rsidRDefault="006C0D60">
      <w:pPr>
        <w:rPr>
          <w:rFonts w:ascii="Arial" w:hAnsi="Arial"/>
          <w:sz w:val="26"/>
          <w:rtl/>
        </w:rPr>
      </w:pPr>
      <w:r>
        <w:rPr>
          <w:rFonts w:ascii="Arial" w:hAnsi="Arial"/>
          <w:sz w:val="26"/>
          <w:rtl/>
        </w:rPr>
        <w:t xml:space="preserve">המתחם העונשי  ההולם </w:t>
      </w:r>
      <w:r>
        <w:rPr>
          <w:rFonts w:ascii="Arial" w:hAnsi="Arial" w:hint="cs"/>
          <w:sz w:val="26"/>
          <w:rtl/>
        </w:rPr>
        <w:t xml:space="preserve">שנקבע על ידי מותב זה </w:t>
      </w:r>
      <w:r>
        <w:rPr>
          <w:rFonts w:ascii="Arial" w:hAnsi="Arial"/>
          <w:sz w:val="26"/>
          <w:rtl/>
        </w:rPr>
        <w:t>למי שסוחר בסם מסוכן או מחזיק בו למטרת סחר הינו עונש מאסר בפועל לתקופה שבין 6 חודשים ל-18 חודשים .</w:t>
      </w:r>
    </w:p>
    <w:p w14:paraId="40493541" w14:textId="77777777" w:rsidR="002C31DC" w:rsidRDefault="002C31DC">
      <w:pPr>
        <w:rPr>
          <w:rFonts w:ascii="Arial" w:hAnsi="Arial"/>
          <w:sz w:val="26"/>
          <w:rtl/>
        </w:rPr>
      </w:pPr>
    </w:p>
    <w:p w14:paraId="538CC9D7" w14:textId="77777777" w:rsidR="002C31DC" w:rsidRDefault="006C0D60">
      <w:pPr>
        <w:rPr>
          <w:rFonts w:ascii="Arial" w:hAnsi="Arial"/>
          <w:sz w:val="26"/>
          <w:rtl/>
        </w:rPr>
      </w:pPr>
      <w:r>
        <w:rPr>
          <w:rFonts w:ascii="Arial" w:hAnsi="Arial"/>
          <w:sz w:val="26"/>
          <w:rtl/>
        </w:rPr>
        <w:t>המחוקק לא הבחין בעונש,  בין סוגי הסם או כמויות הסם ,ובתי המשפט נוהגים להחמיר ככל שהכמות גדולה יותר ומעשי הסחר רבים יותר, כשגם לעברו ניתן שיקול של ממש.</w:t>
      </w:r>
    </w:p>
    <w:p w14:paraId="5B282508" w14:textId="77777777" w:rsidR="002C31DC" w:rsidRDefault="002C31DC">
      <w:pPr>
        <w:rPr>
          <w:rFonts w:ascii="Arial" w:hAnsi="Arial"/>
          <w:sz w:val="26"/>
          <w:rtl/>
        </w:rPr>
      </w:pPr>
    </w:p>
    <w:p w14:paraId="2E217B46" w14:textId="77777777" w:rsidR="002C31DC" w:rsidRDefault="006C0D60">
      <w:pPr>
        <w:rPr>
          <w:rFonts w:ascii="Arial" w:hAnsi="Arial"/>
          <w:sz w:val="26"/>
          <w:rtl/>
        </w:rPr>
      </w:pPr>
      <w:r>
        <w:rPr>
          <w:rFonts w:ascii="Arial" w:hAnsi="Arial"/>
          <w:sz w:val="26"/>
          <w:rtl/>
        </w:rPr>
        <w:t>כאמור,  התיקון מאפשר לביהמ"ש לחרוג מן העונש ההולם בשל שיקולי שיקום אולם אם מדובר בעבירה בעלת חומרה יתרה, יעשה כן אך ורק בנסיבות מיוחדות ויוצאות דופן.</w:t>
      </w:r>
    </w:p>
    <w:p w14:paraId="5582FE53" w14:textId="77777777" w:rsidR="002C31DC" w:rsidRDefault="002C31DC">
      <w:pPr>
        <w:rPr>
          <w:sz w:val="26"/>
          <w:rtl/>
        </w:rPr>
      </w:pPr>
    </w:p>
    <w:p w14:paraId="1D63A473" w14:textId="77777777" w:rsidR="002C31DC" w:rsidRDefault="006C0D60">
      <w:pPr>
        <w:rPr>
          <w:rtl/>
        </w:rPr>
      </w:pPr>
      <w:r>
        <w:rPr>
          <w:rFonts w:hint="cs"/>
          <w:rtl/>
        </w:rPr>
        <w:t>השאלה הינה אם כן יש מקום להסתפק במתחם ברף הנמוך של 6 חודשים לאפשר לנאשם לשאת המאסר בעבודות שירות, או שמא מן הראוי לגזור דינו ל- 7 חודשי מאסר כעתירת התביעה.</w:t>
      </w:r>
    </w:p>
    <w:p w14:paraId="12A891A4" w14:textId="77777777" w:rsidR="002C31DC" w:rsidRDefault="002C31DC">
      <w:pPr>
        <w:rPr>
          <w:rtl/>
        </w:rPr>
      </w:pPr>
    </w:p>
    <w:p w14:paraId="67E80D74" w14:textId="77777777" w:rsidR="002C31DC" w:rsidRDefault="006C0D60">
      <w:pPr>
        <w:rPr>
          <w:rtl/>
        </w:rPr>
      </w:pPr>
      <w:r>
        <w:rPr>
          <w:rFonts w:hint="cs"/>
          <w:rtl/>
        </w:rPr>
        <w:t xml:space="preserve">מעיון בגיליון הרשעות של הנאשם עולה כי לחובתו 6 הרשעות קודמות החל משנת 1998, גניבה ופירוק חלקי רכב בגינם נדון  בבית משפט לנוער מבלי שהורשע. בשנת 99' נדון בגין הסגת גבול ואיומים להתחייבות בלבד. בשנת 2000 נדון בגין התפרצות להתחייבות ומאסר מותנה, וכעבור 7 חודשים נדון בגין הכשלת שוטר, מסירת ידיעות כוזבות לקנס ומאסר מותנה. ב- 11.12.06 נדון בגין תקיפה לקנס והתחייבות. ב- 21.5.08 נדון בגין 3 עבירת של גניבת רכב, קשירת קשר לביצוע פשע ושבל"ר ל- 24 חודשי מאסר. כעבור 7 חודשים נדון בגין החזקת סכין לחודשיים מאסר בחופף. </w:t>
      </w:r>
    </w:p>
    <w:p w14:paraId="4C5902EA" w14:textId="77777777" w:rsidR="002C31DC" w:rsidRDefault="002C31DC">
      <w:pPr>
        <w:rPr>
          <w:rtl/>
        </w:rPr>
      </w:pPr>
    </w:p>
    <w:p w14:paraId="0DD1BACE" w14:textId="77777777" w:rsidR="002C31DC" w:rsidRDefault="006C0D60">
      <w:pPr>
        <w:rPr>
          <w:rtl/>
        </w:rPr>
      </w:pPr>
      <w:r>
        <w:rPr>
          <w:rFonts w:hint="cs"/>
          <w:rtl/>
        </w:rPr>
        <w:t>ניכר אם כי מגיליון הרשעותיו שבתי משפט התחשבו בו עד מאוד ולכן העבירות הסלימו עד שנגזר דינו לתקופת מאסר בכלא.</w:t>
      </w:r>
    </w:p>
    <w:p w14:paraId="41F8249D" w14:textId="77777777" w:rsidR="002C31DC" w:rsidRDefault="002C31DC">
      <w:pPr>
        <w:rPr>
          <w:rtl/>
        </w:rPr>
      </w:pPr>
    </w:p>
    <w:p w14:paraId="67A16237" w14:textId="77777777" w:rsidR="002C31DC" w:rsidRDefault="006C0D60">
      <w:pPr>
        <w:rPr>
          <w:rtl/>
        </w:rPr>
      </w:pPr>
      <w:r>
        <w:rPr>
          <w:rFonts w:hint="cs"/>
          <w:rtl/>
        </w:rPr>
        <w:t>העבירה האחרונה בגינה נדון למאסר נעברו בנובמבר 2007, מאז ועד האירוע שבפני נמנע לעבור עבירות.</w:t>
      </w:r>
    </w:p>
    <w:p w14:paraId="3541C740" w14:textId="77777777" w:rsidR="002C31DC" w:rsidRDefault="006C0D60">
      <w:pPr>
        <w:rPr>
          <w:rtl/>
        </w:rPr>
      </w:pPr>
      <w:r>
        <w:rPr>
          <w:rFonts w:hint="cs"/>
          <w:rtl/>
        </w:rPr>
        <w:t>שמעתי מפי הסניגור שהקשר הזוגי מטיב עמו וכי אשתו מציבה לו גבולות.</w:t>
      </w:r>
    </w:p>
    <w:p w14:paraId="3785B1F9" w14:textId="77777777" w:rsidR="002C31DC" w:rsidRDefault="002C31DC">
      <w:pPr>
        <w:rPr>
          <w:rtl/>
        </w:rPr>
      </w:pPr>
    </w:p>
    <w:p w14:paraId="1F09817D" w14:textId="77777777" w:rsidR="002C31DC" w:rsidRDefault="006C0D60">
      <w:pPr>
        <w:rPr>
          <w:rtl/>
        </w:rPr>
      </w:pPr>
      <w:r>
        <w:rPr>
          <w:rFonts w:hint="cs"/>
          <w:rtl/>
        </w:rPr>
        <w:t xml:space="preserve">כאמור, מדובר במי שאב ל- 5 קטינים, שמנסה ככל שביכולתו להשתקם. </w:t>
      </w:r>
    </w:p>
    <w:p w14:paraId="4AB95EB1" w14:textId="77777777" w:rsidR="002C31DC" w:rsidRDefault="006C0D60">
      <w:r>
        <w:rPr>
          <w:rFonts w:hint="cs"/>
          <w:rtl/>
        </w:rPr>
        <w:t xml:space="preserve">בנסיבות אלה, מצאתי להסתפק ברף התחתון, אולם בית המשפט מבהיר לו כי אם לא יעמדו בעבודות השירות בסמכות הממונה להורות כי את המאסר ישא בין כותלי הכלא, וזאת לאחר שהממונה ציין מפורשות בחוות דעתו כי סקפטי לגבי מידת התאמתו ומסוגלותו לעמוד בתנאים שיקבעו לו. במידת הצורך הממונה יוכל לבצע בדיקות שתן לאיתור סמים ואם ימצא משתמש בסמים, יהיה בכך עילה להורות על נשיאה במאסר בכלא. </w:t>
      </w:r>
    </w:p>
    <w:p w14:paraId="447294AD" w14:textId="77777777" w:rsidR="002C31DC" w:rsidRDefault="006C0D60">
      <w:pPr>
        <w:rPr>
          <w:rtl/>
        </w:rPr>
      </w:pPr>
      <w:r>
        <w:rPr>
          <w:rFonts w:hint="cs"/>
          <w:rtl/>
        </w:rPr>
        <w:t>בית המשפט מבהיר לנאשם חומרת העבירה וכי הכמות עצמה מעידה שהיא כמות מסחרית ואפילו אם סבור בעצמו שעבירה אינה חמורה, המחוקק קבע בגינה 20 שנות מאסר.</w:t>
      </w:r>
    </w:p>
    <w:p w14:paraId="7ABE8BA8" w14:textId="77777777" w:rsidR="002C31DC" w:rsidRDefault="006C0D60">
      <w:pPr>
        <w:rPr>
          <w:rtl/>
        </w:rPr>
      </w:pPr>
      <w:r>
        <w:rPr>
          <w:rFonts w:hint="cs"/>
          <w:rtl/>
        </w:rPr>
        <w:t>אם אינני ממצה עמוא ת הדין, הרי שזה רק בשל נסיבותיו המיוחדות והאישיות.</w:t>
      </w:r>
    </w:p>
    <w:p w14:paraId="7B00B1ED" w14:textId="77777777" w:rsidR="002C31DC" w:rsidRDefault="002C31DC">
      <w:pPr>
        <w:rPr>
          <w:rFonts w:ascii="Arial" w:hAnsi="Arial"/>
        </w:rPr>
      </w:pPr>
    </w:p>
    <w:p w14:paraId="64B6C1B7" w14:textId="77777777" w:rsidR="002C31DC" w:rsidRDefault="006C0D60">
      <w:pPr>
        <w:rPr>
          <w:rtl/>
        </w:rPr>
      </w:pPr>
      <w:r>
        <w:rPr>
          <w:rFonts w:hint="cs"/>
          <w:rtl/>
        </w:rPr>
        <w:t>אני גוזרת על הנאשם לעונשים כדלקמן:</w:t>
      </w:r>
    </w:p>
    <w:p w14:paraId="5232639E" w14:textId="77777777" w:rsidR="002C31DC" w:rsidRDefault="002C31DC">
      <w:pPr>
        <w:rPr>
          <w:rtl/>
        </w:rPr>
      </w:pPr>
    </w:p>
    <w:p w14:paraId="722491F1" w14:textId="77777777" w:rsidR="002C31DC" w:rsidRDefault="006C0D60">
      <w:pPr>
        <w:ind w:left="720" w:hanging="720"/>
      </w:pPr>
      <w:r>
        <w:rPr>
          <w:rFonts w:hint="cs"/>
          <w:rtl/>
        </w:rPr>
        <w:t>1.</w:t>
      </w:r>
      <w:r>
        <w:rPr>
          <w:rFonts w:hint="cs"/>
          <w:rtl/>
        </w:rPr>
        <w:tab/>
        <w:t xml:space="preserve">מאסר בפועל לתקופה של  6  חודשים, בעבודות שירות במרכז גמילות חסדים, באשדוד,  וזאת 5 ימים בשבוע, 8.5 שעות יומיות, בעבודות אחזקה וסיוע, מנהלה ושירותים בפיקוח ישראלי שרון. </w:t>
      </w:r>
    </w:p>
    <w:p w14:paraId="7FFFB9D1" w14:textId="77777777" w:rsidR="002C31DC" w:rsidRDefault="006C0D60">
      <w:pPr>
        <w:ind w:left="720"/>
      </w:pPr>
      <w:r>
        <w:rPr>
          <w:rFonts w:hint="cs"/>
          <w:rtl/>
        </w:rPr>
        <w:t>תחילת המאסר מיום  6.9.15  ועליו להתייצב בשעה 08:00 במועד זה בפני המפקח על עבודות השירות לצורך קליטה והצבה במפקדת גוש דרום ב"ש, ליד כלא ב"ש,  (אוטובוס אגד מתחנה מרכזית בב"ש קו 46).</w:t>
      </w:r>
    </w:p>
    <w:p w14:paraId="10887D17" w14:textId="77777777" w:rsidR="002C31DC" w:rsidRDefault="006C0D60">
      <w:pPr>
        <w:ind w:left="720"/>
        <w:rPr>
          <w:rtl/>
        </w:rPr>
      </w:pPr>
      <w:r>
        <w:rPr>
          <w:rFonts w:hint="cs"/>
          <w:rtl/>
        </w:rPr>
        <w:t xml:space="preserve">על הנאשם לדווח לממונה על עבודות השירות בשב"ס אודות כל שינוי בכתובתו ובפרטיו. </w:t>
      </w:r>
    </w:p>
    <w:p w14:paraId="5F33A010" w14:textId="77777777" w:rsidR="002C31DC" w:rsidRDefault="006C0D60">
      <w:pPr>
        <w:ind w:left="720"/>
        <w:rPr>
          <w:rtl/>
        </w:rPr>
      </w:pPr>
      <w:r>
        <w:rPr>
          <w:rFonts w:hint="cs"/>
          <w:rtl/>
        </w:rPr>
        <w:t xml:space="preserve">כמו כן, מוסבר לו כי עליו לעמוד בתנאי הפיקוח וביקורות הפתע וכי כל הפרה תביא להפסקה מנהלית של העבודות ולנשיאה בעונש בין כותלי הכלא. </w:t>
      </w:r>
    </w:p>
    <w:p w14:paraId="5A90754E" w14:textId="77777777" w:rsidR="002C31DC" w:rsidRDefault="002C31DC">
      <w:pPr>
        <w:rPr>
          <w:rtl/>
        </w:rPr>
      </w:pPr>
    </w:p>
    <w:p w14:paraId="72F115F6" w14:textId="77777777" w:rsidR="002C31DC" w:rsidRDefault="002C31DC">
      <w:pPr>
        <w:ind w:firstLine="720"/>
        <w:rPr>
          <w:rtl/>
        </w:rPr>
      </w:pPr>
    </w:p>
    <w:p w14:paraId="25E47C66" w14:textId="77777777" w:rsidR="002C31DC" w:rsidRDefault="006C0D60">
      <w:pPr>
        <w:ind w:left="720" w:hanging="720"/>
        <w:rPr>
          <w:rtl/>
        </w:rPr>
      </w:pPr>
      <w:r>
        <w:rPr>
          <w:rFonts w:hint="cs"/>
          <w:rtl/>
        </w:rPr>
        <w:t>3.</w:t>
      </w:r>
      <w:r>
        <w:rPr>
          <w:rFonts w:hint="cs"/>
          <w:rtl/>
        </w:rPr>
        <w:tab/>
        <w:t xml:space="preserve">אני מטילה על הנאשם 12  חודשי מאסר על תנאי למשך  3  שנים והתנאי הוא שלא יעבור עבירה על </w:t>
      </w:r>
      <w:hyperlink r:id="rId10" w:history="1">
        <w:r w:rsidRPr="006C0D60">
          <w:rPr>
            <w:color w:val="0000FF"/>
            <w:u w:val="single"/>
            <w:rtl/>
          </w:rPr>
          <w:t>פקודת סמים מסוכנים</w:t>
        </w:r>
      </w:hyperlink>
      <w:r>
        <w:rPr>
          <w:rFonts w:hint="cs"/>
          <w:rtl/>
        </w:rPr>
        <w:t xml:space="preserve"> מסוג פשע.</w:t>
      </w:r>
    </w:p>
    <w:p w14:paraId="49851C9C" w14:textId="77777777" w:rsidR="002C31DC" w:rsidRDefault="006C0D60">
      <w:pPr>
        <w:ind w:left="720" w:hanging="720"/>
        <w:rPr>
          <w:rtl/>
        </w:rPr>
      </w:pPr>
      <w:r>
        <w:rPr>
          <w:rFonts w:hint="cs"/>
          <w:rtl/>
        </w:rPr>
        <w:t>3.</w:t>
      </w:r>
      <w:r>
        <w:rPr>
          <w:rFonts w:hint="cs"/>
          <w:rtl/>
        </w:rPr>
        <w:tab/>
        <w:t xml:space="preserve">אני מטילה על הנאשם 6  חודשי מאסר על תנאי למשך 3   שנים והתנאי הוא שלא יעבור עבירה  על </w:t>
      </w:r>
      <w:hyperlink r:id="rId11" w:history="1">
        <w:r w:rsidRPr="006C0D60">
          <w:rPr>
            <w:color w:val="0000FF"/>
            <w:u w:val="single"/>
            <w:rtl/>
          </w:rPr>
          <w:t>פקודת הסמים המסוכנים</w:t>
        </w:r>
      </w:hyperlink>
      <w:r>
        <w:rPr>
          <w:rFonts w:hint="cs"/>
          <w:rtl/>
        </w:rPr>
        <w:t xml:space="preserve"> מסוג עוון. </w:t>
      </w:r>
    </w:p>
    <w:p w14:paraId="12A7786C" w14:textId="77777777" w:rsidR="002C31DC" w:rsidRDefault="002C31DC">
      <w:pPr>
        <w:ind w:firstLine="720"/>
        <w:rPr>
          <w:rtl/>
        </w:rPr>
      </w:pPr>
    </w:p>
    <w:p w14:paraId="3DC3825A" w14:textId="77777777" w:rsidR="002C31DC" w:rsidRDefault="006C0D60">
      <w:pPr>
        <w:ind w:left="720" w:hanging="720"/>
        <w:rPr>
          <w:rtl/>
        </w:rPr>
      </w:pPr>
      <w:r>
        <w:rPr>
          <w:rFonts w:hint="cs"/>
          <w:rtl/>
        </w:rPr>
        <w:t>4.</w:t>
      </w:r>
      <w:r>
        <w:rPr>
          <w:rtl/>
        </w:rPr>
        <w:tab/>
        <w:t>קנס בסך</w:t>
      </w:r>
      <w:r>
        <w:rPr>
          <w:rFonts w:hint="cs"/>
          <w:rtl/>
        </w:rPr>
        <w:t xml:space="preserve"> 2000  </w:t>
      </w:r>
      <w:r>
        <w:rPr>
          <w:rtl/>
        </w:rPr>
        <w:t xml:space="preserve">  </w:t>
      </w:r>
      <w:r>
        <w:rPr>
          <w:rFonts w:hint="cs"/>
          <w:rtl/>
        </w:rPr>
        <w:t>₪</w:t>
      </w:r>
      <w:r>
        <w:rPr>
          <w:rtl/>
        </w:rPr>
        <w:t xml:space="preserve">, </w:t>
      </w:r>
      <w:r>
        <w:rPr>
          <w:rFonts w:hint="cs"/>
          <w:rtl/>
        </w:rPr>
        <w:t xml:space="preserve"> אשר יקוזז מהפקדון, והיתרה תושב לסניגור בהסכמת הנאשם ובתנאי שלא נרשם עליו עיקול. </w:t>
      </w:r>
    </w:p>
    <w:p w14:paraId="106C9C9A" w14:textId="77777777" w:rsidR="002C31DC" w:rsidRDefault="002C31DC">
      <w:pPr>
        <w:ind w:left="720" w:hanging="720"/>
        <w:rPr>
          <w:rtl/>
        </w:rPr>
      </w:pPr>
    </w:p>
    <w:p w14:paraId="31C0749F" w14:textId="77777777" w:rsidR="002C31DC" w:rsidRDefault="006C0D60">
      <w:pPr>
        <w:rPr>
          <w:rtl/>
        </w:rPr>
      </w:pPr>
      <w:r>
        <w:rPr>
          <w:rtl/>
        </w:rPr>
        <w:t>.</w:t>
      </w:r>
      <w:r>
        <w:rPr>
          <w:rtl/>
        </w:rPr>
        <w:tab/>
      </w:r>
      <w:r>
        <w:rPr>
          <w:rFonts w:hint="cs"/>
          <w:rtl/>
        </w:rPr>
        <w:t xml:space="preserve">הנאשם יחתום על התחייבות בסך    ₪ להימנע מביצוע העבירות בהן הורשע במשך    </w:t>
      </w:r>
      <w:r>
        <w:rPr>
          <w:rtl/>
        </w:rPr>
        <w:t xml:space="preserve">שנים מהיום.  </w:t>
      </w:r>
      <w:r>
        <w:rPr>
          <w:rFonts w:hint="cs"/>
          <w:rtl/>
        </w:rPr>
        <w:tab/>
        <w:t xml:space="preserve">אם לא יחתום על ההתחייבות, יאסר למשך  ימים. </w:t>
      </w:r>
    </w:p>
    <w:p w14:paraId="3F46C5D6" w14:textId="77777777" w:rsidR="002C31DC" w:rsidRDefault="002C31DC">
      <w:pPr>
        <w:rPr>
          <w:rtl/>
        </w:rPr>
      </w:pPr>
    </w:p>
    <w:p w14:paraId="192086ED" w14:textId="77777777" w:rsidR="002C31DC" w:rsidRDefault="006C0D60">
      <w:pPr>
        <w:ind w:left="720" w:hanging="720"/>
        <w:rPr>
          <w:rtl/>
        </w:rPr>
      </w:pPr>
      <w:r>
        <w:rPr>
          <w:rtl/>
        </w:rPr>
        <w:t xml:space="preserve">6. הנאשם ימצא בפיקוח שירות המבחן למשך שנה מהיום.  </w:t>
      </w:r>
      <w:r>
        <w:rPr>
          <w:rFonts w:hint="cs"/>
          <w:rtl/>
        </w:rPr>
        <w:tab/>
        <w:t xml:space="preserve">לצורך זאת עליו לחתום על צו מבחן. </w:t>
      </w:r>
    </w:p>
    <w:p w14:paraId="0FE4DFF5" w14:textId="77777777" w:rsidR="002C31DC" w:rsidRDefault="006C0D60">
      <w:pPr>
        <w:ind w:left="720" w:hanging="720"/>
        <w:rPr>
          <w:rtl/>
        </w:rPr>
      </w:pPr>
      <w:r>
        <w:rPr>
          <w:rFonts w:hint="cs"/>
          <w:rtl/>
        </w:rPr>
        <w:tab/>
        <w:t>מוסבר לנאשם כי אם לא יעמוד בתנאי הצו, ניתן יהיה להפקיעו ולגזור דינו לרכיבי ענישה נוספים.</w:t>
      </w:r>
    </w:p>
    <w:p w14:paraId="5A7073C6" w14:textId="77777777" w:rsidR="002C31DC" w:rsidRDefault="002C31DC">
      <w:pPr>
        <w:ind w:left="720" w:hanging="720"/>
        <w:rPr>
          <w:rtl/>
        </w:rPr>
      </w:pPr>
    </w:p>
    <w:p w14:paraId="27164E7E" w14:textId="77777777" w:rsidR="002C31DC" w:rsidRDefault="006C0D60">
      <w:pPr>
        <w:ind w:left="720" w:hanging="720"/>
        <w:rPr>
          <w:rtl/>
        </w:rPr>
      </w:pPr>
      <w:r>
        <w:rPr>
          <w:rFonts w:hint="cs"/>
          <w:rtl/>
        </w:rPr>
        <w:t>7.</w:t>
      </w:r>
      <w:r>
        <w:rPr>
          <w:rFonts w:hint="cs"/>
          <w:rtl/>
        </w:rPr>
        <w:tab/>
        <w:t xml:space="preserve">אני מטילה על הנאשם לבצע   שעות שירות לתועלת הציבור ב    באשדוד, בהיקף שלא יפחת מ -  ש"ש בפיקוח שירות המבחן. </w:t>
      </w:r>
    </w:p>
    <w:p w14:paraId="1DCE1044" w14:textId="77777777" w:rsidR="002C31DC" w:rsidRDefault="006C0D60">
      <w:pPr>
        <w:ind w:left="720" w:hanging="720"/>
        <w:rPr>
          <w:rtl/>
        </w:rPr>
      </w:pPr>
      <w:r>
        <w:rPr>
          <w:rFonts w:hint="cs"/>
          <w:rtl/>
        </w:rPr>
        <w:tab/>
        <w:t xml:space="preserve">במידה ויש צורך בשינוי מקום ההשמה, שירות המבחן יעשה כן וידווח על כך לביהמ"ש. </w:t>
      </w:r>
    </w:p>
    <w:p w14:paraId="0552C80A" w14:textId="77777777" w:rsidR="002C31DC" w:rsidRDefault="006C0D60">
      <w:pPr>
        <w:ind w:left="720" w:hanging="720"/>
        <w:rPr>
          <w:rtl/>
        </w:rPr>
      </w:pPr>
      <w:r w:rsidRPr="006C0D60">
        <w:rPr>
          <w:color w:val="FFFFFF"/>
          <w:sz w:val="2"/>
          <w:szCs w:val="2"/>
          <w:rtl/>
        </w:rPr>
        <w:t>5129371</w:t>
      </w:r>
      <w:r>
        <w:rPr>
          <w:rFonts w:hint="cs"/>
          <w:rtl/>
        </w:rPr>
        <w:tab/>
        <w:t>מוסבר לנאשם כי אם לא יבצע עבודות השל"צ במלואן, ניתן יהיה להפקיע הצו, ולשוב ולגזור את דינו לרכיבי ענישה נוספים.</w:t>
      </w:r>
    </w:p>
    <w:p w14:paraId="53D0D81C" w14:textId="77777777" w:rsidR="002C31DC" w:rsidRPr="006C0D60" w:rsidRDefault="006C0D60">
      <w:pPr>
        <w:ind w:firstLine="720"/>
        <w:rPr>
          <w:b/>
          <w:bCs/>
          <w:color w:val="FFFFFF"/>
          <w:sz w:val="2"/>
          <w:szCs w:val="2"/>
          <w:rtl/>
        </w:rPr>
      </w:pPr>
      <w:r w:rsidRPr="006C0D60">
        <w:rPr>
          <w:b/>
          <w:bCs/>
          <w:color w:val="FFFFFF"/>
          <w:sz w:val="2"/>
          <w:szCs w:val="2"/>
          <w:rtl/>
        </w:rPr>
        <w:t>54678313</w:t>
      </w:r>
    </w:p>
    <w:p w14:paraId="0DFF9805" w14:textId="77777777" w:rsidR="002C31DC" w:rsidRDefault="006C0D60">
      <w:pPr>
        <w:rPr>
          <w:b/>
          <w:bCs/>
          <w:rtl/>
        </w:rPr>
      </w:pPr>
      <w:r>
        <w:rPr>
          <w:b/>
          <w:bCs/>
          <w:rtl/>
        </w:rPr>
        <w:t xml:space="preserve">זכות ערעור תוך 45 יום מהיום.  </w:t>
      </w:r>
    </w:p>
    <w:p w14:paraId="2177B63C" w14:textId="77777777" w:rsidR="002C31DC" w:rsidRDefault="002C31DC"/>
    <w:p w14:paraId="0896DB0A" w14:textId="77777777" w:rsidR="002C31DC" w:rsidRDefault="002C31DC">
      <w:pPr>
        <w:jc w:val="center"/>
        <w:rPr>
          <w:szCs w:val="24"/>
          <w:rtl/>
        </w:rPr>
      </w:pPr>
    </w:p>
    <w:p w14:paraId="1E5DCDCD" w14:textId="77777777" w:rsidR="002C31DC" w:rsidRDefault="006C0D60">
      <w:pPr>
        <w:rPr>
          <w:szCs w:val="24"/>
          <w:rtl/>
        </w:rPr>
      </w:pPr>
      <w:r>
        <w:rPr>
          <w:szCs w:val="24"/>
          <w:rtl/>
        </w:rPr>
        <w:t xml:space="preserve"> </w:t>
      </w:r>
    </w:p>
    <w:p w14:paraId="0FACE9AC" w14:textId="77777777" w:rsidR="006C0D60" w:rsidRPr="006C0D60" w:rsidRDefault="006C0D60" w:rsidP="006C0D60">
      <w:pPr>
        <w:keepNext/>
        <w:jc w:val="left"/>
        <w:rPr>
          <w:color w:val="000000"/>
          <w:sz w:val="22"/>
          <w:szCs w:val="22"/>
          <w:rtl/>
        </w:rPr>
      </w:pPr>
    </w:p>
    <w:p w14:paraId="778D27CC" w14:textId="77777777" w:rsidR="006C0D60" w:rsidRPr="006C0D60" w:rsidRDefault="006C0D60" w:rsidP="006C0D60">
      <w:pPr>
        <w:keepNext/>
        <w:jc w:val="left"/>
        <w:rPr>
          <w:color w:val="000000"/>
          <w:sz w:val="22"/>
          <w:szCs w:val="22"/>
          <w:rtl/>
        </w:rPr>
      </w:pPr>
      <w:r w:rsidRPr="006C0D60">
        <w:rPr>
          <w:color w:val="000000"/>
          <w:sz w:val="22"/>
          <w:szCs w:val="22"/>
          <w:rtl/>
        </w:rPr>
        <w:t>רובין לביא 54678313</w:t>
      </w:r>
    </w:p>
    <w:p w14:paraId="7D3CC5C6" w14:textId="77777777" w:rsidR="006C0D60" w:rsidRDefault="006C0D60" w:rsidP="006C0D60">
      <w:pPr>
        <w:jc w:val="left"/>
      </w:pPr>
      <w:r w:rsidRPr="006C0D60">
        <w:rPr>
          <w:color w:val="000000"/>
          <w:rtl/>
        </w:rPr>
        <w:t>נוסח מסמך זה כפוף לשינויי ניסוח ועריכה</w:t>
      </w:r>
    </w:p>
    <w:p w14:paraId="1F7C491F" w14:textId="77777777" w:rsidR="006C0D60" w:rsidRDefault="006C0D60" w:rsidP="006C0D60">
      <w:pPr>
        <w:jc w:val="left"/>
        <w:rPr>
          <w:rtl/>
        </w:rPr>
      </w:pPr>
    </w:p>
    <w:p w14:paraId="7E0DFE67" w14:textId="77777777" w:rsidR="006C0D60" w:rsidRDefault="006C0D60" w:rsidP="006C0D60">
      <w:pPr>
        <w:jc w:val="center"/>
        <w:rPr>
          <w:color w:val="0000FF"/>
          <w:szCs w:val="24"/>
          <w:u w:val="single"/>
        </w:rPr>
      </w:pPr>
      <w:hyperlink r:id="rId12" w:history="1">
        <w:r>
          <w:rPr>
            <w:color w:val="0000FF"/>
            <w:szCs w:val="24"/>
            <w:u w:val="single"/>
            <w:rtl/>
          </w:rPr>
          <w:t>בעניין עריכה ושינויים במסמכי פסיקה, חקיקה ועוד באתר נבו – הקש כאן</w:t>
        </w:r>
      </w:hyperlink>
    </w:p>
    <w:p w14:paraId="79E5B4F1" w14:textId="77777777" w:rsidR="002C31DC" w:rsidRPr="006C0D60" w:rsidRDefault="002C31DC" w:rsidP="006C0D60">
      <w:pPr>
        <w:jc w:val="center"/>
        <w:rPr>
          <w:color w:val="0000FF"/>
          <w:szCs w:val="24"/>
          <w:u w:val="single"/>
        </w:rPr>
      </w:pPr>
    </w:p>
    <w:sectPr w:rsidR="002C31DC" w:rsidRPr="006C0D60" w:rsidSect="006C0D60">
      <w:headerReference w:type="even" r:id="rId13"/>
      <w:headerReference w:type="default" r:id="rId14"/>
      <w:footerReference w:type="even" r:id="rId15"/>
      <w:footerReference w:type="default" r:id="rId16"/>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6CE0C5" w14:textId="77777777" w:rsidR="008574E9" w:rsidRDefault="008574E9">
      <w:r>
        <w:separator/>
      </w:r>
    </w:p>
  </w:endnote>
  <w:endnote w:type="continuationSeparator" w:id="0">
    <w:p w14:paraId="4C5D6E26" w14:textId="77777777" w:rsidR="008574E9" w:rsidRDefault="00857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6D8A3C" w14:textId="77777777" w:rsidR="008574E9" w:rsidRDefault="008574E9" w:rsidP="006C0D60">
    <w:pPr>
      <w:pStyle w:val="a5"/>
      <w:jc w:val="center"/>
      <w:rPr>
        <w:rFonts w:ascii="FrankRuehl" w:hAnsi="FrankRuehl" w:cs="FrankRuehl"/>
        <w:szCs w:val="24"/>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Pr>
        <w:rFonts w:ascii="FrankRuehl" w:hAnsi="FrankRuehl" w:cs="FrankRuehl"/>
        <w:noProof/>
        <w:szCs w:val="24"/>
        <w:rtl/>
      </w:rPr>
      <w:t>4</w:t>
    </w:r>
    <w:r>
      <w:rPr>
        <w:rFonts w:ascii="FrankRuehl" w:hAnsi="FrankRuehl" w:cs="FrankRuehl"/>
        <w:szCs w:val="24"/>
        <w:rtl/>
      </w:rPr>
      <w:fldChar w:fldCharType="end"/>
    </w:r>
  </w:p>
  <w:p w14:paraId="165D0481" w14:textId="77777777" w:rsidR="008574E9" w:rsidRPr="006C0D60" w:rsidRDefault="008574E9" w:rsidP="006C0D60">
    <w:pPr>
      <w:pStyle w:val="a5"/>
      <w:pBdr>
        <w:top w:val="single" w:sz="4" w:space="1" w:color="auto"/>
        <w:between w:val="single" w:sz="4" w:space="0" w:color="auto"/>
      </w:pBdr>
      <w:spacing w:after="60" w:line="240" w:lineRule="auto"/>
      <w:jc w:val="center"/>
      <w:rPr>
        <w:rFonts w:ascii="FrankRuehl" w:hAnsi="FrankRuehl" w:cs="FrankRuehl"/>
        <w:color w:val="000000"/>
        <w:szCs w:val="24"/>
      </w:rPr>
    </w:pPr>
    <w:r w:rsidRPr="006C0D60">
      <w:rPr>
        <w:rFonts w:ascii="FrankRuehl" w:hAnsi="FrankRuehl" w:cs="FrankRuehl"/>
        <w:color w:val="000000"/>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A0DEFF" w14:textId="77777777" w:rsidR="008574E9" w:rsidRDefault="008574E9" w:rsidP="006C0D60">
    <w:pPr>
      <w:pStyle w:val="a5"/>
      <w:jc w:val="center"/>
      <w:rPr>
        <w:rFonts w:ascii="FrankRuehl" w:hAnsi="FrankRuehl" w:cs="FrankRuehl"/>
        <w:szCs w:val="24"/>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sidR="00FC56B6">
      <w:rPr>
        <w:rFonts w:ascii="FrankRuehl" w:hAnsi="FrankRuehl" w:cs="FrankRuehl"/>
        <w:noProof/>
        <w:szCs w:val="24"/>
        <w:rtl/>
      </w:rPr>
      <w:t>1</w:t>
    </w:r>
    <w:r>
      <w:rPr>
        <w:rFonts w:ascii="FrankRuehl" w:hAnsi="FrankRuehl" w:cs="FrankRuehl"/>
        <w:szCs w:val="24"/>
        <w:rtl/>
      </w:rPr>
      <w:fldChar w:fldCharType="end"/>
    </w:r>
  </w:p>
  <w:p w14:paraId="2C97E130" w14:textId="77777777" w:rsidR="008574E9" w:rsidRPr="006C0D60" w:rsidRDefault="008574E9" w:rsidP="006C0D60">
    <w:pPr>
      <w:pStyle w:val="a5"/>
      <w:pBdr>
        <w:top w:val="single" w:sz="4" w:space="1" w:color="auto"/>
        <w:between w:val="single" w:sz="4" w:space="0" w:color="auto"/>
      </w:pBdr>
      <w:spacing w:after="60" w:line="240" w:lineRule="auto"/>
      <w:jc w:val="center"/>
      <w:rPr>
        <w:rFonts w:ascii="FrankRuehl" w:hAnsi="FrankRuehl" w:cs="FrankRuehl"/>
        <w:color w:val="000000"/>
        <w:szCs w:val="24"/>
      </w:rPr>
    </w:pPr>
    <w:r w:rsidRPr="006C0D60">
      <w:rPr>
        <w:rFonts w:ascii="FrankRuehl" w:hAnsi="FrankRuehl" w:cs="FrankRuehl"/>
        <w:color w:val="000000"/>
        <w:szCs w:val="24"/>
      </w:rPr>
      <w:pict w14:anchorId="207219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739083" w14:textId="77777777" w:rsidR="008574E9" w:rsidRDefault="008574E9">
      <w:r>
        <w:separator/>
      </w:r>
    </w:p>
  </w:footnote>
  <w:footnote w:type="continuationSeparator" w:id="0">
    <w:p w14:paraId="358AE65A" w14:textId="77777777" w:rsidR="008574E9" w:rsidRDefault="008574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FEC0AB" w14:textId="77777777" w:rsidR="008574E9" w:rsidRPr="006C0D60" w:rsidRDefault="008574E9" w:rsidP="006C0D60">
    <w:pPr>
      <w:pStyle w:val="a4"/>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12202-10-14</w:t>
    </w:r>
    <w:r>
      <w:rPr>
        <w:color w:val="000000"/>
        <w:sz w:val="22"/>
        <w:szCs w:val="22"/>
        <w:rtl/>
      </w:rPr>
      <w:tab/>
      <w:t xml:space="preserve"> מדינת ישראל נ' רן נתן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B8661B" w14:textId="77777777" w:rsidR="008574E9" w:rsidRPr="006C0D60" w:rsidRDefault="008574E9" w:rsidP="006C0D60">
    <w:pPr>
      <w:pStyle w:val="a4"/>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12202-10-14</w:t>
    </w:r>
    <w:r>
      <w:rPr>
        <w:color w:val="000000"/>
        <w:sz w:val="22"/>
        <w:szCs w:val="22"/>
        <w:rtl/>
      </w:rPr>
      <w:tab/>
      <w:t xml:space="preserve"> מדינת ישראל נ' רן נתן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C31DC"/>
    <w:rsid w:val="002C31DC"/>
    <w:rsid w:val="00507238"/>
    <w:rsid w:val="006C0D60"/>
    <w:rsid w:val="008574E9"/>
    <w:rsid w:val="00AE7985"/>
    <w:rsid w:val="00D11177"/>
    <w:rsid w:val="00DA2269"/>
    <w:rsid w:val="00EB38AA"/>
    <w:rsid w:val="00FC56B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B0F4BFD"/>
  <w15:chartTrackingRefBased/>
  <w15:docId w15:val="{C14B38AE-8C82-45B2-9668-503694F2C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C31DC"/>
    <w:pPr>
      <w:bidi/>
      <w:spacing w:line="360" w:lineRule="auto"/>
      <w:jc w:val="both"/>
    </w:pPr>
    <w:rPr>
      <w:rFonts w:ascii="David" w:eastAsia="David" w:hAnsi="David" w:cs="David"/>
      <w:sz w:val="24"/>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2C31DC"/>
  </w:style>
  <w:style w:type="paragraph" w:styleId="a4">
    <w:name w:val="header"/>
    <w:basedOn w:val="a"/>
    <w:rsid w:val="002C31DC"/>
    <w:pPr>
      <w:tabs>
        <w:tab w:val="center" w:pos="4153"/>
        <w:tab w:val="right" w:pos="8306"/>
      </w:tabs>
    </w:pPr>
  </w:style>
  <w:style w:type="paragraph" w:styleId="a5">
    <w:name w:val="footer"/>
    <w:basedOn w:val="a"/>
    <w:rsid w:val="002C31DC"/>
    <w:pPr>
      <w:tabs>
        <w:tab w:val="center" w:pos="4153"/>
        <w:tab w:val="right" w:pos="8306"/>
      </w:tabs>
    </w:pPr>
  </w:style>
  <w:style w:type="character" w:styleId="a6">
    <w:name w:val="page number"/>
    <w:basedOn w:val="a0"/>
    <w:rsid w:val="002C31DC"/>
  </w:style>
  <w:style w:type="paragraph" w:customStyle="1" w:styleId="12">
    <w:name w:val="רגיל + ‏12 נק'"/>
    <w:aliases w:val="מיושר לשני הצדדים,מרווח בין שורות:  שורה וחצי"/>
    <w:basedOn w:val="a"/>
    <w:rsid w:val="002C31DC"/>
    <w:pPr>
      <w:spacing w:line="240" w:lineRule="auto"/>
      <w:jc w:val="left"/>
    </w:pPr>
    <w:rPr>
      <w:rFonts w:ascii="Times New Roman" w:eastAsia="Times New Roman" w:hAnsi="Times New Roman"/>
      <w:b/>
      <w:bCs/>
      <w:szCs w:val="24"/>
      <w:u w:val="single"/>
    </w:rPr>
  </w:style>
  <w:style w:type="character" w:styleId="Hyperlink">
    <w:name w:val="Hyperlink"/>
    <w:basedOn w:val="a0"/>
    <w:rsid w:val="006C0D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case/13089623"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4216" TargetMode="External"/><Relationship Id="rId12" Type="http://schemas.openxmlformats.org/officeDocument/2006/relationships/hyperlink" Target="http://www.nevo.co.il/advertisements/nevo-100.doc"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4216"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www.nevo.co.il/law/4216" TargetMode="Externa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1244</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7455</CharactersWithSpaces>
  <SharedDoc>false</SharedDoc>
  <HLinks>
    <vt:vector size="42" baseType="variant">
      <vt:variant>
        <vt:i4>393283</vt:i4>
      </vt:variant>
      <vt:variant>
        <vt:i4>18</vt:i4>
      </vt:variant>
      <vt:variant>
        <vt:i4>0</vt:i4>
      </vt:variant>
      <vt:variant>
        <vt:i4>5</vt:i4>
      </vt:variant>
      <vt:variant>
        <vt:lpwstr>http://www.nevo.co.il/advertisements/nevo-100.doc</vt:lpwstr>
      </vt:variant>
      <vt:variant>
        <vt:lpwstr/>
      </vt:variant>
      <vt:variant>
        <vt:i4>8257637</vt:i4>
      </vt:variant>
      <vt:variant>
        <vt:i4>15</vt:i4>
      </vt:variant>
      <vt:variant>
        <vt:i4>0</vt:i4>
      </vt:variant>
      <vt:variant>
        <vt:i4>5</vt:i4>
      </vt:variant>
      <vt:variant>
        <vt:lpwstr>http://www.nevo.co.il/law/4216</vt:lpwstr>
      </vt:variant>
      <vt:variant>
        <vt:lpwstr/>
      </vt:variant>
      <vt:variant>
        <vt:i4>8257637</vt:i4>
      </vt:variant>
      <vt:variant>
        <vt:i4>12</vt:i4>
      </vt:variant>
      <vt:variant>
        <vt:i4>0</vt:i4>
      </vt:variant>
      <vt:variant>
        <vt:i4>5</vt:i4>
      </vt:variant>
      <vt:variant>
        <vt:lpwstr>http://www.nevo.co.il/law/4216</vt:lpwstr>
      </vt:variant>
      <vt:variant>
        <vt:lpwstr/>
      </vt:variant>
      <vt:variant>
        <vt:i4>7995492</vt:i4>
      </vt:variant>
      <vt:variant>
        <vt:i4>9</vt:i4>
      </vt:variant>
      <vt:variant>
        <vt:i4>0</vt:i4>
      </vt:variant>
      <vt:variant>
        <vt:i4>5</vt:i4>
      </vt:variant>
      <vt:variant>
        <vt:lpwstr>http://www.nevo.co.il/law/70301</vt:lpwstr>
      </vt:variant>
      <vt:variant>
        <vt:lpwstr/>
      </vt:variant>
      <vt:variant>
        <vt:i4>3801209</vt:i4>
      </vt:variant>
      <vt:variant>
        <vt:i4>6</vt:i4>
      </vt:variant>
      <vt:variant>
        <vt:i4>0</vt:i4>
      </vt:variant>
      <vt:variant>
        <vt:i4>5</vt:i4>
      </vt:variant>
      <vt:variant>
        <vt:lpwstr>http://www.nevo.co.il/case/13089623</vt:lpwstr>
      </vt:variant>
      <vt:variant>
        <vt:lpwstr/>
      </vt:variant>
      <vt:variant>
        <vt:i4>8257637</vt:i4>
      </vt:variant>
      <vt:variant>
        <vt:i4>3</vt:i4>
      </vt:variant>
      <vt:variant>
        <vt:i4>0</vt:i4>
      </vt:variant>
      <vt:variant>
        <vt:i4>5</vt:i4>
      </vt:variant>
      <vt:variant>
        <vt:lpwstr>http://www.nevo.co.il/law/4216</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2025-04-22T22:27:00Z</dcterms:created>
  <dcterms:modified xsi:type="dcterms:W3CDTF">2025-04-22T22:27:00Z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12202</vt:lpwstr>
  </property>
  <property fmtid="{D5CDD505-2E9C-101B-9397-08002B2CF9AE}" pid="6" name="NEWPARTB">
    <vt:lpwstr>10</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רן נתן</vt:lpwstr>
  </property>
  <property fmtid="{D5CDD505-2E9C-101B-9397-08002B2CF9AE}" pid="10" name="LAWYER">
    <vt:lpwstr>אביעד כ"ץ</vt:lpwstr>
  </property>
  <property fmtid="{D5CDD505-2E9C-101B-9397-08002B2CF9AE}" pid="11" name="JUDGE">
    <vt:lpwstr>רובין לביא</vt:lpwstr>
  </property>
  <property fmtid="{D5CDD505-2E9C-101B-9397-08002B2CF9AE}" pid="12" name="CITY">
    <vt:lpwstr>ק"ג</vt:lpwstr>
  </property>
  <property fmtid="{D5CDD505-2E9C-101B-9397-08002B2CF9AE}" pid="13" name="DATE">
    <vt:lpwstr>20150705</vt:lpwstr>
  </property>
  <property fmtid="{D5CDD505-2E9C-101B-9397-08002B2CF9AE}" pid="14" name="TYPE_N_DATE">
    <vt:lpwstr>38020150705</vt:lpwstr>
  </property>
  <property fmtid="{D5CDD505-2E9C-101B-9397-08002B2CF9AE}" pid="15" name="CASESLISTTMP1">
    <vt:lpwstr>13089623</vt:lpwstr>
  </property>
  <property fmtid="{D5CDD505-2E9C-101B-9397-08002B2CF9AE}" pid="16" name="WORDNUMPAGES">
    <vt:lpwstr>5</vt:lpwstr>
  </property>
  <property fmtid="{D5CDD505-2E9C-101B-9397-08002B2CF9AE}" pid="17" name="TYPE_ABS_DATE">
    <vt:lpwstr>380020150705</vt:lpwstr>
  </property>
  <property fmtid="{D5CDD505-2E9C-101B-9397-08002B2CF9AE}" pid="18" name="ISABSTRACT">
    <vt:lpwstr>Y</vt:lpwstr>
  </property>
  <property fmtid="{D5CDD505-2E9C-101B-9397-08002B2CF9AE}" pid="19" name="LAWLISTTMP1">
    <vt:lpwstr>70301</vt:lpwstr>
  </property>
  <property fmtid="{D5CDD505-2E9C-101B-9397-08002B2CF9AE}" pid="20" name="LAWLISTTMP2">
    <vt:lpwstr>4216:2</vt:lpwstr>
  </property>
</Properties>
</file>