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F59DA" w:rsidRPr="00312B25" w14:paraId="54A033F6" w14:textId="77777777">
        <w:trPr>
          <w:trHeight w:hRule="exact" w:val="418"/>
          <w:jc w:val="center"/>
        </w:trPr>
        <w:tc>
          <w:tcPr>
            <w:tcW w:w="8720" w:type="dxa"/>
            <w:gridSpan w:val="3"/>
          </w:tcPr>
          <w:p w14:paraId="3DB7F0DD" w14:textId="77777777" w:rsidR="001F59DA" w:rsidRPr="00312B25" w:rsidRDefault="00312B25">
            <w:pPr>
              <w:pStyle w:val="a3"/>
              <w:tabs>
                <w:tab w:val="clear" w:pos="8306"/>
              </w:tabs>
              <w:jc w:val="center"/>
              <w:rPr>
                <w:rFonts w:ascii="Tahoma" w:hAnsi="Tahoma" w:cs="Tahoma"/>
                <w:b/>
                <w:bCs/>
                <w:color w:val="000080"/>
                <w:sz w:val="20"/>
                <w:szCs w:val="20"/>
                <w:rtl/>
              </w:rPr>
            </w:pPr>
            <w:r w:rsidRPr="00312B25">
              <w:rPr>
                <w:rFonts w:ascii="Tahoma" w:hAnsi="Tahoma" w:cs="Tahoma"/>
                <w:b/>
                <w:bCs/>
                <w:color w:val="000080"/>
                <w:sz w:val="20"/>
                <w:szCs w:val="20"/>
                <w:rtl/>
              </w:rPr>
              <w:t>בית משפט השלום בבאר שבע</w:t>
            </w:r>
          </w:p>
        </w:tc>
      </w:tr>
      <w:tr w:rsidR="001F59DA" w:rsidRPr="00312B25" w14:paraId="67F5E5D8" w14:textId="77777777">
        <w:trPr>
          <w:trHeight w:val="337"/>
          <w:jc w:val="center"/>
        </w:trPr>
        <w:tc>
          <w:tcPr>
            <w:tcW w:w="6396" w:type="dxa"/>
          </w:tcPr>
          <w:p w14:paraId="20F650DE" w14:textId="77777777" w:rsidR="001F59DA" w:rsidRPr="00312B25" w:rsidRDefault="00312B25">
            <w:pPr>
              <w:rPr>
                <w:b/>
                <w:bCs/>
                <w:sz w:val="26"/>
                <w:szCs w:val="26"/>
                <w:rtl/>
              </w:rPr>
            </w:pPr>
            <w:r w:rsidRPr="00312B25">
              <w:rPr>
                <w:b/>
                <w:bCs/>
                <w:sz w:val="26"/>
                <w:szCs w:val="26"/>
                <w:rtl/>
              </w:rPr>
              <w:t>ת"פ</w:t>
            </w:r>
            <w:r w:rsidRPr="00312B25">
              <w:rPr>
                <w:rFonts w:hint="cs"/>
                <w:b/>
                <w:bCs/>
                <w:sz w:val="26"/>
                <w:szCs w:val="26"/>
                <w:rtl/>
              </w:rPr>
              <w:t xml:space="preserve"> </w:t>
            </w:r>
            <w:r w:rsidRPr="00312B25">
              <w:rPr>
                <w:b/>
                <w:bCs/>
                <w:sz w:val="26"/>
                <w:szCs w:val="26"/>
                <w:rtl/>
              </w:rPr>
              <w:t>16727-10-14</w:t>
            </w:r>
            <w:r w:rsidRPr="00312B25">
              <w:rPr>
                <w:rFonts w:hint="cs"/>
                <w:b/>
                <w:bCs/>
                <w:sz w:val="26"/>
                <w:szCs w:val="26"/>
                <w:rtl/>
              </w:rPr>
              <w:t xml:space="preserve"> </w:t>
            </w:r>
            <w:r w:rsidRPr="00312B25">
              <w:rPr>
                <w:b/>
                <w:bCs/>
                <w:sz w:val="26"/>
                <w:szCs w:val="26"/>
                <w:rtl/>
              </w:rPr>
              <w:t>מדינת ישראל נ' קוקואשוילי</w:t>
            </w:r>
          </w:p>
          <w:p w14:paraId="248908BA" w14:textId="77777777" w:rsidR="001F59DA" w:rsidRPr="00312B25" w:rsidRDefault="001F59DA">
            <w:pPr>
              <w:rPr>
                <w:b/>
                <w:bCs/>
                <w:sz w:val="26"/>
                <w:szCs w:val="26"/>
                <w:rtl/>
              </w:rPr>
            </w:pPr>
          </w:p>
        </w:tc>
        <w:tc>
          <w:tcPr>
            <w:tcW w:w="236" w:type="dxa"/>
          </w:tcPr>
          <w:p w14:paraId="38208443" w14:textId="77777777" w:rsidR="001F59DA" w:rsidRPr="00312B25" w:rsidRDefault="001F59DA">
            <w:pPr>
              <w:pStyle w:val="a3"/>
              <w:jc w:val="right"/>
              <w:rPr>
                <w:b/>
                <w:bCs/>
                <w:sz w:val="26"/>
                <w:szCs w:val="26"/>
                <w:rtl/>
              </w:rPr>
            </w:pPr>
          </w:p>
        </w:tc>
        <w:tc>
          <w:tcPr>
            <w:tcW w:w="2088" w:type="dxa"/>
          </w:tcPr>
          <w:p w14:paraId="527EDD20" w14:textId="77777777" w:rsidR="001F59DA" w:rsidRPr="00312B25" w:rsidRDefault="00312B25">
            <w:pPr>
              <w:pStyle w:val="a3"/>
              <w:tabs>
                <w:tab w:val="clear" w:pos="4153"/>
              </w:tabs>
              <w:jc w:val="right"/>
              <w:rPr>
                <w:b/>
                <w:bCs/>
                <w:sz w:val="26"/>
                <w:szCs w:val="26"/>
                <w:rtl/>
              </w:rPr>
            </w:pPr>
            <w:r w:rsidRPr="00312B25">
              <w:rPr>
                <w:rFonts w:hint="cs"/>
                <w:b/>
                <w:bCs/>
                <w:sz w:val="26"/>
                <w:szCs w:val="26"/>
                <w:rtl/>
              </w:rPr>
              <w:t>25</w:t>
            </w:r>
            <w:r w:rsidRPr="00312B25">
              <w:rPr>
                <w:b/>
                <w:bCs/>
                <w:sz w:val="26"/>
                <w:szCs w:val="26"/>
                <w:rtl/>
              </w:rPr>
              <w:t xml:space="preserve"> מרץ 2015</w:t>
            </w:r>
          </w:p>
        </w:tc>
      </w:tr>
    </w:tbl>
    <w:p w14:paraId="5F7F8BC6" w14:textId="77777777" w:rsidR="001F59DA" w:rsidRPr="00312B25" w:rsidRDefault="001F59DA">
      <w:pPr>
        <w:pStyle w:val="a3"/>
        <w:jc w:val="center"/>
        <w:rPr>
          <w:rFonts w:ascii="Tahoma" w:hAnsi="Tahoma" w:cs="Tahoma"/>
          <w:b/>
          <w:bCs/>
          <w:color w:val="000080"/>
          <w:sz w:val="20"/>
          <w:szCs w:val="20"/>
          <w:rtl/>
        </w:rPr>
      </w:pPr>
    </w:p>
    <w:p w14:paraId="3B2211E2" w14:textId="77777777" w:rsidR="001F59DA" w:rsidRPr="00312B25" w:rsidRDefault="001F59DA">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1F59DA" w:rsidRPr="00312B25" w14:paraId="2B2D1F6B" w14:textId="77777777">
        <w:trPr>
          <w:gridAfter w:val="1"/>
          <w:wAfter w:w="55" w:type="dxa"/>
        </w:trPr>
        <w:tc>
          <w:tcPr>
            <w:tcW w:w="8719" w:type="dxa"/>
            <w:gridSpan w:val="2"/>
          </w:tcPr>
          <w:p w14:paraId="2514D49C" w14:textId="77777777" w:rsidR="001F59DA" w:rsidRPr="00312B25" w:rsidRDefault="00312B25">
            <w:pPr>
              <w:spacing w:line="360" w:lineRule="auto"/>
              <w:jc w:val="both"/>
              <w:rPr>
                <w:rFonts w:ascii="Times New Roman" w:eastAsia="Times New Roman" w:hAnsi="Times New Roman"/>
                <w:b/>
                <w:bCs/>
                <w:sz w:val="26"/>
                <w:szCs w:val="26"/>
              </w:rPr>
            </w:pPr>
            <w:r w:rsidRPr="00312B25">
              <w:rPr>
                <w:rFonts w:ascii="Times New Roman" w:eastAsia="Times New Roman" w:hAnsi="Times New Roman"/>
                <w:b/>
                <w:bCs/>
                <w:sz w:val="26"/>
                <w:szCs w:val="26"/>
                <w:rtl/>
              </w:rPr>
              <w:t xml:space="preserve">  </w:t>
            </w:r>
            <w:r w:rsidRPr="00312B25">
              <w:rPr>
                <w:rFonts w:ascii="Times New Roman" w:eastAsia="Times New Roman" w:hAnsi="Times New Roman" w:hint="cs"/>
                <w:b/>
                <w:bCs/>
                <w:sz w:val="26"/>
                <w:szCs w:val="26"/>
                <w:rtl/>
              </w:rPr>
              <w:t>בפני כב' השופט איתי ברסלר-גונן, סגן נשיאה</w:t>
            </w:r>
          </w:p>
        </w:tc>
      </w:tr>
      <w:tr w:rsidR="001F59DA" w:rsidRPr="00312B25" w14:paraId="2F93AA42" w14:textId="77777777">
        <w:tc>
          <w:tcPr>
            <w:tcW w:w="2880" w:type="dxa"/>
          </w:tcPr>
          <w:p w14:paraId="7D1B0EEE" w14:textId="77777777" w:rsidR="001F59DA" w:rsidRPr="00312B25" w:rsidRDefault="00312B25">
            <w:pPr>
              <w:ind w:left="26"/>
              <w:rPr>
                <w:rFonts w:ascii="Times New Roman" w:eastAsia="Times New Roman" w:hAnsi="Times New Roman"/>
                <w:b/>
                <w:bCs/>
                <w:sz w:val="26"/>
                <w:szCs w:val="26"/>
              </w:rPr>
            </w:pPr>
            <w:bookmarkStart w:id="0" w:name="FirstAppellant"/>
            <w:bookmarkStart w:id="1" w:name="FirstLawyer"/>
            <w:bookmarkStart w:id="2" w:name="LastJudge"/>
            <w:bookmarkEnd w:id="2"/>
            <w:r w:rsidRPr="00312B25">
              <w:rPr>
                <w:rFonts w:ascii="Times New Roman" w:eastAsia="Times New Roman" w:hAnsi="Times New Roman" w:hint="cs"/>
                <w:b/>
                <w:bCs/>
                <w:sz w:val="26"/>
                <w:szCs w:val="26"/>
                <w:rtl/>
              </w:rPr>
              <w:t>ה</w:t>
            </w:r>
            <w:r w:rsidRPr="00312B25">
              <w:rPr>
                <w:rFonts w:ascii="Times New Roman" w:eastAsia="Times New Roman" w:hAnsi="Times New Roman" w:hint="cs"/>
                <w:rtl/>
              </w:rPr>
              <w:t>מאשימה</w:t>
            </w:r>
          </w:p>
        </w:tc>
        <w:tc>
          <w:tcPr>
            <w:tcW w:w="5922" w:type="dxa"/>
            <w:gridSpan w:val="2"/>
          </w:tcPr>
          <w:p w14:paraId="1218B01B" w14:textId="77777777" w:rsidR="001F59DA" w:rsidRPr="00312B25" w:rsidRDefault="00312B25">
            <w:pPr>
              <w:rPr>
                <w:rFonts w:ascii="Times New Roman" w:eastAsia="Times New Roman" w:hAnsi="Times New Roman"/>
                <w:b/>
                <w:bCs/>
                <w:sz w:val="26"/>
                <w:szCs w:val="26"/>
                <w:rtl/>
              </w:rPr>
            </w:pPr>
            <w:r w:rsidRPr="00312B25">
              <w:rPr>
                <w:rFonts w:ascii="Times New Roman" w:eastAsia="Times New Roman" w:hAnsi="Times New Roman" w:hint="cs"/>
                <w:rtl/>
              </w:rPr>
              <w:t>מדינת ישראל</w:t>
            </w:r>
          </w:p>
          <w:p w14:paraId="5828C829" w14:textId="77777777" w:rsidR="001F59DA" w:rsidRPr="00312B25" w:rsidRDefault="00312B25">
            <w:pPr>
              <w:rPr>
                <w:rFonts w:ascii="Times New Roman" w:eastAsia="Times New Roman" w:hAnsi="Times New Roman"/>
                <w:b/>
                <w:bCs/>
                <w:sz w:val="26"/>
                <w:szCs w:val="26"/>
              </w:rPr>
            </w:pPr>
            <w:r w:rsidRPr="00312B25">
              <w:rPr>
                <w:rFonts w:ascii="Times New Roman" w:eastAsia="Times New Roman" w:hAnsi="Times New Roman" w:hint="cs"/>
                <w:b/>
                <w:bCs/>
                <w:sz w:val="26"/>
                <w:szCs w:val="26"/>
                <w:rtl/>
              </w:rPr>
              <w:t>ע"י ב"כ עו"ד הדס הוס טודרוס ועו"ד נופר לוי</w:t>
            </w:r>
          </w:p>
        </w:tc>
      </w:tr>
      <w:bookmarkEnd w:id="0"/>
      <w:bookmarkEnd w:id="1"/>
      <w:tr w:rsidR="001F59DA" w:rsidRPr="00312B25" w14:paraId="6CFC9C86" w14:textId="77777777">
        <w:tc>
          <w:tcPr>
            <w:tcW w:w="8802" w:type="dxa"/>
            <w:gridSpan w:val="3"/>
          </w:tcPr>
          <w:p w14:paraId="4EF765E4" w14:textId="77777777" w:rsidR="001F59DA" w:rsidRPr="00312B25" w:rsidRDefault="001F59DA">
            <w:pPr>
              <w:jc w:val="both"/>
              <w:rPr>
                <w:rFonts w:ascii="Arial" w:eastAsia="Times New Roman" w:hAnsi="Arial"/>
                <w:b/>
                <w:bCs/>
                <w:sz w:val="26"/>
                <w:szCs w:val="26"/>
                <w:rtl/>
              </w:rPr>
            </w:pPr>
          </w:p>
          <w:p w14:paraId="040CB359" w14:textId="77777777" w:rsidR="001F59DA" w:rsidRPr="00312B25" w:rsidRDefault="00312B25">
            <w:pPr>
              <w:jc w:val="center"/>
              <w:rPr>
                <w:rFonts w:ascii="Arial" w:eastAsia="Times New Roman" w:hAnsi="Arial"/>
                <w:b/>
                <w:bCs/>
                <w:sz w:val="26"/>
                <w:szCs w:val="26"/>
                <w:rtl/>
              </w:rPr>
            </w:pPr>
            <w:r w:rsidRPr="00312B25">
              <w:rPr>
                <w:rFonts w:ascii="Arial" w:eastAsia="Times New Roman" w:hAnsi="Arial" w:hint="cs"/>
                <w:b/>
                <w:bCs/>
                <w:sz w:val="26"/>
                <w:szCs w:val="26"/>
                <w:rtl/>
              </w:rPr>
              <w:t>נגד</w:t>
            </w:r>
          </w:p>
          <w:p w14:paraId="764916CD" w14:textId="77777777" w:rsidR="001F59DA" w:rsidRPr="00312B25" w:rsidRDefault="001F59DA">
            <w:pPr>
              <w:jc w:val="center"/>
              <w:rPr>
                <w:rFonts w:ascii="Arial" w:eastAsia="Times New Roman" w:hAnsi="Arial"/>
                <w:b/>
                <w:bCs/>
                <w:sz w:val="26"/>
                <w:szCs w:val="26"/>
              </w:rPr>
            </w:pPr>
          </w:p>
        </w:tc>
      </w:tr>
      <w:tr w:rsidR="001F59DA" w:rsidRPr="00312B25" w14:paraId="17DE7B75" w14:textId="77777777">
        <w:tc>
          <w:tcPr>
            <w:tcW w:w="2880" w:type="dxa"/>
          </w:tcPr>
          <w:p w14:paraId="320DA9CE" w14:textId="77777777" w:rsidR="001F59DA" w:rsidRPr="00312B25" w:rsidRDefault="00312B25">
            <w:pPr>
              <w:ind w:left="26"/>
              <w:rPr>
                <w:rFonts w:ascii="Times New Roman" w:eastAsia="Times New Roman" w:hAnsi="Times New Roman"/>
                <w:b/>
                <w:bCs/>
                <w:sz w:val="26"/>
                <w:szCs w:val="26"/>
              </w:rPr>
            </w:pPr>
            <w:r w:rsidRPr="00312B25">
              <w:rPr>
                <w:rFonts w:ascii="Times New Roman" w:eastAsia="Times New Roman" w:hAnsi="Times New Roman" w:hint="cs"/>
                <w:b/>
                <w:bCs/>
                <w:sz w:val="26"/>
                <w:szCs w:val="26"/>
                <w:rtl/>
              </w:rPr>
              <w:t>ה</w:t>
            </w:r>
            <w:r w:rsidRPr="00312B25">
              <w:rPr>
                <w:rFonts w:ascii="Times New Roman" w:eastAsia="Times New Roman" w:hAnsi="Times New Roman" w:hint="cs"/>
                <w:rtl/>
              </w:rPr>
              <w:t>נאשם</w:t>
            </w:r>
          </w:p>
        </w:tc>
        <w:tc>
          <w:tcPr>
            <w:tcW w:w="5922" w:type="dxa"/>
            <w:gridSpan w:val="2"/>
          </w:tcPr>
          <w:p w14:paraId="513817AE" w14:textId="77777777" w:rsidR="001F59DA" w:rsidRPr="00312B25" w:rsidRDefault="00312B25">
            <w:pPr>
              <w:rPr>
                <w:rFonts w:ascii="Times New Roman" w:eastAsia="Times New Roman" w:hAnsi="Times New Roman"/>
                <w:b/>
                <w:bCs/>
                <w:sz w:val="26"/>
                <w:szCs w:val="26"/>
                <w:rtl/>
              </w:rPr>
            </w:pPr>
            <w:r w:rsidRPr="00312B25">
              <w:rPr>
                <w:rFonts w:ascii="Times New Roman" w:eastAsia="Times New Roman" w:hAnsi="Times New Roman" w:hint="cs"/>
                <w:rtl/>
              </w:rPr>
              <w:t>גיגה קוקואשוילי -בעצמו</w:t>
            </w:r>
          </w:p>
          <w:p w14:paraId="6FF151DD" w14:textId="77777777" w:rsidR="001F59DA" w:rsidRPr="00312B25" w:rsidRDefault="00312B25">
            <w:pPr>
              <w:rPr>
                <w:rFonts w:ascii="Times New Roman" w:eastAsia="Times New Roman" w:hAnsi="Times New Roman"/>
                <w:b/>
                <w:bCs/>
                <w:sz w:val="26"/>
                <w:szCs w:val="26"/>
              </w:rPr>
            </w:pPr>
            <w:r w:rsidRPr="00312B25">
              <w:rPr>
                <w:rFonts w:ascii="Times New Roman" w:eastAsia="Times New Roman" w:hAnsi="Times New Roman" w:hint="cs"/>
                <w:b/>
                <w:bCs/>
                <w:sz w:val="26"/>
                <w:szCs w:val="26"/>
                <w:rtl/>
              </w:rPr>
              <w:t xml:space="preserve">ע"י ב"כ עו"ד אפרת צרפתי </w:t>
            </w:r>
          </w:p>
        </w:tc>
      </w:tr>
    </w:tbl>
    <w:p w14:paraId="4D32E7D5" w14:textId="77777777" w:rsidR="001F59DA" w:rsidRPr="00312B25" w:rsidRDefault="001F59DA">
      <w:pPr>
        <w:spacing w:line="360" w:lineRule="auto"/>
        <w:jc w:val="both"/>
        <w:rPr>
          <w:rtl/>
        </w:rPr>
      </w:pPr>
    </w:p>
    <w:p w14:paraId="34F4B64A" w14:textId="77777777" w:rsidR="001F59DA" w:rsidRPr="00312B25" w:rsidRDefault="00312B25">
      <w:pPr>
        <w:spacing w:line="360" w:lineRule="auto"/>
        <w:jc w:val="both"/>
        <w:rPr>
          <w:sz w:val="6"/>
          <w:szCs w:val="6"/>
          <w:rtl/>
        </w:rPr>
      </w:pPr>
      <w:r w:rsidRPr="00312B25">
        <w:rPr>
          <w:sz w:val="6"/>
          <w:szCs w:val="6"/>
          <w:rtl/>
        </w:rPr>
        <w:t>&lt;#1#&gt;</w:t>
      </w:r>
    </w:p>
    <w:p w14:paraId="2B01FB8B" w14:textId="77777777" w:rsidR="001F59DA" w:rsidRPr="00312B25" w:rsidRDefault="001F59DA">
      <w:pPr>
        <w:pStyle w:val="12"/>
        <w:rPr>
          <w:b w:val="0"/>
          <w:bCs w:val="0"/>
          <w:u w:val="none"/>
          <w:rtl/>
        </w:rPr>
      </w:pPr>
    </w:p>
    <w:p w14:paraId="061BC1FD" w14:textId="77777777" w:rsidR="00E22E1A" w:rsidRDefault="00312B25" w:rsidP="00E22E1A">
      <w:pPr>
        <w:spacing w:before="120" w:line="360" w:lineRule="auto"/>
        <w:ind w:left="360"/>
        <w:jc w:val="center"/>
        <w:rPr>
          <w:rFonts w:ascii="Arial" w:hAnsi="Arial"/>
          <w:sz w:val="28"/>
          <w:szCs w:val="28"/>
          <w:rtl/>
        </w:rPr>
      </w:pPr>
      <w:r w:rsidRPr="00312B25">
        <w:rPr>
          <w:rFonts w:ascii="Arial" w:hAnsi="Arial"/>
          <w:b/>
          <w:color w:val="FF0000"/>
          <w:sz w:val="28"/>
          <w:rtl/>
        </w:rPr>
        <w:t>במסמך זה הושמטו פרוטוקולים</w:t>
      </w:r>
      <w:bookmarkStart w:id="3" w:name="LawTable"/>
      <w:bookmarkEnd w:id="3"/>
    </w:p>
    <w:p w14:paraId="71EDCD1E" w14:textId="77777777" w:rsidR="00E22E1A" w:rsidRPr="00E22E1A" w:rsidRDefault="00E22E1A" w:rsidP="00E22E1A">
      <w:pPr>
        <w:spacing w:before="120" w:after="120" w:line="240" w:lineRule="exact"/>
        <w:ind w:left="283" w:hanging="283"/>
        <w:jc w:val="both"/>
        <w:rPr>
          <w:rFonts w:ascii="FrankRuehl" w:hAnsi="FrankRuehl" w:cs="FrankRuehl"/>
          <w:rtl/>
        </w:rPr>
      </w:pPr>
    </w:p>
    <w:p w14:paraId="4AE2D94E" w14:textId="77777777" w:rsidR="00E22E1A" w:rsidRPr="00E22E1A" w:rsidRDefault="00E22E1A" w:rsidP="00E22E1A">
      <w:pPr>
        <w:spacing w:before="120" w:after="120" w:line="240" w:lineRule="exact"/>
        <w:ind w:left="283" w:hanging="283"/>
        <w:jc w:val="both"/>
        <w:rPr>
          <w:rFonts w:ascii="FrankRuehl" w:hAnsi="FrankRuehl" w:cs="FrankRuehl"/>
          <w:rtl/>
        </w:rPr>
      </w:pPr>
      <w:r w:rsidRPr="00E22E1A">
        <w:rPr>
          <w:rFonts w:ascii="FrankRuehl" w:hAnsi="FrankRuehl" w:cs="FrankRuehl"/>
          <w:rtl/>
        </w:rPr>
        <w:t xml:space="preserve">חקיקה שאוזכרה: </w:t>
      </w:r>
    </w:p>
    <w:p w14:paraId="7BB76444" w14:textId="77777777" w:rsidR="00E22E1A" w:rsidRPr="00E22E1A" w:rsidRDefault="00E22E1A" w:rsidP="00E22E1A">
      <w:pPr>
        <w:spacing w:before="120" w:after="120" w:line="240" w:lineRule="exact"/>
        <w:ind w:left="283" w:hanging="283"/>
        <w:jc w:val="both"/>
        <w:rPr>
          <w:rFonts w:ascii="FrankRuehl" w:hAnsi="FrankRuehl" w:cs="FrankRuehl"/>
          <w:rtl/>
        </w:rPr>
      </w:pPr>
      <w:hyperlink r:id="rId7" w:history="1">
        <w:r w:rsidRPr="00E22E1A">
          <w:rPr>
            <w:rFonts w:ascii="FrankRuehl" w:hAnsi="FrankRuehl" w:cs="FrankRuehl"/>
            <w:color w:val="0000FF"/>
            <w:u w:val="single"/>
            <w:rtl/>
          </w:rPr>
          <w:t>פקודת הסמים המסוכנים [נוסח חדש], תשל"ג-1973</w:t>
        </w:r>
      </w:hyperlink>
      <w:r w:rsidRPr="00E22E1A">
        <w:rPr>
          <w:rFonts w:ascii="FrankRuehl" w:hAnsi="FrankRuehl" w:cs="FrankRuehl"/>
          <w:rtl/>
        </w:rPr>
        <w:t xml:space="preserve">: סע'  </w:t>
      </w:r>
      <w:hyperlink r:id="rId8" w:history="1">
        <w:r w:rsidRPr="00E22E1A">
          <w:rPr>
            <w:rFonts w:ascii="FrankRuehl" w:hAnsi="FrankRuehl" w:cs="FrankRuehl"/>
            <w:color w:val="0000FF"/>
            <w:u w:val="single"/>
            <w:rtl/>
          </w:rPr>
          <w:t>7.א.</w:t>
        </w:r>
      </w:hyperlink>
      <w:r w:rsidRPr="00E22E1A">
        <w:rPr>
          <w:rFonts w:ascii="FrankRuehl" w:hAnsi="FrankRuehl" w:cs="FrankRuehl"/>
          <w:rtl/>
        </w:rPr>
        <w:t xml:space="preserve">, </w:t>
      </w:r>
      <w:hyperlink r:id="rId9" w:history="1">
        <w:r w:rsidRPr="00E22E1A">
          <w:rPr>
            <w:rFonts w:ascii="FrankRuehl" w:hAnsi="FrankRuehl" w:cs="FrankRuehl"/>
            <w:color w:val="0000FF"/>
            <w:u w:val="single"/>
            <w:rtl/>
          </w:rPr>
          <w:t>7.ג</w:t>
        </w:r>
      </w:hyperlink>
    </w:p>
    <w:p w14:paraId="458E8A3A" w14:textId="77777777" w:rsidR="00E22E1A" w:rsidRPr="00E22E1A" w:rsidRDefault="00E22E1A" w:rsidP="00E22E1A">
      <w:pPr>
        <w:spacing w:before="120" w:after="120" w:line="240" w:lineRule="exact"/>
        <w:ind w:left="283" w:hanging="283"/>
        <w:jc w:val="both"/>
        <w:rPr>
          <w:rFonts w:ascii="FrankRuehl" w:hAnsi="FrankRuehl" w:cs="FrankRuehl"/>
          <w:rtl/>
        </w:rPr>
      </w:pPr>
      <w:hyperlink r:id="rId10" w:history="1">
        <w:r w:rsidRPr="00E22E1A">
          <w:rPr>
            <w:rFonts w:ascii="FrankRuehl" w:hAnsi="FrankRuehl" w:cs="FrankRuehl"/>
            <w:color w:val="0000FF"/>
            <w:u w:val="single"/>
            <w:rtl/>
          </w:rPr>
          <w:t>פקודת התעבורה [נוסח חדש]</w:t>
        </w:r>
      </w:hyperlink>
      <w:r w:rsidRPr="00E22E1A">
        <w:rPr>
          <w:rFonts w:ascii="FrankRuehl" w:hAnsi="FrankRuehl" w:cs="FrankRuehl"/>
          <w:rtl/>
        </w:rPr>
        <w:t xml:space="preserve">: סע'  </w:t>
      </w:r>
      <w:hyperlink r:id="rId11" w:history="1">
        <w:r w:rsidRPr="00E22E1A">
          <w:rPr>
            <w:rFonts w:ascii="FrankRuehl" w:hAnsi="FrankRuehl" w:cs="FrankRuehl"/>
            <w:color w:val="0000FF"/>
            <w:u w:val="single"/>
            <w:rtl/>
          </w:rPr>
          <w:t>10(א)</w:t>
        </w:r>
      </w:hyperlink>
    </w:p>
    <w:p w14:paraId="0859A0ED" w14:textId="77777777" w:rsidR="00E22E1A" w:rsidRPr="00E22E1A" w:rsidRDefault="00E22E1A" w:rsidP="00E22E1A">
      <w:pPr>
        <w:spacing w:before="120" w:after="120" w:line="240" w:lineRule="exact"/>
        <w:ind w:left="283" w:hanging="283"/>
        <w:jc w:val="both"/>
        <w:rPr>
          <w:rFonts w:ascii="FrankRuehl" w:hAnsi="FrankRuehl" w:cs="FrankRuehl"/>
          <w:rtl/>
        </w:rPr>
      </w:pPr>
      <w:hyperlink r:id="rId12" w:history="1">
        <w:r w:rsidRPr="00E22E1A">
          <w:rPr>
            <w:rFonts w:ascii="FrankRuehl" w:hAnsi="FrankRuehl" w:cs="FrankRuehl"/>
            <w:color w:val="0000FF"/>
            <w:u w:val="single"/>
            <w:rtl/>
          </w:rPr>
          <w:t>פקודת ביטוח רכב מנועי [נוסח חדש], תש"ל-1970</w:t>
        </w:r>
      </w:hyperlink>
      <w:r w:rsidRPr="00E22E1A">
        <w:rPr>
          <w:rFonts w:ascii="FrankRuehl" w:hAnsi="FrankRuehl" w:cs="FrankRuehl"/>
          <w:rtl/>
        </w:rPr>
        <w:t xml:space="preserve">: סע'  </w:t>
      </w:r>
      <w:hyperlink r:id="rId13" w:history="1">
        <w:r w:rsidRPr="00E22E1A">
          <w:rPr>
            <w:rFonts w:ascii="FrankRuehl" w:hAnsi="FrankRuehl" w:cs="FrankRuehl"/>
            <w:color w:val="0000FF"/>
            <w:u w:val="single"/>
            <w:rtl/>
          </w:rPr>
          <w:t>2(א)</w:t>
        </w:r>
      </w:hyperlink>
    </w:p>
    <w:p w14:paraId="717F4D01" w14:textId="77777777" w:rsidR="00E22E1A" w:rsidRPr="00E22E1A" w:rsidRDefault="00E22E1A" w:rsidP="00E22E1A">
      <w:pPr>
        <w:spacing w:before="120" w:after="120" w:line="240" w:lineRule="exact"/>
        <w:ind w:left="283" w:hanging="283"/>
        <w:jc w:val="both"/>
        <w:rPr>
          <w:rFonts w:ascii="FrankRuehl" w:hAnsi="FrankRuehl" w:cs="FrankRuehl"/>
          <w:rtl/>
        </w:rPr>
      </w:pPr>
    </w:p>
    <w:p w14:paraId="3BBA264F" w14:textId="77777777" w:rsidR="00312B25" w:rsidRPr="00312B25" w:rsidRDefault="00312B25" w:rsidP="00E22E1A">
      <w:pPr>
        <w:spacing w:before="120" w:line="360" w:lineRule="auto"/>
        <w:jc w:val="center"/>
        <w:rPr>
          <w:rFonts w:ascii="Arial" w:hAnsi="Arial"/>
          <w:b/>
          <w:bCs/>
          <w:sz w:val="28"/>
          <w:szCs w:val="28"/>
          <w:u w:val="single"/>
          <w:rtl/>
        </w:rPr>
      </w:pPr>
      <w:bookmarkStart w:id="4" w:name="LawTable_End"/>
      <w:bookmarkStart w:id="5" w:name="PsakDin"/>
      <w:bookmarkEnd w:id="4"/>
      <w:r w:rsidRPr="00312B25">
        <w:rPr>
          <w:rFonts w:ascii="Arial" w:hAnsi="Arial"/>
          <w:b/>
          <w:bCs/>
          <w:sz w:val="28"/>
          <w:szCs w:val="28"/>
          <w:u w:val="single"/>
          <w:rtl/>
        </w:rPr>
        <w:t>גזר דין</w:t>
      </w:r>
    </w:p>
    <w:p w14:paraId="6F5C83C8" w14:textId="77777777" w:rsidR="001F59DA" w:rsidRDefault="00312B25">
      <w:pPr>
        <w:numPr>
          <w:ilvl w:val="0"/>
          <w:numId w:val="1"/>
        </w:numPr>
        <w:tabs>
          <w:tab w:val="num" w:pos="386"/>
        </w:tabs>
        <w:spacing w:before="120" w:line="360" w:lineRule="auto"/>
        <w:ind w:left="385" w:hanging="357"/>
        <w:jc w:val="both"/>
      </w:pPr>
      <w:bookmarkStart w:id="6" w:name="ABSTRACT_START"/>
      <w:bookmarkEnd w:id="5"/>
      <w:bookmarkEnd w:id="6"/>
      <w:r>
        <w:rPr>
          <w:rFonts w:hint="cs"/>
          <w:rtl/>
        </w:rPr>
        <w:t xml:space="preserve">הנאשם הורשע, על פי הודאתו בעבירות של החזקת סם לצריכה עצמית לפי </w:t>
      </w:r>
      <w:hyperlink r:id="rId14" w:history="1">
        <w:r w:rsidR="00E22E1A" w:rsidRPr="00E22E1A">
          <w:rPr>
            <w:color w:val="0000FF"/>
            <w:u w:val="single"/>
            <w:rtl/>
          </w:rPr>
          <w:t>סעיף 7(א) +(ג)</w:t>
        </w:r>
      </w:hyperlink>
      <w:r>
        <w:rPr>
          <w:rFonts w:hint="cs"/>
          <w:rtl/>
        </w:rPr>
        <w:t xml:space="preserve"> סיפא ב</w:t>
      </w:r>
      <w:hyperlink r:id="rId15" w:history="1">
        <w:r w:rsidRPr="00312B25">
          <w:rPr>
            <w:color w:val="0000FF"/>
            <w:u w:val="single"/>
            <w:rtl/>
          </w:rPr>
          <w:t>פקודת הסמים המסוכנים</w:t>
        </w:r>
      </w:hyperlink>
      <w:r>
        <w:rPr>
          <w:rFonts w:hint="cs"/>
          <w:rtl/>
        </w:rPr>
        <w:t xml:space="preserve"> (נוסח חדש), תשל"ג – 1973, עבירה של נהיגה ללא רישיון לפי </w:t>
      </w:r>
      <w:hyperlink r:id="rId16" w:history="1">
        <w:r w:rsidR="00E22E1A" w:rsidRPr="00E22E1A">
          <w:rPr>
            <w:color w:val="0000FF"/>
            <w:u w:val="single"/>
            <w:rtl/>
          </w:rPr>
          <w:t>סעיף 10(א)</w:t>
        </w:r>
      </w:hyperlink>
      <w:r>
        <w:rPr>
          <w:rFonts w:hint="cs"/>
          <w:rtl/>
        </w:rPr>
        <w:t xml:space="preserve"> ב</w:t>
      </w:r>
      <w:hyperlink r:id="rId17" w:history="1">
        <w:r w:rsidRPr="00312B25">
          <w:rPr>
            <w:color w:val="0000FF"/>
            <w:u w:val="single"/>
            <w:rtl/>
          </w:rPr>
          <w:t>פקודת התעבורה</w:t>
        </w:r>
      </w:hyperlink>
      <w:r>
        <w:rPr>
          <w:rFonts w:hint="cs"/>
          <w:rtl/>
        </w:rPr>
        <w:t xml:space="preserve"> (נוסח חדש), תשכ"א – 1961 ונהיגה ללא תעודת ביטוח לפי </w:t>
      </w:r>
      <w:hyperlink r:id="rId18" w:history="1">
        <w:r w:rsidR="00E22E1A" w:rsidRPr="00E22E1A">
          <w:rPr>
            <w:color w:val="0000FF"/>
            <w:u w:val="single"/>
            <w:rtl/>
          </w:rPr>
          <w:t>סעיף 2(א)</w:t>
        </w:r>
      </w:hyperlink>
      <w:r>
        <w:rPr>
          <w:rFonts w:hint="cs"/>
          <w:rtl/>
        </w:rPr>
        <w:t xml:space="preserve"> ב</w:t>
      </w:r>
      <w:hyperlink r:id="rId19" w:history="1">
        <w:r w:rsidRPr="00312B25">
          <w:rPr>
            <w:color w:val="0000FF"/>
            <w:u w:val="single"/>
            <w:rtl/>
          </w:rPr>
          <w:t>פקודת ביטוח רכב מנועי</w:t>
        </w:r>
      </w:hyperlink>
      <w:r>
        <w:rPr>
          <w:rFonts w:hint="cs"/>
          <w:rtl/>
        </w:rPr>
        <w:t xml:space="preserve">, תש"ל – 1970. </w:t>
      </w:r>
    </w:p>
    <w:p w14:paraId="4B387CC0" w14:textId="77777777" w:rsidR="001F59DA" w:rsidRDefault="00312B25">
      <w:pPr>
        <w:numPr>
          <w:ilvl w:val="0"/>
          <w:numId w:val="1"/>
        </w:numPr>
        <w:tabs>
          <w:tab w:val="num" w:pos="386"/>
        </w:tabs>
        <w:spacing w:before="120" w:line="360" w:lineRule="auto"/>
        <w:ind w:left="385" w:hanging="357"/>
        <w:jc w:val="both"/>
      </w:pPr>
      <w:bookmarkStart w:id="7" w:name="ABSTRACT_END"/>
      <w:bookmarkEnd w:id="7"/>
      <w:r>
        <w:rPr>
          <w:rFonts w:hint="cs"/>
          <w:rtl/>
        </w:rPr>
        <w:t xml:space="preserve">נסיבות המקרה הן שביום 5.10.2014 בשעות הצהריים נהג הנאשם ברכב בבאר-שבע, ללא רישיון נהיגה וללא ביטוח, כשהוא מחזיק ברכב חשיש במשקל 50 גר' נטו, לצריכתו העצמית אך ללא היתר. </w:t>
      </w:r>
    </w:p>
    <w:p w14:paraId="5116BD92" w14:textId="77777777" w:rsidR="001F59DA" w:rsidRDefault="00312B25">
      <w:pPr>
        <w:numPr>
          <w:ilvl w:val="0"/>
          <w:numId w:val="1"/>
        </w:numPr>
        <w:tabs>
          <w:tab w:val="num" w:pos="386"/>
        </w:tabs>
        <w:spacing w:before="120" w:line="360" w:lineRule="auto"/>
        <w:ind w:left="385" w:hanging="357"/>
        <w:jc w:val="both"/>
      </w:pPr>
      <w:r>
        <w:rPr>
          <w:rFonts w:hint="cs"/>
          <w:rtl/>
        </w:rPr>
        <w:t>הצדדים הגיעו להסדר טיעון לאחר הליך של דיון מקדמי ועתרו במשותף להשית על הנאשם עונש של 6 חודשי מאסר שיכול וירוצו בעבודות שירות, וזאת תוך הפעלת מאסר מותנה של 6 חודשים, בחופף. הוסכם גם קנס מוסכם ופסילה וענישה צופה פני עתיד לשיקול דעת בית המשפט.</w:t>
      </w:r>
    </w:p>
    <w:p w14:paraId="7073727D" w14:textId="77777777" w:rsidR="001F59DA" w:rsidRDefault="00312B25">
      <w:pPr>
        <w:numPr>
          <w:ilvl w:val="0"/>
          <w:numId w:val="1"/>
        </w:numPr>
        <w:tabs>
          <w:tab w:val="num" w:pos="386"/>
        </w:tabs>
        <w:spacing w:before="120" w:line="360" w:lineRule="auto"/>
        <w:ind w:left="385" w:hanging="357"/>
        <w:jc w:val="both"/>
      </w:pPr>
      <w:r>
        <w:rPr>
          <w:rFonts w:hint="cs"/>
          <w:rtl/>
        </w:rPr>
        <w:t>הנאשם כבן 24, יש לו עבר פלילי בתחום הסמים, הוא הורשע בשנת 2012 בעבירות של סחר וסם ונידון לעונש של 30 חודשי מאסר. למעשה זהו העבר היחיד שלו שמקים עונש מאסר על תנאי.</w:t>
      </w:r>
    </w:p>
    <w:p w14:paraId="17FC0732" w14:textId="77777777" w:rsidR="001F59DA" w:rsidRDefault="00312B25">
      <w:pPr>
        <w:numPr>
          <w:ilvl w:val="0"/>
          <w:numId w:val="1"/>
        </w:numPr>
        <w:tabs>
          <w:tab w:val="num" w:pos="386"/>
        </w:tabs>
        <w:spacing w:before="120" w:line="360" w:lineRule="auto"/>
        <w:ind w:left="385" w:hanging="357"/>
        <w:jc w:val="both"/>
        <w:rPr>
          <w:rtl/>
        </w:rPr>
      </w:pPr>
      <w:r>
        <w:rPr>
          <w:rFonts w:hint="cs"/>
          <w:rtl/>
        </w:rPr>
        <w:lastRenderedPageBreak/>
        <w:t>במקרה דנן, ובשים לב לכך שכתב האישום תוקן משמעותית, לטענת המאשימה, נוכח קשיים ראייתיים, הרי שגם אם ההסדר מקל עם הנאשם, הוא עדיין נמצא במתחם העונש ההולם והוא מביא בחשבון את נטילת האחריות לצד הקשיים הראייתיים ומכאן שאני מאמצו. אני תקווה שבאמת הנאשם שינה את דרכיו ולא ישוב לפקוד עוד את בתי המשפט כנאשם.</w:t>
      </w:r>
    </w:p>
    <w:p w14:paraId="3AACBE4A" w14:textId="77777777" w:rsidR="001F59DA" w:rsidRDefault="00312B25">
      <w:pPr>
        <w:numPr>
          <w:ilvl w:val="0"/>
          <w:numId w:val="1"/>
        </w:numPr>
        <w:tabs>
          <w:tab w:val="num" w:pos="386"/>
        </w:tabs>
        <w:spacing w:before="120" w:line="360" w:lineRule="auto"/>
        <w:ind w:left="385" w:hanging="357"/>
        <w:jc w:val="both"/>
      </w:pPr>
      <w:r>
        <w:rPr>
          <w:rFonts w:hint="cs"/>
          <w:rtl/>
        </w:rPr>
        <w:t xml:space="preserve">התקבלה חוות דעת חיובית של הממונה על עבודות השירות. </w:t>
      </w:r>
    </w:p>
    <w:p w14:paraId="100CEE68" w14:textId="77777777" w:rsidR="001F59DA" w:rsidRDefault="00312B25">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5B22D73C" w14:textId="77777777" w:rsidR="001F59DA" w:rsidRDefault="00312B25">
      <w:pPr>
        <w:numPr>
          <w:ilvl w:val="0"/>
          <w:numId w:val="2"/>
        </w:numPr>
        <w:tabs>
          <w:tab w:val="clear" w:pos="716"/>
          <w:tab w:val="num" w:pos="926"/>
        </w:tabs>
        <w:spacing w:before="60" w:line="360" w:lineRule="auto"/>
        <w:ind w:left="925" w:hanging="539"/>
        <w:jc w:val="both"/>
      </w:pPr>
      <w:r>
        <w:rPr>
          <w:rFonts w:hint="cs"/>
          <w:rtl/>
        </w:rPr>
        <w:t>6 חודשי מאסר.</w:t>
      </w:r>
    </w:p>
    <w:p w14:paraId="62A7EF43" w14:textId="77777777" w:rsidR="001F59DA" w:rsidRDefault="00312B25">
      <w:pPr>
        <w:spacing w:before="60" w:line="360" w:lineRule="auto"/>
        <w:ind w:left="925"/>
        <w:jc w:val="both"/>
      </w:pPr>
      <w:r>
        <w:rPr>
          <w:rFonts w:hint="cs"/>
          <w:rtl/>
        </w:rPr>
        <w:t>בנוסף, אני מפעיל את העונש המותנה של שישה חודשי מאסר שהוטל על הנאשם בת.פ. 48262-02-12 של בית משפט השלום בבאר-שבע, וזאת בחופף.</w:t>
      </w:r>
    </w:p>
    <w:p w14:paraId="5F92CEB4" w14:textId="77777777" w:rsidR="001F59DA" w:rsidRDefault="00312B25">
      <w:pPr>
        <w:tabs>
          <w:tab w:val="num" w:pos="926"/>
        </w:tabs>
        <w:spacing w:before="60" w:line="360" w:lineRule="auto"/>
        <w:ind w:left="925"/>
        <w:jc w:val="both"/>
      </w:pPr>
      <w:r>
        <w:rPr>
          <w:rFonts w:hint="cs"/>
          <w:b/>
          <w:bCs/>
          <w:rtl/>
        </w:rPr>
        <w:t>בסה"כ ירצה הנאשם 6 חודשי מאסר בפועל, אשר ירוצו בדרך של עבודות שירות בבסיס צבאי יחש"מ דרום (מחנה נתן)</w:t>
      </w:r>
      <w:r>
        <w:rPr>
          <w:rFonts w:hint="cs"/>
          <w:rtl/>
        </w:rPr>
        <w:t>, במשך חמישה ימים בשבוע, 8.5 שעות ביום או לפי קביעה אחרת של הממונה על עבודות השירות.</w:t>
      </w:r>
    </w:p>
    <w:p w14:paraId="1E10C8C7" w14:textId="77777777" w:rsidR="001F59DA" w:rsidRDefault="00312B25">
      <w:pPr>
        <w:spacing w:before="60" w:line="360" w:lineRule="auto"/>
        <w:ind w:left="925"/>
        <w:jc w:val="both"/>
      </w:pPr>
      <w:r>
        <w:rPr>
          <w:rFonts w:hint="cs"/>
          <w:rtl/>
        </w:rPr>
        <w:t>הנאשם יתייצב לריצוי עונשו ביום 15.6.2015 בשעה 08:00 במשרדי הממונה על עבודות השירות במפקדת מחוז דרום של שב"ס ליד כלא באר-שבע.</w:t>
      </w:r>
    </w:p>
    <w:p w14:paraId="04F337AA" w14:textId="77777777" w:rsidR="001F59DA" w:rsidRDefault="00312B25">
      <w:pPr>
        <w:spacing w:before="60" w:line="360" w:lineRule="auto"/>
        <w:ind w:left="925"/>
        <w:jc w:val="both"/>
        <w:rPr>
          <w:rtl/>
        </w:rPr>
      </w:pPr>
      <w:r>
        <w:rPr>
          <w:rFonts w:hint="cs"/>
          <w:rtl/>
        </w:rPr>
        <w:t>נוכח שלנאשם עבר בתחום הסמים, אני מבהיר לנאשם כי הממונה על עבודות השירות תהא רשאית להורות על מתן בדיקות שתן כתנאי לתחילת ביצוע העבודות ולהמשכן, בכל עת.</w:t>
      </w:r>
    </w:p>
    <w:p w14:paraId="01AB1F2C" w14:textId="77777777" w:rsidR="001F59DA" w:rsidRDefault="00312B25">
      <w:pPr>
        <w:spacing w:before="60"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1CD7871F" w14:textId="77777777" w:rsidR="001F59DA" w:rsidRDefault="00312B25">
      <w:pPr>
        <w:numPr>
          <w:ilvl w:val="0"/>
          <w:numId w:val="2"/>
        </w:numPr>
        <w:tabs>
          <w:tab w:val="clear" w:pos="716"/>
          <w:tab w:val="num" w:pos="926"/>
        </w:tabs>
        <w:spacing w:before="60" w:line="360" w:lineRule="auto"/>
        <w:ind w:left="925" w:hanging="539"/>
        <w:jc w:val="both"/>
      </w:pPr>
      <w:r>
        <w:rPr>
          <w:rFonts w:hint="cs"/>
          <w:rtl/>
        </w:rPr>
        <w:t>6 חודשי מאסר על תנאי, לתקופה של שלוש שנים שלא יעבור כל עבירת סמים שהיא.</w:t>
      </w:r>
    </w:p>
    <w:p w14:paraId="13676338" w14:textId="77777777" w:rsidR="001F59DA" w:rsidRDefault="00312B25">
      <w:pPr>
        <w:numPr>
          <w:ilvl w:val="0"/>
          <w:numId w:val="2"/>
        </w:numPr>
        <w:tabs>
          <w:tab w:val="clear" w:pos="716"/>
          <w:tab w:val="num" w:pos="926"/>
        </w:tabs>
        <w:spacing w:before="60" w:line="360" w:lineRule="auto"/>
        <w:ind w:left="925" w:hanging="539"/>
        <w:jc w:val="both"/>
        <w:rPr>
          <w:rtl/>
        </w:rPr>
      </w:pPr>
      <w:r>
        <w:rPr>
          <w:rFonts w:hint="cs"/>
          <w:rtl/>
        </w:rPr>
        <w:t xml:space="preserve">קנס כספי בסך 10,000 ש"ח או 100 ימי מאסר תמורתו. הקנס ישולם בדרך של קיזוז מהפיקדון בתיק </w:t>
      </w:r>
      <w:hyperlink r:id="rId20" w:history="1">
        <w:r w:rsidRPr="00312B25">
          <w:rPr>
            <w:color w:val="0000FF"/>
            <w:u w:val="single"/>
            <w:rtl/>
          </w:rPr>
          <w:t>מ.ת. 16729-10-14</w:t>
        </w:r>
      </w:hyperlink>
      <w:r>
        <w:rPr>
          <w:rFonts w:hint="cs"/>
          <w:rtl/>
        </w:rPr>
        <w:t xml:space="preserve"> וזאת בתוך 45 יום.</w:t>
      </w:r>
    </w:p>
    <w:p w14:paraId="0056133F" w14:textId="77777777" w:rsidR="001F59DA" w:rsidRDefault="00312B25">
      <w:pPr>
        <w:numPr>
          <w:ilvl w:val="0"/>
          <w:numId w:val="2"/>
        </w:numPr>
        <w:tabs>
          <w:tab w:val="clear" w:pos="716"/>
          <w:tab w:val="num" w:pos="926"/>
        </w:tabs>
        <w:spacing w:before="60" w:line="360" w:lineRule="auto"/>
        <w:ind w:left="925" w:hanging="539"/>
        <w:jc w:val="both"/>
      </w:pPr>
      <w:r>
        <w:rPr>
          <w:rFonts w:hint="cs"/>
          <w:rtl/>
        </w:rPr>
        <w:t>אני פוסל את הנאשם מלהחזיק או לקבל רישיון נהיגה, וזאת למשך 8 חודשים מהיום.</w:t>
      </w:r>
    </w:p>
    <w:p w14:paraId="012CF856" w14:textId="77777777" w:rsidR="001F59DA" w:rsidRDefault="00312B25">
      <w:pPr>
        <w:numPr>
          <w:ilvl w:val="0"/>
          <w:numId w:val="2"/>
        </w:numPr>
        <w:tabs>
          <w:tab w:val="clear" w:pos="716"/>
          <w:tab w:val="num" w:pos="926"/>
        </w:tabs>
        <w:spacing w:before="60" w:line="360" w:lineRule="auto"/>
        <w:ind w:left="925" w:hanging="539"/>
        <w:jc w:val="both"/>
      </w:pPr>
      <w:r>
        <w:rPr>
          <w:rFonts w:hint="cs"/>
          <w:rtl/>
        </w:rPr>
        <w:t>בנוסף, אני דן את הנאשם לפסילת רישיון או קבלת רישיון נהיגה למשך 6 חודשים אולם עונש זה יהיה על תנאי והתנאי הוא שבמשך שלוש שנים מהיום לא יעבור עבירת סמים כלשהי או עבירה של נהיגה ללא רישיון נהיגה או בפסילה.</w:t>
      </w:r>
    </w:p>
    <w:p w14:paraId="353FA14F" w14:textId="77777777" w:rsidR="001F59DA" w:rsidRDefault="001F59DA">
      <w:pPr>
        <w:spacing w:before="60" w:line="360" w:lineRule="auto"/>
        <w:ind w:left="386"/>
        <w:jc w:val="both"/>
        <w:rPr>
          <w:rtl/>
        </w:rPr>
      </w:pPr>
    </w:p>
    <w:p w14:paraId="651C2009" w14:textId="77777777" w:rsidR="001F59DA" w:rsidRDefault="00312B25">
      <w:pPr>
        <w:spacing w:line="360" w:lineRule="auto"/>
        <w:jc w:val="both"/>
      </w:pPr>
      <w:r>
        <w:rPr>
          <w:rFonts w:hint="cs"/>
          <w:rtl/>
        </w:rPr>
        <w:t xml:space="preserve">יתרת הפיקדון שהופקד בתיק </w:t>
      </w:r>
      <w:hyperlink r:id="rId21" w:history="1">
        <w:r w:rsidRPr="00312B25">
          <w:rPr>
            <w:color w:val="0000FF"/>
            <w:u w:val="single"/>
            <w:rtl/>
          </w:rPr>
          <w:t>מ.ת. 16729-10-14</w:t>
        </w:r>
      </w:hyperlink>
      <w:r>
        <w:rPr>
          <w:rFonts w:hint="cs"/>
          <w:rtl/>
        </w:rPr>
        <w:t xml:space="preserve"> (לאחר קיזוז חלק הקנס) תמשיך לעמוד בתוקפה לשם הבטחת התייצבותו של הנאשם לריצוי עונשו, ותושב לנאשם (בכפוף לדין) רק לאחר סיום ריצוי כל עונש עבודות השירות [</w:t>
      </w:r>
      <w:hyperlink r:id="rId22" w:history="1">
        <w:r w:rsidRPr="00312B25">
          <w:rPr>
            <w:color w:val="0000FF"/>
            <w:u w:val="single"/>
            <w:rtl/>
          </w:rPr>
          <w:t>ע"פ 10705/02 מכנושין נ' מדינת ישראל, פ"ד נח</w:t>
        </w:r>
      </w:hyperlink>
      <w:r>
        <w:rPr>
          <w:rFonts w:hint="cs"/>
          <w:rtl/>
        </w:rPr>
        <w:t>(3) 529].</w:t>
      </w:r>
    </w:p>
    <w:p w14:paraId="0305F19C" w14:textId="77777777" w:rsidR="001F59DA" w:rsidRDefault="001F59DA">
      <w:pPr>
        <w:jc w:val="both"/>
        <w:rPr>
          <w:rtl/>
        </w:rPr>
      </w:pPr>
    </w:p>
    <w:p w14:paraId="16129636" w14:textId="77777777" w:rsidR="001F59DA" w:rsidRDefault="00312B25">
      <w:pPr>
        <w:jc w:val="both"/>
        <w:rPr>
          <w:b/>
          <w:bCs/>
          <w:rtl/>
        </w:rPr>
      </w:pPr>
      <w:r>
        <w:rPr>
          <w:rFonts w:hint="cs"/>
          <w:b/>
          <w:bCs/>
          <w:rtl/>
        </w:rPr>
        <w:t>מוצגי הסם בתיק החקירה יושמדו.</w:t>
      </w:r>
    </w:p>
    <w:p w14:paraId="6219535C" w14:textId="77777777" w:rsidR="001F59DA" w:rsidRDefault="001F59DA">
      <w:pPr>
        <w:jc w:val="both"/>
        <w:rPr>
          <w:rtl/>
        </w:rPr>
      </w:pPr>
    </w:p>
    <w:p w14:paraId="009FD4AE" w14:textId="77777777" w:rsidR="001F59DA" w:rsidRDefault="001F59DA">
      <w:pPr>
        <w:jc w:val="both"/>
        <w:rPr>
          <w:rtl/>
        </w:rPr>
      </w:pPr>
    </w:p>
    <w:p w14:paraId="0EAECC0A" w14:textId="77777777" w:rsidR="001F59DA" w:rsidRDefault="00312B25">
      <w:pPr>
        <w:jc w:val="both"/>
        <w:rPr>
          <w:rtl/>
        </w:rPr>
      </w:pPr>
      <w:r>
        <w:rPr>
          <w:rFonts w:hint="cs"/>
          <w:b/>
          <w:bCs/>
          <w:rtl/>
        </w:rPr>
        <w:t>זכות ערעור בתוך 45 יום לבית המשפט המחוזי</w:t>
      </w:r>
      <w:r>
        <w:rPr>
          <w:rFonts w:hint="cs"/>
          <w:rtl/>
        </w:rPr>
        <w:t>.</w:t>
      </w:r>
    </w:p>
    <w:p w14:paraId="62D65148" w14:textId="77777777" w:rsidR="001F59DA" w:rsidRDefault="001F59DA">
      <w:pPr>
        <w:rPr>
          <w:rtl/>
        </w:rPr>
      </w:pPr>
    </w:p>
    <w:p w14:paraId="52F91E98" w14:textId="77777777" w:rsidR="001F59DA" w:rsidRDefault="00312B25">
      <w:pPr>
        <w:rPr>
          <w:sz w:val="6"/>
          <w:szCs w:val="6"/>
          <w:rtl/>
        </w:rPr>
      </w:pPr>
      <w:r>
        <w:rPr>
          <w:sz w:val="6"/>
          <w:szCs w:val="6"/>
          <w:rtl/>
        </w:rPr>
        <w:t>&lt;#7#&gt;</w:t>
      </w:r>
    </w:p>
    <w:p w14:paraId="3A1790E0" w14:textId="77777777" w:rsidR="001F59DA" w:rsidRDefault="001F59DA">
      <w:pPr>
        <w:jc w:val="right"/>
        <w:rPr>
          <w:rtl/>
        </w:rPr>
      </w:pPr>
    </w:p>
    <w:p w14:paraId="351DAB2E" w14:textId="77777777" w:rsidR="001F59DA" w:rsidRDefault="00312B25">
      <w:pPr>
        <w:jc w:val="center"/>
        <w:rPr>
          <w:rtl/>
        </w:rPr>
      </w:pPr>
      <w:r>
        <w:rPr>
          <w:b/>
          <w:bCs/>
          <w:rtl/>
        </w:rPr>
        <w:t xml:space="preserve">ניתנה והודעה היום ה' ניסן תשע"ה, 25/03/2015 במעמד הנוכחים. </w:t>
      </w:r>
    </w:p>
    <w:p w14:paraId="4E3CDA54" w14:textId="77777777" w:rsidR="001F59DA" w:rsidRPr="00312B25" w:rsidRDefault="00312B25">
      <w:pPr>
        <w:spacing w:line="360" w:lineRule="auto"/>
        <w:jc w:val="both"/>
        <w:rPr>
          <w:color w:val="FFFFFF"/>
          <w:sz w:val="2"/>
          <w:szCs w:val="2"/>
          <w:rtl/>
        </w:rPr>
      </w:pPr>
      <w:bookmarkStart w:id="8" w:name="_GoBack"/>
      <w:bookmarkEnd w:id="8"/>
      <w:r w:rsidRPr="00312B2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F59DA" w14:paraId="13D93EA3" w14:textId="77777777">
        <w:trPr>
          <w:trHeight w:val="316"/>
          <w:jc w:val="right"/>
        </w:trPr>
        <w:tc>
          <w:tcPr>
            <w:tcW w:w="3936" w:type="dxa"/>
          </w:tcPr>
          <w:p w14:paraId="0F90A175" w14:textId="77777777" w:rsidR="001F59DA" w:rsidRPr="00312B25" w:rsidRDefault="00312B25">
            <w:pPr>
              <w:jc w:val="center"/>
              <w:rPr>
                <w:rFonts w:ascii="Times New Roman" w:eastAsia="Times New Roman" w:hAnsi="Times New Roman" w:cs="Times New Roman"/>
                <w:color w:val="FFFFFF"/>
                <w:sz w:val="2"/>
                <w:szCs w:val="2"/>
              </w:rPr>
            </w:pPr>
            <w:r w:rsidRPr="00312B25">
              <w:rPr>
                <w:rFonts w:ascii="Times New Roman" w:eastAsia="Times New Roman" w:hAnsi="Times New Roman" w:cs="Times New Roman"/>
                <w:color w:val="FFFFFF"/>
                <w:sz w:val="2"/>
                <w:szCs w:val="2"/>
                <w:rtl/>
              </w:rPr>
              <w:t>54678313</w:t>
            </w:r>
          </w:p>
          <w:p w14:paraId="3A8ED048" w14:textId="77777777" w:rsidR="001F59DA" w:rsidRDefault="001F59DA">
            <w:pPr>
              <w:jc w:val="center"/>
              <w:rPr>
                <w:rFonts w:ascii="Times New Roman" w:eastAsia="Times New Roman" w:hAnsi="Times New Roman" w:cs="Times New Roman"/>
                <w:rtl/>
              </w:rPr>
            </w:pPr>
          </w:p>
        </w:tc>
      </w:tr>
      <w:tr w:rsidR="001F59DA" w14:paraId="38115F90" w14:textId="77777777">
        <w:trPr>
          <w:trHeight w:val="361"/>
          <w:jc w:val="right"/>
        </w:trPr>
        <w:tc>
          <w:tcPr>
            <w:tcW w:w="3936" w:type="dxa"/>
          </w:tcPr>
          <w:p w14:paraId="1044BCF3" w14:textId="77777777" w:rsidR="001F59DA" w:rsidRDefault="00312B25">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0D8BF460" w14:textId="77777777" w:rsidR="001F59DA" w:rsidRDefault="00312B25">
      <w:pPr>
        <w:spacing w:line="360" w:lineRule="auto"/>
        <w:jc w:val="both"/>
        <w:rPr>
          <w:rtl/>
        </w:rPr>
      </w:pPr>
      <w:r>
        <w:rPr>
          <w:rtl/>
        </w:rPr>
        <w:t xml:space="preserve"> </w:t>
      </w:r>
    </w:p>
    <w:p w14:paraId="4D2AD147" w14:textId="77777777" w:rsidR="00312B25" w:rsidRPr="00312B25" w:rsidRDefault="00312B25" w:rsidP="00312B25">
      <w:pPr>
        <w:keepNext/>
        <w:rPr>
          <w:color w:val="000000"/>
          <w:sz w:val="22"/>
          <w:szCs w:val="22"/>
          <w:rtl/>
        </w:rPr>
      </w:pPr>
    </w:p>
    <w:p w14:paraId="7EAB78CA" w14:textId="77777777" w:rsidR="00312B25" w:rsidRPr="00312B25" w:rsidRDefault="00312B25" w:rsidP="00312B25">
      <w:pPr>
        <w:keepNext/>
        <w:rPr>
          <w:color w:val="000000"/>
          <w:sz w:val="22"/>
          <w:szCs w:val="22"/>
          <w:rtl/>
        </w:rPr>
      </w:pPr>
      <w:r w:rsidRPr="00312B25">
        <w:rPr>
          <w:color w:val="000000"/>
          <w:sz w:val="22"/>
          <w:szCs w:val="22"/>
          <w:rtl/>
        </w:rPr>
        <w:t>איתי ברסלר גונן 54678313</w:t>
      </w:r>
    </w:p>
    <w:p w14:paraId="1345E215" w14:textId="77777777" w:rsidR="00312B25" w:rsidRDefault="00312B25" w:rsidP="00312B25">
      <w:r w:rsidRPr="00312B25">
        <w:rPr>
          <w:color w:val="000000"/>
          <w:rtl/>
        </w:rPr>
        <w:t>נוסח מסמך זה כפוף לשינויי ניסוח ועריכה</w:t>
      </w:r>
    </w:p>
    <w:p w14:paraId="7AFF0D7A" w14:textId="77777777" w:rsidR="00312B25" w:rsidRDefault="00312B25" w:rsidP="00312B25">
      <w:pPr>
        <w:rPr>
          <w:rtl/>
        </w:rPr>
      </w:pPr>
    </w:p>
    <w:p w14:paraId="25B4F6F6" w14:textId="77777777" w:rsidR="00312B25" w:rsidRDefault="00312B25" w:rsidP="00312B25">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A72F5BD" w14:textId="77777777" w:rsidR="001F59DA" w:rsidRPr="00312B25" w:rsidRDefault="001F59DA" w:rsidP="00312B25">
      <w:pPr>
        <w:jc w:val="center"/>
        <w:rPr>
          <w:color w:val="0000FF"/>
          <w:u w:val="single"/>
        </w:rPr>
      </w:pPr>
    </w:p>
    <w:sectPr w:rsidR="001F59DA" w:rsidRPr="00312B25" w:rsidSect="00312B25">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8E9B4" w14:textId="77777777" w:rsidR="002E7E90" w:rsidRPr="008A176D" w:rsidRDefault="002E7E90">
      <w:pPr>
        <w:rPr>
          <w:rFonts w:cs="Arial"/>
          <w:szCs w:val="20"/>
        </w:rPr>
      </w:pPr>
      <w:r>
        <w:separator/>
      </w:r>
    </w:p>
  </w:endnote>
  <w:endnote w:type="continuationSeparator" w:id="0">
    <w:p w14:paraId="68E0A373" w14:textId="77777777" w:rsidR="002E7E90" w:rsidRPr="008A176D" w:rsidRDefault="002E7E9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B9B2" w14:textId="77777777" w:rsidR="002E7E90" w:rsidRDefault="002E7E90" w:rsidP="00312B2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621CAB3E" w14:textId="77777777" w:rsidR="002E7E90" w:rsidRPr="00312B25" w:rsidRDefault="002E7E90" w:rsidP="00312B25">
    <w:pPr>
      <w:pStyle w:val="a4"/>
      <w:pBdr>
        <w:top w:val="single" w:sz="4" w:space="1" w:color="auto"/>
        <w:between w:val="single" w:sz="4" w:space="0" w:color="auto"/>
      </w:pBdr>
      <w:spacing w:after="60"/>
      <w:jc w:val="center"/>
      <w:rPr>
        <w:rFonts w:ascii="FrankRuehl" w:hAnsi="FrankRuehl" w:cs="FrankRuehl"/>
        <w:color w:val="000000"/>
      </w:rPr>
    </w:pPr>
    <w:r w:rsidRPr="00312B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3FE4" w14:textId="77777777" w:rsidR="002E7E90" w:rsidRDefault="002E7E90" w:rsidP="00312B2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00F7">
      <w:rPr>
        <w:rFonts w:ascii="FrankRuehl" w:hAnsi="FrankRuehl" w:cs="FrankRuehl"/>
        <w:noProof/>
        <w:rtl/>
      </w:rPr>
      <w:t>1</w:t>
    </w:r>
    <w:r>
      <w:rPr>
        <w:rFonts w:ascii="FrankRuehl" w:hAnsi="FrankRuehl" w:cs="FrankRuehl"/>
        <w:rtl/>
      </w:rPr>
      <w:fldChar w:fldCharType="end"/>
    </w:r>
  </w:p>
  <w:p w14:paraId="7EDCB11E" w14:textId="77777777" w:rsidR="002E7E90" w:rsidRPr="00312B25" w:rsidRDefault="002E7E90" w:rsidP="00312B25">
    <w:pPr>
      <w:pStyle w:val="a4"/>
      <w:pBdr>
        <w:top w:val="single" w:sz="4" w:space="1" w:color="auto"/>
        <w:between w:val="single" w:sz="4" w:space="0" w:color="auto"/>
      </w:pBdr>
      <w:spacing w:after="60"/>
      <w:jc w:val="center"/>
      <w:rPr>
        <w:rFonts w:ascii="FrankRuehl" w:hAnsi="FrankRuehl" w:cs="FrankRuehl"/>
        <w:color w:val="000000"/>
      </w:rPr>
    </w:pPr>
    <w:r w:rsidRPr="00312B25">
      <w:rPr>
        <w:rFonts w:ascii="FrankRuehl" w:hAnsi="FrankRuehl" w:cs="FrankRuehl"/>
        <w:color w:val="000000"/>
      </w:rPr>
      <w:pict w14:anchorId="12BD4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D9A69" w14:textId="77777777" w:rsidR="002E7E90" w:rsidRPr="008A176D" w:rsidRDefault="002E7E90">
      <w:pPr>
        <w:rPr>
          <w:rFonts w:cs="Arial"/>
          <w:szCs w:val="20"/>
        </w:rPr>
      </w:pPr>
      <w:r>
        <w:separator/>
      </w:r>
    </w:p>
  </w:footnote>
  <w:footnote w:type="continuationSeparator" w:id="0">
    <w:p w14:paraId="6F0F9AFD" w14:textId="77777777" w:rsidR="002E7E90" w:rsidRPr="008A176D" w:rsidRDefault="002E7E9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F4BC" w14:textId="77777777" w:rsidR="002E7E90" w:rsidRPr="00312B25" w:rsidRDefault="002E7E90" w:rsidP="00312B2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16727-10-14</w:t>
    </w:r>
    <w:r>
      <w:rPr>
        <w:color w:val="000000"/>
        <w:sz w:val="22"/>
        <w:szCs w:val="22"/>
        <w:rtl/>
      </w:rPr>
      <w:tab/>
      <w:t xml:space="preserve"> מדינת ישראל נ' גיגה קוקואשוילי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684A0" w14:textId="77777777" w:rsidR="002E7E90" w:rsidRPr="00312B25" w:rsidRDefault="002E7E90" w:rsidP="00312B2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16727-10-14</w:t>
    </w:r>
    <w:r>
      <w:rPr>
        <w:color w:val="000000"/>
        <w:sz w:val="22"/>
        <w:szCs w:val="22"/>
        <w:rtl/>
      </w:rPr>
      <w:tab/>
      <w:t xml:space="preserve"> מדינת ישראל נ' גיגה קוקואשוילי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720"/>
        </w:tabs>
        <w:ind w:left="720" w:hanging="7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16cid:durableId="681973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8534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59DA"/>
    <w:rsid w:val="001F59DA"/>
    <w:rsid w:val="002E7E90"/>
    <w:rsid w:val="00312B25"/>
    <w:rsid w:val="003D149C"/>
    <w:rsid w:val="00A000F7"/>
    <w:rsid w:val="00B55F10"/>
    <w:rsid w:val="00BF00B0"/>
    <w:rsid w:val="00E22E1A"/>
    <w:rsid w:val="00EF11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C1170F"/>
  <w15:chartTrackingRefBased/>
  <w15:docId w15:val="{752FE06D-5B6F-42AB-A0F8-FDAA479D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59D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F59DA"/>
    <w:pPr>
      <w:tabs>
        <w:tab w:val="center" w:pos="4153"/>
        <w:tab w:val="right" w:pos="8306"/>
      </w:tabs>
    </w:pPr>
  </w:style>
  <w:style w:type="paragraph" w:styleId="a4">
    <w:name w:val="footer"/>
    <w:basedOn w:val="a"/>
    <w:rsid w:val="001F59DA"/>
    <w:pPr>
      <w:tabs>
        <w:tab w:val="center" w:pos="4153"/>
        <w:tab w:val="right" w:pos="8306"/>
      </w:tabs>
    </w:pPr>
  </w:style>
  <w:style w:type="character" w:styleId="a5">
    <w:name w:val="page number"/>
    <w:basedOn w:val="a0"/>
    <w:rsid w:val="001F59DA"/>
  </w:style>
  <w:style w:type="paragraph" w:customStyle="1" w:styleId="12">
    <w:name w:val="רגיל + ‏12 נק'"/>
    <w:aliases w:val="מיושר לשני הצדדים,מרווח בין שורות:  שורה וחצי"/>
    <w:basedOn w:val="a"/>
    <w:rsid w:val="001F59DA"/>
    <w:rPr>
      <w:rFonts w:ascii="Times New Roman" w:eastAsia="Times New Roman" w:hAnsi="Times New Roman"/>
      <w:b/>
      <w:bCs/>
      <w:u w:val="single"/>
    </w:rPr>
  </w:style>
  <w:style w:type="character" w:styleId="a6">
    <w:name w:val="line number"/>
    <w:basedOn w:val="a0"/>
    <w:rsid w:val="001F59DA"/>
  </w:style>
  <w:style w:type="character" w:styleId="Hyperlink">
    <w:name w:val="Hyperlink"/>
    <w:basedOn w:val="a0"/>
    <w:rsid w:val="00312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4501/2.a" TargetMode="External"/><Relationship Id="rId18" Type="http://schemas.openxmlformats.org/officeDocument/2006/relationships/hyperlink" Target="http://www.nevo.co.il/law/74501/2.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18088135" TargetMode="External"/><Relationship Id="rId7" Type="http://schemas.openxmlformats.org/officeDocument/2006/relationships/hyperlink" Target="http://www.nevo.co.il/law/4216" TargetMode="External"/><Relationship Id="rId12" Type="http://schemas.openxmlformats.org/officeDocument/2006/relationships/hyperlink" Target="http://www.nevo.co.il/law/74501" TargetMode="External"/><Relationship Id="rId17" Type="http://schemas.openxmlformats.org/officeDocument/2006/relationships/hyperlink" Target="http://www.nevo.co.il/law/5227"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5227/10.a" TargetMode="External"/><Relationship Id="rId20" Type="http://schemas.openxmlformats.org/officeDocument/2006/relationships/hyperlink" Target="http://www.nevo.co.il/case/1808813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10.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5227" TargetMode="External"/><Relationship Id="rId19" Type="http://schemas.openxmlformats.org/officeDocument/2006/relationships/hyperlink" Target="http://www.nevo.co.il/law/745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719640"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4410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3276926</vt:i4>
      </vt:variant>
      <vt:variant>
        <vt:i4>45</vt:i4>
      </vt:variant>
      <vt:variant>
        <vt:i4>0</vt:i4>
      </vt:variant>
      <vt:variant>
        <vt:i4>5</vt:i4>
      </vt:variant>
      <vt:variant>
        <vt:lpwstr>http://www.nevo.co.il/case/5719640</vt:lpwstr>
      </vt:variant>
      <vt:variant>
        <vt:lpwstr/>
      </vt:variant>
      <vt:variant>
        <vt:i4>3801205</vt:i4>
      </vt:variant>
      <vt:variant>
        <vt:i4>42</vt:i4>
      </vt:variant>
      <vt:variant>
        <vt:i4>0</vt:i4>
      </vt:variant>
      <vt:variant>
        <vt:i4>5</vt:i4>
      </vt:variant>
      <vt:variant>
        <vt:lpwstr>http://www.nevo.co.il/case/18088135</vt:lpwstr>
      </vt:variant>
      <vt:variant>
        <vt:lpwstr/>
      </vt:variant>
      <vt:variant>
        <vt:i4>3801205</vt:i4>
      </vt:variant>
      <vt:variant>
        <vt:i4>39</vt:i4>
      </vt:variant>
      <vt:variant>
        <vt:i4>0</vt:i4>
      </vt:variant>
      <vt:variant>
        <vt:i4>5</vt:i4>
      </vt:variant>
      <vt:variant>
        <vt:lpwstr>http://www.nevo.co.il/case/18088135</vt:lpwstr>
      </vt:variant>
      <vt:variant>
        <vt:lpwstr/>
      </vt:variant>
      <vt:variant>
        <vt:i4>8257634</vt:i4>
      </vt:variant>
      <vt:variant>
        <vt:i4>36</vt:i4>
      </vt:variant>
      <vt:variant>
        <vt:i4>0</vt:i4>
      </vt:variant>
      <vt:variant>
        <vt:i4>5</vt:i4>
      </vt:variant>
      <vt:variant>
        <vt:lpwstr>http://www.nevo.co.il/law/74501</vt:lpwstr>
      </vt:variant>
      <vt:variant>
        <vt:lpwstr/>
      </vt:variant>
      <vt:variant>
        <vt:i4>8323169</vt:i4>
      </vt:variant>
      <vt:variant>
        <vt:i4>33</vt:i4>
      </vt:variant>
      <vt:variant>
        <vt:i4>0</vt:i4>
      </vt:variant>
      <vt:variant>
        <vt:i4>5</vt:i4>
      </vt:variant>
      <vt:variant>
        <vt:lpwstr>http://www.nevo.co.il/law/74501/2.a</vt:lpwstr>
      </vt:variant>
      <vt:variant>
        <vt:lpwstr/>
      </vt:variant>
      <vt:variant>
        <vt:i4>8323175</vt:i4>
      </vt:variant>
      <vt:variant>
        <vt:i4>30</vt:i4>
      </vt:variant>
      <vt:variant>
        <vt:i4>0</vt:i4>
      </vt:variant>
      <vt:variant>
        <vt:i4>5</vt:i4>
      </vt:variant>
      <vt:variant>
        <vt:lpwstr>http://www.nevo.co.il/law/5227</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8323169</vt:i4>
      </vt:variant>
      <vt:variant>
        <vt:i4>18</vt:i4>
      </vt:variant>
      <vt:variant>
        <vt:i4>0</vt:i4>
      </vt:variant>
      <vt:variant>
        <vt:i4>5</vt:i4>
      </vt:variant>
      <vt:variant>
        <vt:lpwstr>http://www.nevo.co.il/law/74501/2.a</vt:lpwstr>
      </vt:variant>
      <vt:variant>
        <vt:lpwstr/>
      </vt:variant>
      <vt:variant>
        <vt:i4>8257634</vt:i4>
      </vt:variant>
      <vt:variant>
        <vt:i4>15</vt:i4>
      </vt:variant>
      <vt:variant>
        <vt:i4>0</vt:i4>
      </vt:variant>
      <vt:variant>
        <vt:i4>5</vt:i4>
      </vt:variant>
      <vt:variant>
        <vt:lpwstr>http://www.nevo.co.il/law/74501</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2025-04-22T22:27:00Z</dcterms:created>
  <dcterms:modified xsi:type="dcterms:W3CDTF">2025-04-22T22:27:00Z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16727</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גיגה קוקואשוילי</vt:lpwstr>
  </property>
  <property fmtid="{D5CDD505-2E9C-101B-9397-08002B2CF9AE}" pid="10" name="LAWYER">
    <vt:lpwstr>הדס הוס טודרוס נופר לוי;אפרת צרפתי</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20150325</vt:lpwstr>
  </property>
  <property fmtid="{D5CDD505-2E9C-101B-9397-08002B2CF9AE}" pid="14" name="TYPE_N_DATE">
    <vt:lpwstr>38020150325</vt:lpwstr>
  </property>
  <property fmtid="{D5CDD505-2E9C-101B-9397-08002B2CF9AE}" pid="15" name="CASESLISTTMP1">
    <vt:lpwstr>18088135:2;5719640</vt:lpwstr>
  </property>
  <property fmtid="{D5CDD505-2E9C-101B-9397-08002B2CF9AE}" pid="16" name="CASENOTES1">
    <vt:lpwstr>ProcID=209&amp;PartA=48262&amp;PartB=02&amp;PartC=12</vt:lpwstr>
  </property>
  <property fmtid="{D5CDD505-2E9C-101B-9397-08002B2CF9AE}" pid="17" name="WORDNUMPAGES">
    <vt:lpwstr>3</vt:lpwstr>
  </property>
  <property fmtid="{D5CDD505-2E9C-101B-9397-08002B2CF9AE}" pid="18" name="TYPE_ABS_DATE">
    <vt:lpwstr>380020150325</vt:lpwstr>
  </property>
  <property fmtid="{D5CDD505-2E9C-101B-9397-08002B2CF9AE}" pid="19" name="ISABSTRACT">
    <vt:lpwstr>Y</vt:lpwstr>
  </property>
  <property fmtid="{D5CDD505-2E9C-101B-9397-08002B2CF9AE}" pid="20" name="LAWLISTTMP1">
    <vt:lpwstr>4216/007.a;007.c</vt:lpwstr>
  </property>
  <property fmtid="{D5CDD505-2E9C-101B-9397-08002B2CF9AE}" pid="21" name="LAWLISTTMP2">
    <vt:lpwstr>5227/010.a</vt:lpwstr>
  </property>
  <property fmtid="{D5CDD505-2E9C-101B-9397-08002B2CF9AE}" pid="22" name="LAWLISTTMP3">
    <vt:lpwstr>74501/002.a</vt:lpwstr>
  </property>
</Properties>
</file>